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الاصلاح الحسینی </w:t>
      </w:r>
      <w:r>
        <w:rPr/>
        <w:t>4</w:t>
      </w:r>
      <w:r>
        <w:rPr>
          <w:rtl w:val="true"/>
        </w:rPr>
        <w:t xml:space="preserve"> </w:t>
      </w:r>
      <w:r>
        <w:rPr>
          <w:rtl w:val="true"/>
        </w:rPr>
        <w:t>انما خرجت لطلب الاصلاحِ فی امه جدی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2690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792692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792694_1051229030">
            <w:r>
              <w:rPr>
                <w:webHidden/>
                <w:rStyle w:val="IndexLink"/>
                <w:rtl w:val="true"/>
              </w:rPr>
              <w:t>هوية المجلّة</w:t>
            </w:r>
            <w:r>
              <w:rPr>
                <w:rStyle w:val="IndexLink"/>
                <w:rtl w:val="true"/>
              </w:rPr>
              <w:t>:</w:t>
              <w:tab/>
            </w:r>
            <w:r>
              <w:rPr>
                <w:rStyle w:val="IndexLink"/>
              </w:rPr>
              <w:t>11</w:t>
            </w:r>
          </w:hyperlink>
        </w:p>
        <w:p>
          <w:pPr>
            <w:pStyle w:val="Contents2"/>
            <w:tabs>
              <w:tab w:val="clear" w:pos="8743"/>
              <w:tab w:val="right" w:pos="9026" w:leader="dot"/>
            </w:tabs>
            <w:rPr/>
          </w:pPr>
          <w:hyperlink w:anchor="__RefHeading___Toc2792696_1051229030">
            <w:r>
              <w:rPr>
                <w:webHidden/>
                <w:rStyle w:val="IndexLink"/>
                <w:rtl w:val="true"/>
              </w:rPr>
              <w:t>اهتمام المجلّة</w:t>
            </w:r>
            <w:r>
              <w:rPr>
                <w:rStyle w:val="IndexLink"/>
                <w:rtl w:val="true"/>
              </w:rPr>
              <w:t>:</w:t>
              <w:tab/>
            </w:r>
            <w:r>
              <w:rPr>
                <w:rStyle w:val="IndexLink"/>
              </w:rPr>
              <w:t>11</w:t>
            </w:r>
          </w:hyperlink>
        </w:p>
        <w:p>
          <w:pPr>
            <w:pStyle w:val="Contents2"/>
            <w:tabs>
              <w:tab w:val="clear" w:pos="8743"/>
              <w:tab w:val="right" w:pos="9026" w:leader="dot"/>
            </w:tabs>
            <w:rPr/>
          </w:pPr>
          <w:hyperlink w:anchor="__RefHeading___Toc2792698_1051229030">
            <w:r>
              <w:rPr>
                <w:webHidden/>
                <w:rStyle w:val="IndexLink"/>
                <w:rtl w:val="true"/>
              </w:rPr>
              <w:t>أهداف المجلّة</w:t>
            </w:r>
            <w:r>
              <w:rPr>
                <w:rStyle w:val="IndexLink"/>
                <w:rtl w:val="true"/>
              </w:rPr>
              <w:t>:</w:t>
              <w:tab/>
            </w:r>
            <w:r>
              <w:rPr>
                <w:rStyle w:val="IndexLink"/>
              </w:rPr>
              <w:t>12</w:t>
            </w:r>
          </w:hyperlink>
        </w:p>
        <w:p>
          <w:pPr>
            <w:pStyle w:val="Contents2"/>
            <w:tabs>
              <w:tab w:val="clear" w:pos="8743"/>
              <w:tab w:val="right" w:pos="9026" w:leader="dot"/>
            </w:tabs>
            <w:rPr/>
          </w:pPr>
          <w:hyperlink w:anchor="__RefHeading___Toc2792700_1051229030">
            <w:r>
              <w:rPr>
                <w:webHidden/>
                <w:rStyle w:val="IndexLink"/>
                <w:rtl w:val="true"/>
              </w:rPr>
              <w:t>ضوابط النشر</w:t>
            </w:r>
            <w:r>
              <w:rPr>
                <w:rStyle w:val="IndexLink"/>
                <w:rtl w:val="true"/>
              </w:rPr>
              <w:tab/>
            </w:r>
            <w:r>
              <w:rPr>
                <w:rStyle w:val="IndexLink"/>
              </w:rPr>
              <w:t>13</w:t>
            </w:r>
          </w:hyperlink>
        </w:p>
        <w:p>
          <w:pPr>
            <w:pStyle w:val="Contents2"/>
            <w:tabs>
              <w:tab w:val="clear" w:pos="8743"/>
              <w:tab w:val="right" w:pos="9026" w:leader="dot"/>
            </w:tabs>
            <w:rPr/>
          </w:pPr>
          <w:hyperlink w:anchor="__RefHeading___Toc2792702_1051229030">
            <w:r>
              <w:rPr>
                <w:webHidden/>
                <w:rStyle w:val="IndexLink"/>
                <w:rtl w:val="true"/>
              </w:rPr>
              <w:t>مراكز النشر</w:t>
            </w:r>
            <w:r>
              <w:rPr>
                <w:rStyle w:val="IndexLink"/>
                <w:rtl w:val="true"/>
              </w:rPr>
              <w:t>:</w:t>
              <w:tab/>
            </w:r>
            <w:r>
              <w:rPr>
                <w:rStyle w:val="IndexLink"/>
              </w:rPr>
              <w:t>14</w:t>
            </w:r>
          </w:hyperlink>
        </w:p>
        <w:p>
          <w:pPr>
            <w:pStyle w:val="Contents2"/>
            <w:tabs>
              <w:tab w:val="clear" w:pos="8743"/>
              <w:tab w:val="right" w:pos="9026" w:leader="dot"/>
            </w:tabs>
            <w:rPr/>
          </w:pPr>
          <w:hyperlink w:anchor="__RefHeading___Toc2792704_1051229030">
            <w:r>
              <w:rPr>
                <w:webHidden/>
                <w:rStyle w:val="IndexLink"/>
                <w:rtl w:val="true"/>
              </w:rPr>
              <w:t>المحتویات</w:t>
            </w:r>
            <w:r>
              <w:rPr>
                <w:rStyle w:val="IndexLink"/>
                <w:rtl w:val="true"/>
              </w:rPr>
              <w:tab/>
            </w:r>
            <w:r>
              <w:rPr>
                <w:rStyle w:val="IndexLink"/>
              </w:rPr>
              <w:t>15</w:t>
            </w:r>
          </w:hyperlink>
        </w:p>
        <w:p>
          <w:pPr>
            <w:pStyle w:val="Contents2"/>
            <w:tabs>
              <w:tab w:val="clear" w:pos="8743"/>
              <w:tab w:val="right" w:pos="9026" w:leader="dot"/>
            </w:tabs>
            <w:rPr/>
          </w:pPr>
          <w:hyperlink w:anchor="__RefHeading___Toc2792706_1051229030">
            <w:r>
              <w:rPr>
                <w:webHidden/>
                <w:rStyle w:val="IndexLink"/>
                <w:rtl w:val="true"/>
              </w:rPr>
              <w:t>مَقَالُ التَحريِر</w:t>
            </w:r>
            <w:r>
              <w:rPr>
                <w:rStyle w:val="IndexLink"/>
                <w:rtl w:val="true"/>
              </w:rPr>
              <w:tab/>
            </w:r>
            <w:r>
              <w:rPr>
                <w:rStyle w:val="IndexLink"/>
              </w:rPr>
              <w:t>17</w:t>
            </w:r>
          </w:hyperlink>
        </w:p>
        <w:p>
          <w:pPr>
            <w:pStyle w:val="Contents3"/>
            <w:tabs>
              <w:tab w:val="clear" w:pos="8459"/>
              <w:tab w:val="right" w:pos="9026" w:leader="dot"/>
            </w:tabs>
            <w:rPr/>
          </w:pPr>
          <w:hyperlink w:anchor="__RefHeading___Toc2792708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792710_1051229030">
            <w:r>
              <w:rPr>
                <w:webHidden/>
                <w:rStyle w:val="IndexLink"/>
                <w:rtl w:val="true"/>
              </w:rPr>
              <w:t>التَفرِیطُ في الَاهدَافِ وَ المَبَادِیَ السِیَاسِیَّة لِلنَهضَة الحُسَینیَه قِراءَةٌ في الاسبَابِ وَ المُبَّرراتِ الشيخ قيصر التميمي</w:t>
            </w:r>
            <w:r>
              <w:rPr>
                <w:rStyle w:val="IndexLink"/>
                <w:rtl w:val="true"/>
              </w:rPr>
              <w:tab/>
            </w:r>
            <w:r>
              <w:rPr>
                <w:rStyle w:val="IndexLink"/>
              </w:rPr>
              <w:t>19</w:t>
            </w:r>
          </w:hyperlink>
        </w:p>
        <w:p>
          <w:pPr>
            <w:pStyle w:val="Contents4"/>
            <w:tabs>
              <w:tab w:val="clear" w:pos="8176"/>
              <w:tab w:val="right" w:pos="9026" w:leader="dot"/>
            </w:tabs>
            <w:rPr/>
          </w:pPr>
          <w:hyperlink w:anchor="__RefHeading___Toc2792712_105122903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792714_1051229030">
            <w:r>
              <w:rPr>
                <w:webHidden/>
                <w:rStyle w:val="IndexLink"/>
                <w:rtl w:val="true"/>
              </w:rPr>
              <w:t xml:space="preserve">الأهداف السياسيّة لنهضة الإمام الحسين عَلیه السَلام </w:t>
            </w:r>
            <w:r>
              <w:rPr>
                <w:rStyle w:val="IndexLink"/>
                <w:rtl w:val="true"/>
              </w:rPr>
              <w:t>:</w:t>
              <w:tab/>
            </w:r>
            <w:r>
              <w:rPr>
                <w:rStyle w:val="IndexLink"/>
              </w:rPr>
              <w:t>20</w:t>
            </w:r>
          </w:hyperlink>
        </w:p>
        <w:p>
          <w:pPr>
            <w:pStyle w:val="Contents5"/>
            <w:tabs>
              <w:tab w:val="clear" w:pos="7892"/>
              <w:tab w:val="right" w:pos="9026" w:leader="dot"/>
            </w:tabs>
            <w:rPr/>
          </w:pPr>
          <w:hyperlink w:anchor="__RefHeading___Toc2792716_1051229030">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2792718_1051229030">
            <w:r>
              <w:rPr>
                <w:webHidden/>
                <w:rStyle w:val="IndexLink"/>
              </w:rPr>
              <w:t>1</w:t>
            </w:r>
            <w:r>
              <w:rPr>
                <w:rStyle w:val="IndexLink"/>
                <w:rtl w:val="true"/>
              </w:rPr>
              <w:t xml:space="preserve">- </w:t>
            </w:r>
            <w:r>
              <w:rPr>
                <w:rStyle w:val="IndexLink"/>
                <w:rtl w:val="true"/>
              </w:rPr>
              <w:t>نصوص الإصلاح</w:t>
            </w:r>
            <w:r>
              <w:rPr>
                <w:rStyle w:val="IndexLink"/>
                <w:rtl w:val="true"/>
              </w:rPr>
              <w:tab/>
            </w:r>
            <w:r>
              <w:rPr>
                <w:rStyle w:val="IndexLink"/>
              </w:rPr>
              <w:t>21</w:t>
            </w:r>
          </w:hyperlink>
        </w:p>
        <w:p>
          <w:pPr>
            <w:pStyle w:val="Contents5"/>
            <w:tabs>
              <w:tab w:val="clear" w:pos="7892"/>
              <w:tab w:val="right" w:pos="9026" w:leader="dot"/>
            </w:tabs>
            <w:rPr/>
          </w:pPr>
          <w:hyperlink w:anchor="__RefHeading___Toc2792720_1051229030">
            <w:r>
              <w:rPr>
                <w:webHidden/>
                <w:rStyle w:val="IndexLink"/>
              </w:rPr>
              <w:t>2</w:t>
            </w:r>
            <w:r>
              <w:rPr>
                <w:rStyle w:val="IndexLink"/>
                <w:rtl w:val="true"/>
              </w:rPr>
              <w:t xml:space="preserve">- </w:t>
            </w:r>
            <w:r>
              <w:rPr>
                <w:rStyle w:val="IndexLink"/>
                <w:rtl w:val="true"/>
              </w:rPr>
              <w:t>إرسال مسلم بن عقيل إلى الكوفة</w:t>
            </w:r>
            <w:r>
              <w:rPr>
                <w:rStyle w:val="IndexLink"/>
                <w:rtl w:val="true"/>
              </w:rPr>
              <w:tab/>
            </w:r>
            <w:r>
              <w:rPr>
                <w:rStyle w:val="IndexLink"/>
              </w:rPr>
              <w:t>23</w:t>
            </w:r>
          </w:hyperlink>
        </w:p>
        <w:p>
          <w:pPr>
            <w:pStyle w:val="Contents5"/>
            <w:tabs>
              <w:tab w:val="clear" w:pos="7892"/>
              <w:tab w:val="right" w:pos="9026" w:leader="dot"/>
            </w:tabs>
            <w:rPr/>
          </w:pPr>
          <w:hyperlink w:anchor="__RefHeading___Toc2792722_1051229030">
            <w:r>
              <w:rPr>
                <w:webHidden/>
                <w:rStyle w:val="IndexLink"/>
              </w:rPr>
              <w:t>3</w:t>
            </w:r>
            <w:r>
              <w:rPr>
                <w:rStyle w:val="IndexLink"/>
                <w:rtl w:val="true"/>
              </w:rPr>
              <w:t xml:space="preserve">- </w:t>
            </w:r>
            <w:r>
              <w:rPr>
                <w:rStyle w:val="IndexLink"/>
                <w:rtl w:val="true"/>
              </w:rPr>
              <w:t>أقوال الإمام الحسين عَلیه السَلام وتصريحاته ومكاتباته ورسائله السياسية</w:t>
            </w:r>
            <w:r>
              <w:rPr>
                <w:rStyle w:val="IndexLink"/>
                <w:rtl w:val="true"/>
              </w:rPr>
              <w:tab/>
            </w:r>
            <w:r>
              <w:rPr>
                <w:rStyle w:val="IndexLink"/>
              </w:rPr>
              <w:t>25</w:t>
            </w:r>
          </w:hyperlink>
        </w:p>
        <w:p>
          <w:pPr>
            <w:pStyle w:val="Contents6"/>
            <w:tabs>
              <w:tab w:val="clear" w:pos="7609"/>
              <w:tab w:val="right" w:pos="9026" w:leader="dot"/>
            </w:tabs>
            <w:rPr/>
          </w:pPr>
          <w:hyperlink w:anchor="__RefHeading___Toc2792724_1051229030">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2792726_1051229030">
            <w:r>
              <w:rPr>
                <w:webHidden/>
                <w:rStyle w:val="IndexLink"/>
                <w:rtl w:val="true"/>
              </w:rPr>
              <w:t>منها</w:t>
            </w:r>
            <w:r>
              <w:rPr>
                <w:rStyle w:val="IndexLink"/>
                <w:rtl w:val="true"/>
              </w:rPr>
              <w:t xml:space="preserve">: </w:t>
            </w:r>
            <w:r>
              <w:rPr>
                <w:rStyle w:val="IndexLink"/>
                <w:rtl w:val="true"/>
              </w:rPr>
              <w:t>رسائله عَلیه السَلام إلى أهل الكوفة</w:t>
            </w:r>
            <w:r>
              <w:rPr>
                <w:rStyle w:val="IndexLink"/>
                <w:rtl w:val="true"/>
              </w:rPr>
              <w:tab/>
            </w:r>
            <w:r>
              <w:rPr>
                <w:rStyle w:val="IndexLink"/>
              </w:rPr>
              <w:t>25</w:t>
            </w:r>
          </w:hyperlink>
        </w:p>
        <w:p>
          <w:pPr>
            <w:pStyle w:val="Contents6"/>
            <w:tabs>
              <w:tab w:val="clear" w:pos="7609"/>
              <w:tab w:val="right" w:pos="9026" w:leader="dot"/>
            </w:tabs>
            <w:rPr/>
          </w:pPr>
          <w:hyperlink w:anchor="__RefHeading___Toc2792728_1051229030">
            <w:r>
              <w:rPr>
                <w:webHidden/>
                <w:rStyle w:val="IndexLink"/>
                <w:rtl w:val="true"/>
              </w:rPr>
              <w:t>ومنها</w:t>
            </w:r>
            <w:r>
              <w:rPr>
                <w:rStyle w:val="IndexLink"/>
                <w:rtl w:val="true"/>
              </w:rPr>
              <w:t xml:space="preserve">: </w:t>
            </w:r>
            <w:r>
              <w:rPr>
                <w:rStyle w:val="IndexLink"/>
                <w:rtl w:val="true"/>
              </w:rPr>
              <w:t>مكاتباته عَلیه السَلام إلى أشراف البصرة ووجهائها</w:t>
            </w:r>
            <w:r>
              <w:rPr>
                <w:rStyle w:val="IndexLink"/>
                <w:rtl w:val="true"/>
              </w:rPr>
              <w:tab/>
            </w:r>
            <w:r>
              <w:rPr>
                <w:rStyle w:val="IndexLink"/>
              </w:rPr>
              <w:t>26</w:t>
            </w:r>
          </w:hyperlink>
        </w:p>
        <w:p>
          <w:pPr>
            <w:pStyle w:val="Contents6"/>
            <w:tabs>
              <w:tab w:val="clear" w:pos="7609"/>
              <w:tab w:val="right" w:pos="9026" w:leader="dot"/>
            </w:tabs>
            <w:rPr/>
          </w:pPr>
          <w:hyperlink w:anchor="__RefHeading___Toc2792730_1051229030">
            <w:r>
              <w:rPr>
                <w:webHidden/>
                <w:rStyle w:val="IndexLink"/>
                <w:rtl w:val="true"/>
              </w:rPr>
              <w:t>ومنها</w:t>
            </w:r>
            <w:r>
              <w:rPr>
                <w:rStyle w:val="IndexLink"/>
                <w:rtl w:val="true"/>
              </w:rPr>
              <w:t xml:space="preserve">: </w:t>
            </w:r>
            <w:r>
              <w:rPr>
                <w:rStyle w:val="IndexLink"/>
                <w:rtl w:val="true"/>
              </w:rPr>
              <w:t>أقواله وأحاديثه عَلیه السَلام في طريقه إلى الكوفة</w:t>
            </w:r>
            <w:r>
              <w:rPr>
                <w:rStyle w:val="IndexLink"/>
                <w:rtl w:val="true"/>
              </w:rPr>
              <w:tab/>
            </w:r>
            <w:r>
              <w:rPr>
                <w:rStyle w:val="IndexLink"/>
              </w:rPr>
              <w:t>28</w:t>
            </w:r>
          </w:hyperlink>
        </w:p>
        <w:p>
          <w:pPr>
            <w:pStyle w:val="Contents6"/>
            <w:tabs>
              <w:tab w:val="clear" w:pos="7609"/>
              <w:tab w:val="right" w:pos="9026" w:leader="dot"/>
            </w:tabs>
            <w:rPr/>
          </w:pPr>
          <w:hyperlink w:anchor="__RefHeading___Toc2792732_1051229030">
            <w:r>
              <w:rPr>
                <w:webHidden/>
                <w:rStyle w:val="IndexLink"/>
                <w:rtl w:val="true"/>
              </w:rPr>
              <w:t>ومنها</w:t>
            </w:r>
            <w:r>
              <w:rPr>
                <w:rStyle w:val="IndexLink"/>
                <w:rtl w:val="true"/>
              </w:rPr>
              <w:t xml:space="preserve">: </w:t>
            </w:r>
            <w:r>
              <w:rPr>
                <w:rStyle w:val="IndexLink"/>
                <w:rtl w:val="true"/>
              </w:rPr>
              <w:t>أقواله وأحاديثه عَلیه السَلام في كربلاء</w:t>
            </w:r>
            <w:r>
              <w:rPr>
                <w:rStyle w:val="IndexLink"/>
                <w:rtl w:val="true"/>
              </w:rPr>
              <w:tab/>
            </w:r>
            <w:r>
              <w:rPr>
                <w:rStyle w:val="IndexLink"/>
              </w:rPr>
              <w:t>30</w:t>
            </w:r>
          </w:hyperlink>
        </w:p>
        <w:p>
          <w:pPr>
            <w:pStyle w:val="Contents2"/>
            <w:tabs>
              <w:tab w:val="clear" w:pos="8743"/>
              <w:tab w:val="right" w:pos="9026" w:leader="dot"/>
            </w:tabs>
            <w:rPr/>
          </w:pPr>
          <w:hyperlink w:anchor="__RefHeading___Toc2792734_1051229030">
            <w:r>
              <w:rPr>
                <w:webHidden/>
                <w:rStyle w:val="IndexLink"/>
                <w:rtl w:val="true"/>
              </w:rPr>
              <w:t>دِرَاسَّاتٌ في آفَاقِ النَهضَةِ الحُسَينِيَّة</w:t>
            </w:r>
            <w:r>
              <w:rPr>
                <w:rStyle w:val="IndexLink"/>
                <w:rtl w:val="true"/>
              </w:rPr>
              <w:tab/>
            </w:r>
            <w:r>
              <w:rPr>
                <w:rStyle w:val="IndexLink"/>
              </w:rPr>
              <w:t>33</w:t>
            </w:r>
          </w:hyperlink>
        </w:p>
        <w:p>
          <w:pPr>
            <w:pStyle w:val="Contents3"/>
            <w:tabs>
              <w:tab w:val="clear" w:pos="8459"/>
              <w:tab w:val="right" w:pos="9026" w:leader="dot"/>
            </w:tabs>
            <w:rPr/>
          </w:pPr>
          <w:hyperlink w:anchor="__RefHeading___Toc2792736_105122903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2792738_1051229030">
            <w:r>
              <w:rPr>
                <w:webHidden/>
                <w:rStyle w:val="IndexLink"/>
                <w:rtl w:val="true"/>
              </w:rPr>
              <w:t>خَصَائصُ الخَطابِ العَاشُورَائي تَجَرُدُ الخِطابُ وَ المُزاوَجَةُ بَینَ الَعَاطِفةِ وَ العَقل سماحة العلامة الشيخ</w:t>
            </w:r>
            <w:r>
              <w:rPr>
                <w:rStyle w:val="IndexLink"/>
                <w:rtl w:val="true"/>
              </w:rPr>
              <w:t>-</w:t>
            </w:r>
            <w:r>
              <w:rPr>
                <w:rStyle w:val="IndexLink"/>
                <w:rtl w:val="true"/>
              </w:rPr>
              <w:t>معين دقيق العاملي</w:t>
            </w:r>
            <w:r>
              <w:rPr>
                <w:rStyle w:val="IndexLink"/>
                <w:rtl w:val="true"/>
              </w:rPr>
              <w:tab/>
            </w:r>
            <w:r>
              <w:rPr>
                <w:rStyle w:val="IndexLink"/>
              </w:rPr>
              <w:t>35</w:t>
            </w:r>
          </w:hyperlink>
        </w:p>
        <w:p>
          <w:pPr>
            <w:pStyle w:val="Contents4"/>
            <w:tabs>
              <w:tab w:val="clear" w:pos="8176"/>
              <w:tab w:val="right" w:pos="9026" w:leader="dot"/>
            </w:tabs>
            <w:rPr/>
          </w:pPr>
          <w:hyperlink w:anchor="__RefHeading___Toc2792740_1051229030">
            <w:r>
              <w:rPr>
                <w:webHidden/>
                <w:rStyle w:val="IndexLink"/>
                <w:rtl w:val="true"/>
              </w:rPr>
              <w:t>تمهيد</w:t>
            </w:r>
            <w:r>
              <w:rPr>
                <w:rStyle w:val="IndexLink"/>
                <w:rtl w:val="true"/>
              </w:rPr>
              <w:tab/>
            </w:r>
            <w:r>
              <w:rPr>
                <w:rStyle w:val="IndexLink"/>
              </w:rPr>
              <w:t>35</w:t>
            </w:r>
          </w:hyperlink>
        </w:p>
        <w:p>
          <w:pPr>
            <w:pStyle w:val="Contents4"/>
            <w:tabs>
              <w:tab w:val="clear" w:pos="8176"/>
              <w:tab w:val="right" w:pos="9026" w:leader="dot"/>
            </w:tabs>
            <w:rPr/>
          </w:pPr>
          <w:hyperlink w:anchor="__RefHeading___Toc2792742_1051229030">
            <w:r>
              <w:rPr>
                <w:webHidden/>
                <w:rStyle w:val="IndexLink"/>
                <w:rtl w:val="true"/>
              </w:rPr>
              <w:t>إشكالية البحث</w:t>
            </w:r>
            <w:r>
              <w:rPr>
                <w:rStyle w:val="IndexLink"/>
                <w:rtl w:val="true"/>
              </w:rPr>
              <w:t>:</w:t>
              <w:tab/>
            </w:r>
            <w:r>
              <w:rPr>
                <w:rStyle w:val="IndexLink"/>
              </w:rPr>
              <w:t>37</w:t>
            </w:r>
          </w:hyperlink>
        </w:p>
        <w:p>
          <w:pPr>
            <w:pStyle w:val="Contents4"/>
            <w:tabs>
              <w:tab w:val="clear" w:pos="8176"/>
              <w:tab w:val="right" w:pos="9026" w:leader="dot"/>
            </w:tabs>
            <w:rPr/>
          </w:pPr>
          <w:hyperlink w:anchor="__RefHeading___Toc2792744_1051229030">
            <w:r>
              <w:rPr>
                <w:webHidden/>
                <w:rStyle w:val="IndexLink"/>
                <w:rtl w:val="true"/>
              </w:rPr>
              <w:t>المقصود من الخطاب العاشورائي</w:t>
            </w:r>
            <w:r>
              <w:rPr>
                <w:rStyle w:val="IndexLink"/>
                <w:rtl w:val="true"/>
              </w:rPr>
              <w:t>:</w:t>
              <w:tab/>
            </w:r>
            <w:r>
              <w:rPr>
                <w:rStyle w:val="IndexLink"/>
              </w:rPr>
              <w:t>37</w:t>
            </w:r>
          </w:hyperlink>
        </w:p>
        <w:p>
          <w:pPr>
            <w:pStyle w:val="Contents4"/>
            <w:tabs>
              <w:tab w:val="clear" w:pos="8176"/>
              <w:tab w:val="right" w:pos="9026" w:leader="dot"/>
            </w:tabs>
            <w:rPr/>
          </w:pPr>
          <w:hyperlink w:anchor="__RefHeading___Toc2792746_1051229030">
            <w:r>
              <w:rPr>
                <w:webHidden/>
                <w:rStyle w:val="IndexLink"/>
                <w:rtl w:val="true"/>
              </w:rPr>
              <w:t>الخصيصة الأُولى</w:t>
            </w:r>
            <w:r>
              <w:rPr>
                <w:rStyle w:val="IndexLink"/>
                <w:rtl w:val="true"/>
              </w:rPr>
              <w:t xml:space="preserve">: </w:t>
            </w:r>
            <w:r>
              <w:rPr>
                <w:rStyle w:val="IndexLink"/>
                <w:rtl w:val="true"/>
              </w:rPr>
              <w:t>التجرُّد عن الزمان والمكان</w:t>
            </w:r>
            <w:r>
              <w:rPr>
                <w:rStyle w:val="IndexLink"/>
                <w:rtl w:val="true"/>
              </w:rPr>
              <w:tab/>
            </w:r>
            <w:r>
              <w:rPr>
                <w:rStyle w:val="IndexLink"/>
              </w:rPr>
              <w:t>38</w:t>
            </w:r>
          </w:hyperlink>
        </w:p>
        <w:p>
          <w:pPr>
            <w:pStyle w:val="Contents4"/>
            <w:tabs>
              <w:tab w:val="clear" w:pos="8176"/>
              <w:tab w:val="right" w:pos="9026" w:leader="dot"/>
            </w:tabs>
            <w:rPr/>
          </w:pPr>
          <w:hyperlink w:anchor="__RefHeading___Toc2792748_1051229030">
            <w:r>
              <w:rPr>
                <w:webHidden/>
                <w:rStyle w:val="IndexLink"/>
                <w:rtl w:val="true"/>
              </w:rPr>
              <w:t>مناهج البحث التاريخي تؤكِّد على خصيصة التجرُّد</w:t>
            </w:r>
            <w:r>
              <w:rPr>
                <w:rStyle w:val="IndexLink"/>
                <w:rtl w:val="true"/>
              </w:rPr>
              <w:t>:</w:t>
              <w:tab/>
            </w:r>
            <w:r>
              <w:rPr>
                <w:rStyle w:val="IndexLink"/>
              </w:rPr>
              <w:t>42</w:t>
            </w:r>
          </w:hyperlink>
        </w:p>
        <w:p>
          <w:pPr>
            <w:pStyle w:val="Contents4"/>
            <w:tabs>
              <w:tab w:val="clear" w:pos="8176"/>
              <w:tab w:val="right" w:pos="9026" w:leader="dot"/>
            </w:tabs>
            <w:rPr/>
          </w:pPr>
          <w:hyperlink w:anchor="__RefHeading___Toc2792750_1051229030">
            <w:r>
              <w:rPr>
                <w:webHidden/>
                <w:rStyle w:val="IndexLink"/>
                <w:rtl w:val="true"/>
              </w:rPr>
              <w:t>الخصيصة الثانية</w:t>
            </w:r>
            <w:r>
              <w:rPr>
                <w:rStyle w:val="IndexLink"/>
                <w:rtl w:val="true"/>
              </w:rPr>
              <w:t xml:space="preserve">: </w:t>
            </w:r>
            <w:r>
              <w:rPr>
                <w:rStyle w:val="IndexLink"/>
                <w:rtl w:val="true"/>
              </w:rPr>
              <w:t>تزاوج العاطفة والعقل</w:t>
            </w:r>
            <w:r>
              <w:rPr>
                <w:rStyle w:val="IndexLink"/>
                <w:rtl w:val="true"/>
              </w:rPr>
              <w:tab/>
            </w:r>
            <w:r>
              <w:rPr>
                <w:rStyle w:val="IndexLink"/>
              </w:rPr>
              <w:t>47</w:t>
            </w:r>
          </w:hyperlink>
        </w:p>
        <w:p>
          <w:pPr>
            <w:pStyle w:val="Contents4"/>
            <w:tabs>
              <w:tab w:val="clear" w:pos="8176"/>
              <w:tab w:val="right" w:pos="9026" w:leader="dot"/>
            </w:tabs>
            <w:rPr/>
          </w:pPr>
          <w:hyperlink w:anchor="__RefHeading___Toc2792752_1051229030">
            <w:r>
              <w:rPr>
                <w:webHidden/>
                <w:rStyle w:val="IndexLink"/>
                <w:rtl w:val="true"/>
              </w:rPr>
              <w:t>نماذج التزاوج بين التطوير العقلي والعاطفي في الخطاب العاشورائي</w:t>
            </w:r>
            <w:r>
              <w:rPr>
                <w:rStyle w:val="IndexLink"/>
                <w:rtl w:val="true"/>
              </w:rPr>
              <w:t>:</w:t>
              <w:tab/>
            </w:r>
            <w:r>
              <w:rPr>
                <w:rStyle w:val="IndexLink"/>
              </w:rPr>
              <w:t>50</w:t>
            </w:r>
          </w:hyperlink>
        </w:p>
        <w:p>
          <w:pPr>
            <w:pStyle w:val="Contents5"/>
            <w:tabs>
              <w:tab w:val="clear" w:pos="7892"/>
              <w:tab w:val="right" w:pos="9026" w:leader="dot"/>
            </w:tabs>
            <w:rPr/>
          </w:pPr>
          <w:hyperlink w:anchor="__RefHeading___Toc2792754_105122903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2792756_1051229030">
            <w:r>
              <w:rPr>
                <w:webHidden/>
                <w:rStyle w:val="IndexLink"/>
                <w:rtl w:val="true"/>
              </w:rPr>
              <w:t>النموذج الأوّل</w:t>
            </w:r>
            <w:r>
              <w:rPr>
                <w:rStyle w:val="IndexLink"/>
                <w:rtl w:val="true"/>
              </w:rPr>
              <w:t>:</w:t>
              <w:tab/>
            </w:r>
            <w:r>
              <w:rPr>
                <w:rStyle w:val="IndexLink"/>
              </w:rPr>
              <w:t>51</w:t>
            </w:r>
          </w:hyperlink>
        </w:p>
        <w:p>
          <w:pPr>
            <w:pStyle w:val="Contents5"/>
            <w:tabs>
              <w:tab w:val="clear" w:pos="7892"/>
              <w:tab w:val="right" w:pos="9026" w:leader="dot"/>
            </w:tabs>
            <w:rPr/>
          </w:pPr>
          <w:hyperlink w:anchor="__RefHeading___Toc2792758_1051229030">
            <w:r>
              <w:rPr>
                <w:webHidden/>
                <w:rStyle w:val="IndexLink"/>
                <w:rtl w:val="true"/>
              </w:rPr>
              <w:t>النموذج الثاني</w:t>
            </w:r>
            <w:r>
              <w:rPr>
                <w:rStyle w:val="IndexLink"/>
                <w:rtl w:val="true"/>
              </w:rPr>
              <w:t>:</w:t>
              <w:tab/>
            </w:r>
            <w:r>
              <w:rPr>
                <w:rStyle w:val="IndexLink"/>
              </w:rPr>
              <w:t>53</w:t>
            </w:r>
          </w:hyperlink>
        </w:p>
        <w:p>
          <w:pPr>
            <w:pStyle w:val="Contents5"/>
            <w:tabs>
              <w:tab w:val="clear" w:pos="7892"/>
              <w:tab w:val="right" w:pos="9026" w:leader="dot"/>
            </w:tabs>
            <w:rPr/>
          </w:pPr>
          <w:hyperlink w:anchor="__RefHeading___Toc2792760_1051229030">
            <w:r>
              <w:rPr>
                <w:webHidden/>
                <w:rStyle w:val="IndexLink"/>
                <w:rtl w:val="true"/>
              </w:rPr>
              <w:t>النموذج الثالث</w:t>
            </w:r>
            <w:r>
              <w:rPr>
                <w:rStyle w:val="IndexLink"/>
                <w:rtl w:val="true"/>
              </w:rPr>
              <w:t>:</w:t>
              <w:tab/>
            </w:r>
            <w:r>
              <w:rPr>
                <w:rStyle w:val="IndexLink"/>
              </w:rPr>
              <w:t>54</w:t>
            </w:r>
          </w:hyperlink>
        </w:p>
        <w:p>
          <w:pPr>
            <w:pStyle w:val="Contents3"/>
            <w:tabs>
              <w:tab w:val="clear" w:pos="8459"/>
              <w:tab w:val="right" w:pos="9026" w:leader="dot"/>
            </w:tabs>
            <w:rPr/>
          </w:pPr>
          <w:hyperlink w:anchor="__RefHeading___Toc2792762_1051229030">
            <w:r>
              <w:rPr>
                <w:webHidden/>
                <w:rStyle w:val="IndexLink"/>
                <w:rtl w:val="true"/>
              </w:rPr>
              <w:t>النَهضةُ الحُسَینیَّة بَینَ انتِکاسَةِ الاُمةِ وَ ایقُاظهَا د</w:t>
            </w:r>
            <w:r>
              <w:rPr>
                <w:rStyle w:val="IndexLink"/>
                <w:rtl w:val="true"/>
              </w:rPr>
              <w:t>.</w:t>
            </w:r>
            <w:r>
              <w:rPr>
                <w:rStyle w:val="IndexLink"/>
                <w:rtl w:val="true"/>
              </w:rPr>
              <w:t>السيد حاتم البخاتي</w:t>
            </w:r>
            <w:r>
              <w:rPr>
                <w:rStyle w:val="IndexLink"/>
                <w:rtl w:val="true"/>
              </w:rPr>
              <w:tab/>
            </w:r>
            <w:r>
              <w:rPr>
                <w:rStyle w:val="IndexLink"/>
              </w:rPr>
              <w:t>57</w:t>
            </w:r>
          </w:hyperlink>
        </w:p>
        <w:p>
          <w:pPr>
            <w:pStyle w:val="Contents4"/>
            <w:tabs>
              <w:tab w:val="clear" w:pos="8176"/>
              <w:tab w:val="right" w:pos="9026" w:leader="dot"/>
            </w:tabs>
            <w:rPr/>
          </w:pPr>
          <w:hyperlink w:anchor="__RefHeading___Toc2792764_105122903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792766_1051229030">
            <w:r>
              <w:rPr>
                <w:webHidden/>
                <w:rStyle w:val="IndexLink"/>
                <w:rtl w:val="true"/>
              </w:rPr>
              <w:t>أهداف النهضة الحسينيّة ودوافعها</w:t>
            </w:r>
            <w:r>
              <w:rPr>
                <w:rStyle w:val="IndexLink"/>
                <w:rtl w:val="true"/>
              </w:rPr>
              <w:tab/>
            </w:r>
            <w:r>
              <w:rPr>
                <w:rStyle w:val="IndexLink"/>
              </w:rPr>
              <w:t>58</w:t>
            </w:r>
          </w:hyperlink>
        </w:p>
        <w:p>
          <w:pPr>
            <w:pStyle w:val="Contents4"/>
            <w:tabs>
              <w:tab w:val="clear" w:pos="8176"/>
              <w:tab w:val="right" w:pos="9026" w:leader="dot"/>
            </w:tabs>
            <w:rPr/>
          </w:pPr>
          <w:hyperlink w:anchor="__RefHeading___Toc2792768_1051229030">
            <w:r>
              <w:rPr>
                <w:webHidden/>
                <w:rStyle w:val="IndexLink"/>
                <w:rtl w:val="true"/>
              </w:rPr>
              <w:t>أُسلوب الإمام الحسين عَلیه السَلام وطريقته في تحقيق الإصلاح</w:t>
            </w:r>
            <w:r>
              <w:rPr>
                <w:rStyle w:val="IndexLink"/>
                <w:rtl w:val="true"/>
              </w:rPr>
              <w:tab/>
            </w:r>
            <w:r>
              <w:rPr>
                <w:rStyle w:val="IndexLink"/>
              </w:rPr>
              <w:t>60</w:t>
            </w:r>
          </w:hyperlink>
        </w:p>
        <w:p>
          <w:pPr>
            <w:pStyle w:val="Contents5"/>
            <w:tabs>
              <w:tab w:val="clear" w:pos="7892"/>
              <w:tab w:val="right" w:pos="9026" w:leader="dot"/>
            </w:tabs>
            <w:rPr/>
          </w:pPr>
          <w:hyperlink w:anchor="__RefHeading___Toc2792770_105122903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792772_1051229030">
            <w:r>
              <w:rPr>
                <w:webHidden/>
                <w:rStyle w:val="IndexLink"/>
                <w:rtl w:val="true"/>
              </w:rPr>
              <w:t>الأُسلوب الأول</w:t>
            </w:r>
            <w:r>
              <w:rPr>
                <w:rStyle w:val="IndexLink"/>
                <w:rtl w:val="true"/>
              </w:rPr>
              <w:t xml:space="preserve">: </w:t>
            </w:r>
            <w:r>
              <w:rPr>
                <w:rStyle w:val="IndexLink"/>
                <w:rtl w:val="true"/>
              </w:rPr>
              <w:t>الاستيلاء على السلطة وإقامة الحكم الإلهي</w:t>
            </w:r>
            <w:r>
              <w:rPr>
                <w:rStyle w:val="IndexLink"/>
                <w:rtl w:val="true"/>
              </w:rPr>
              <w:tab/>
            </w:r>
            <w:r>
              <w:rPr>
                <w:rStyle w:val="IndexLink"/>
              </w:rPr>
              <w:t>60</w:t>
            </w:r>
          </w:hyperlink>
        </w:p>
        <w:p>
          <w:pPr>
            <w:pStyle w:val="Contents5"/>
            <w:tabs>
              <w:tab w:val="clear" w:pos="7892"/>
              <w:tab w:val="right" w:pos="9026" w:leader="dot"/>
            </w:tabs>
            <w:rPr/>
          </w:pPr>
          <w:hyperlink w:anchor="__RefHeading___Toc2792774_1051229030">
            <w:r>
              <w:rPr>
                <w:webHidden/>
                <w:rStyle w:val="IndexLink"/>
                <w:rtl w:val="true"/>
              </w:rPr>
              <w:t>الأُسلوب الثاني</w:t>
            </w:r>
            <w:r>
              <w:rPr>
                <w:rStyle w:val="IndexLink"/>
                <w:rtl w:val="true"/>
              </w:rPr>
              <w:t xml:space="preserve">: </w:t>
            </w:r>
            <w:r>
              <w:rPr>
                <w:rStyle w:val="IndexLink"/>
                <w:rtl w:val="true"/>
              </w:rPr>
              <w:t>طريق التضحية والاستشهاد</w:t>
            </w:r>
            <w:r>
              <w:rPr>
                <w:rStyle w:val="IndexLink"/>
                <w:rtl w:val="true"/>
              </w:rPr>
              <w:tab/>
            </w:r>
            <w:r>
              <w:rPr>
                <w:rStyle w:val="IndexLink"/>
              </w:rPr>
              <w:t>64</w:t>
            </w:r>
          </w:hyperlink>
        </w:p>
        <w:p>
          <w:pPr>
            <w:pStyle w:val="Contents5"/>
            <w:tabs>
              <w:tab w:val="clear" w:pos="7892"/>
              <w:tab w:val="right" w:pos="9026" w:leader="dot"/>
            </w:tabs>
            <w:rPr/>
          </w:pPr>
          <w:hyperlink w:anchor="__RefHeading___Toc2792776_1051229030">
            <w:r>
              <w:rPr>
                <w:webHidden/>
                <w:rStyle w:val="IndexLink"/>
                <w:rtl w:val="true"/>
              </w:rPr>
              <w:t>الرؤية الأولى</w:t>
            </w:r>
            <w:r>
              <w:rPr>
                <w:rStyle w:val="IndexLink"/>
                <w:rtl w:val="true"/>
              </w:rPr>
              <w:t xml:space="preserve">: </w:t>
            </w:r>
            <w:r>
              <w:rPr>
                <w:rStyle w:val="IndexLink"/>
                <w:rtl w:val="true"/>
              </w:rPr>
              <w:t>انتكاسة الأمّة بعد واقعة كربلاء</w:t>
            </w:r>
            <w:r>
              <w:rPr>
                <w:rStyle w:val="IndexLink"/>
                <w:rtl w:val="true"/>
              </w:rPr>
              <w:tab/>
            </w:r>
            <w:r>
              <w:rPr>
                <w:rStyle w:val="IndexLink"/>
              </w:rPr>
              <w:t>67</w:t>
            </w:r>
          </w:hyperlink>
        </w:p>
        <w:p>
          <w:pPr>
            <w:pStyle w:val="Contents5"/>
            <w:tabs>
              <w:tab w:val="clear" w:pos="7892"/>
              <w:tab w:val="right" w:pos="9026" w:leader="dot"/>
            </w:tabs>
            <w:rPr/>
          </w:pPr>
          <w:hyperlink w:anchor="__RefHeading___Toc2792778_1051229030">
            <w:r>
              <w:rPr>
                <w:webHidden/>
                <w:rStyle w:val="IndexLink"/>
                <w:rtl w:val="true"/>
              </w:rPr>
              <w:t>الواقع التاريخي للأُمّة الإسلامية بعد عاشوراء</w:t>
            </w:r>
            <w:r>
              <w:rPr>
                <w:rStyle w:val="IndexLink"/>
                <w:rtl w:val="true"/>
              </w:rPr>
              <w:tab/>
            </w:r>
            <w:r>
              <w:rPr>
                <w:rStyle w:val="IndexLink"/>
              </w:rPr>
              <w:t>68</w:t>
            </w:r>
          </w:hyperlink>
        </w:p>
        <w:p>
          <w:pPr>
            <w:pStyle w:val="Contents5"/>
            <w:tabs>
              <w:tab w:val="clear" w:pos="7892"/>
              <w:tab w:val="right" w:pos="9026" w:leader="dot"/>
            </w:tabs>
            <w:rPr/>
          </w:pPr>
          <w:hyperlink w:anchor="__RefHeading___Toc2792780_1051229030">
            <w:r>
              <w:rPr>
                <w:webHidden/>
                <w:rStyle w:val="IndexLink"/>
                <w:rtl w:val="true"/>
              </w:rPr>
              <w:t>شواهد نصّية على حصول انتكاسة الأُمّة بعد عاشوراء</w:t>
            </w:r>
            <w:r>
              <w:rPr>
                <w:rStyle w:val="IndexLink"/>
                <w:rtl w:val="true"/>
              </w:rPr>
              <w:tab/>
            </w:r>
            <w:r>
              <w:rPr>
                <w:rStyle w:val="IndexLink"/>
              </w:rPr>
              <w:t>71</w:t>
            </w:r>
          </w:hyperlink>
        </w:p>
        <w:p>
          <w:pPr>
            <w:pStyle w:val="Contents5"/>
            <w:tabs>
              <w:tab w:val="clear" w:pos="7892"/>
              <w:tab w:val="right" w:pos="9026" w:leader="dot"/>
            </w:tabs>
            <w:rPr/>
          </w:pPr>
          <w:hyperlink w:anchor="__RefHeading___Toc2792782_1051229030">
            <w:r>
              <w:rPr>
                <w:webHidden/>
                <w:rStyle w:val="IndexLink"/>
                <w:rtl w:val="true"/>
              </w:rPr>
              <w:t>الرؤية الثانية</w:t>
            </w:r>
            <w:r>
              <w:rPr>
                <w:rStyle w:val="IndexLink"/>
                <w:rtl w:val="true"/>
              </w:rPr>
              <w:t xml:space="preserve">: </w:t>
            </w:r>
            <w:r>
              <w:rPr>
                <w:rStyle w:val="IndexLink"/>
                <w:rtl w:val="true"/>
              </w:rPr>
              <w:t>نهضة الحسين وإيقاظ الأُمّة</w:t>
            </w:r>
            <w:r>
              <w:rPr>
                <w:rStyle w:val="IndexLink"/>
                <w:rtl w:val="true"/>
              </w:rPr>
              <w:tab/>
            </w:r>
            <w:r>
              <w:rPr>
                <w:rStyle w:val="IndexLink"/>
              </w:rPr>
              <w:t>73</w:t>
            </w:r>
          </w:hyperlink>
        </w:p>
        <w:p>
          <w:pPr>
            <w:pStyle w:val="Contents4"/>
            <w:tabs>
              <w:tab w:val="clear" w:pos="8176"/>
              <w:tab w:val="right" w:pos="9026" w:leader="dot"/>
            </w:tabs>
            <w:rPr/>
          </w:pPr>
          <w:hyperlink w:anchor="__RefHeading___Toc2792784_1051229030">
            <w:r>
              <w:rPr>
                <w:webHidden/>
                <w:rStyle w:val="IndexLink"/>
                <w:rtl w:val="true"/>
              </w:rPr>
              <w:t>نتائج ومُعطيات النهضة الحسينيّة</w:t>
            </w:r>
            <w:r>
              <w:rPr>
                <w:rStyle w:val="IndexLink"/>
                <w:rtl w:val="true"/>
              </w:rPr>
              <w:tab/>
            </w:r>
            <w:r>
              <w:rPr>
                <w:rStyle w:val="IndexLink"/>
              </w:rPr>
              <w:t>74</w:t>
            </w:r>
          </w:hyperlink>
        </w:p>
        <w:p>
          <w:pPr>
            <w:pStyle w:val="Contents5"/>
            <w:tabs>
              <w:tab w:val="clear" w:pos="7892"/>
              <w:tab w:val="right" w:pos="9026" w:leader="dot"/>
            </w:tabs>
            <w:rPr/>
          </w:pPr>
          <w:hyperlink w:anchor="__RefHeading___Toc2792786_1051229030">
            <w:r>
              <w:rPr>
                <w:webHidden/>
                <w:rStyle w:val="IndexLink"/>
                <w:rtl w:val="true"/>
              </w:rPr>
              <w:t>أولاً</w:t>
            </w:r>
            <w:r>
              <w:rPr>
                <w:rStyle w:val="IndexLink"/>
                <w:rtl w:val="true"/>
              </w:rPr>
              <w:t xml:space="preserve">: </w:t>
            </w:r>
            <w:r>
              <w:rPr>
                <w:rStyle w:val="IndexLink"/>
                <w:rtl w:val="true"/>
              </w:rPr>
              <w:t>نزع غطاء الشرعيّة عن سلطة بني أميّة وبيان أحقّيّة أهل البيت علیهم السلام</w:t>
            </w:r>
            <w:r>
              <w:rPr>
                <w:rStyle w:val="IndexLink"/>
                <w:rtl w:val="true"/>
              </w:rPr>
              <w:tab/>
            </w:r>
            <w:r>
              <w:rPr>
                <w:rStyle w:val="IndexLink"/>
              </w:rPr>
              <w:t>74</w:t>
            </w:r>
          </w:hyperlink>
        </w:p>
        <w:p>
          <w:pPr>
            <w:pStyle w:val="Contents5"/>
            <w:tabs>
              <w:tab w:val="clear" w:pos="7892"/>
              <w:tab w:val="right" w:pos="9026" w:leader="dot"/>
            </w:tabs>
            <w:rPr/>
          </w:pPr>
          <w:hyperlink w:anchor="__RefHeading___Toc2792788_1051229030">
            <w:r>
              <w:rPr>
                <w:webHidden/>
                <w:rStyle w:val="IndexLink"/>
                <w:rtl w:val="true"/>
              </w:rPr>
              <w:t>ثانياً</w:t>
            </w:r>
            <w:r>
              <w:rPr>
                <w:rStyle w:val="IndexLink"/>
                <w:rtl w:val="true"/>
              </w:rPr>
              <w:t xml:space="preserve">: </w:t>
            </w:r>
            <w:r>
              <w:rPr>
                <w:rStyle w:val="IndexLink"/>
                <w:rtl w:val="true"/>
              </w:rPr>
              <w:t>دور المظلومية والمأساة في استنهاض الأمّة</w:t>
            </w:r>
            <w:r>
              <w:rPr>
                <w:rStyle w:val="IndexLink"/>
                <w:rtl w:val="true"/>
              </w:rPr>
              <w:tab/>
            </w:r>
            <w:r>
              <w:rPr>
                <w:rStyle w:val="IndexLink"/>
              </w:rPr>
              <w:t>76</w:t>
            </w:r>
          </w:hyperlink>
        </w:p>
        <w:p>
          <w:pPr>
            <w:pStyle w:val="Contents5"/>
            <w:tabs>
              <w:tab w:val="clear" w:pos="7892"/>
              <w:tab w:val="right" w:pos="9026" w:leader="dot"/>
            </w:tabs>
            <w:rPr/>
          </w:pPr>
          <w:hyperlink w:anchor="__RefHeading___Toc2792790_1051229030">
            <w:r>
              <w:rPr>
                <w:webHidden/>
                <w:rStyle w:val="IndexLink"/>
                <w:rtl w:val="true"/>
              </w:rPr>
              <w:t>أثر أهل البيت في تجذير المأساة في أعماق الأُمّة</w:t>
            </w:r>
            <w:r>
              <w:rPr>
                <w:rStyle w:val="IndexLink"/>
                <w:rtl w:val="true"/>
              </w:rPr>
              <w:tab/>
            </w:r>
            <w:r>
              <w:rPr>
                <w:rStyle w:val="IndexLink"/>
              </w:rPr>
              <w:t>77</w:t>
            </w:r>
          </w:hyperlink>
        </w:p>
        <w:p>
          <w:pPr>
            <w:pStyle w:val="Contents5"/>
            <w:tabs>
              <w:tab w:val="clear" w:pos="7892"/>
              <w:tab w:val="right" w:pos="9026" w:leader="dot"/>
            </w:tabs>
            <w:rPr/>
          </w:pPr>
          <w:hyperlink w:anchor="__RefHeading___Toc2792792_1051229030">
            <w:r>
              <w:rPr>
                <w:webHidden/>
                <w:rStyle w:val="IndexLink"/>
                <w:rtl w:val="true"/>
              </w:rPr>
              <w:t>ثالثاً</w:t>
            </w:r>
            <w:r>
              <w:rPr>
                <w:rStyle w:val="IndexLink"/>
                <w:rtl w:val="true"/>
              </w:rPr>
              <w:t xml:space="preserve">: </w:t>
            </w:r>
            <w:r>
              <w:rPr>
                <w:rStyle w:val="IndexLink"/>
                <w:rtl w:val="true"/>
              </w:rPr>
              <w:t>هاجس الشعور بالذنب وتأنيب الضمير</w:t>
            </w:r>
            <w:r>
              <w:rPr>
                <w:rStyle w:val="IndexLink"/>
                <w:rtl w:val="true"/>
              </w:rPr>
              <w:tab/>
            </w:r>
            <w:r>
              <w:rPr>
                <w:rStyle w:val="IndexLink"/>
              </w:rPr>
              <w:t>78</w:t>
            </w:r>
          </w:hyperlink>
        </w:p>
        <w:p>
          <w:pPr>
            <w:pStyle w:val="Contents5"/>
            <w:tabs>
              <w:tab w:val="clear" w:pos="7892"/>
              <w:tab w:val="right" w:pos="9026" w:leader="dot"/>
            </w:tabs>
            <w:rPr/>
          </w:pPr>
          <w:hyperlink w:anchor="__RefHeading___Toc2792794_1051229030">
            <w:r>
              <w:rPr>
                <w:webHidden/>
                <w:rStyle w:val="IndexLink"/>
                <w:rtl w:val="true"/>
              </w:rPr>
              <w:t>رابعاً</w:t>
            </w:r>
            <w:r>
              <w:rPr>
                <w:rStyle w:val="IndexLink"/>
                <w:rtl w:val="true"/>
              </w:rPr>
              <w:t xml:space="preserve">: </w:t>
            </w:r>
            <w:r>
              <w:rPr>
                <w:rStyle w:val="IndexLink"/>
                <w:rtl w:val="true"/>
              </w:rPr>
              <w:t>حادثة عاشوراء أعادت تثمين المبادئ الدينيّة</w:t>
            </w:r>
            <w:r>
              <w:rPr>
                <w:rStyle w:val="IndexLink"/>
                <w:rtl w:val="true"/>
              </w:rPr>
              <w:tab/>
            </w:r>
            <w:r>
              <w:rPr>
                <w:rStyle w:val="IndexLink"/>
              </w:rPr>
              <w:t>80</w:t>
            </w:r>
          </w:hyperlink>
        </w:p>
        <w:p>
          <w:pPr>
            <w:pStyle w:val="Contents5"/>
            <w:tabs>
              <w:tab w:val="clear" w:pos="7892"/>
              <w:tab w:val="right" w:pos="9026" w:leader="dot"/>
            </w:tabs>
            <w:rPr/>
          </w:pPr>
          <w:hyperlink w:anchor="__RefHeading___Toc2792796_1051229030">
            <w:r>
              <w:rPr>
                <w:webHidden/>
                <w:rStyle w:val="IndexLink"/>
                <w:rtl w:val="true"/>
              </w:rPr>
              <w:t>خامساً</w:t>
            </w:r>
            <w:r>
              <w:rPr>
                <w:rStyle w:val="IndexLink"/>
                <w:rtl w:val="true"/>
              </w:rPr>
              <w:t xml:space="preserve">: </w:t>
            </w:r>
            <w:r>
              <w:rPr>
                <w:rStyle w:val="IndexLink"/>
                <w:rtl w:val="true"/>
              </w:rPr>
              <w:t>معايير النصر والهزيمة في نظر الحسين عَلیه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2792798_1051229030">
            <w:r>
              <w:rPr>
                <w:webHidden/>
                <w:rStyle w:val="IndexLink"/>
                <w:rtl w:val="true"/>
              </w:rPr>
              <w:t>نظرة توفيقية</w:t>
            </w:r>
            <w:r>
              <w:rPr>
                <w:rStyle w:val="IndexLink"/>
                <w:rtl w:val="true"/>
              </w:rPr>
              <w:t>:</w:t>
              <w:tab/>
            </w:r>
            <w:r>
              <w:rPr>
                <w:rStyle w:val="IndexLink"/>
              </w:rPr>
              <w:t>85</w:t>
            </w:r>
          </w:hyperlink>
        </w:p>
        <w:p>
          <w:pPr>
            <w:pStyle w:val="Contents3"/>
            <w:tabs>
              <w:tab w:val="clear" w:pos="8459"/>
              <w:tab w:val="right" w:pos="9026" w:leader="dot"/>
            </w:tabs>
            <w:rPr/>
          </w:pPr>
          <w:hyperlink w:anchor="__RefHeading___Toc2792800_1051229030">
            <w:r>
              <w:rPr>
                <w:webHidden/>
                <w:rStyle w:val="IndexLink"/>
                <w:rtl w:val="true"/>
              </w:rPr>
              <w:t>شُهدَاءُ الطَّف وَ تفَدِیَةُ المَعصُومَ لَهُم الشيخ صباح عباس الساعدي</w:t>
            </w:r>
            <w:r>
              <w:rPr>
                <w:rStyle w:val="IndexLink"/>
                <w:rtl w:val="true"/>
              </w:rPr>
              <w:tab/>
            </w:r>
            <w:r>
              <w:rPr>
                <w:rStyle w:val="IndexLink"/>
              </w:rPr>
              <w:t>87</w:t>
            </w:r>
          </w:hyperlink>
        </w:p>
        <w:p>
          <w:pPr>
            <w:pStyle w:val="Contents4"/>
            <w:tabs>
              <w:tab w:val="clear" w:pos="8176"/>
              <w:tab w:val="right" w:pos="9026" w:leader="dot"/>
            </w:tabs>
            <w:rPr/>
          </w:pPr>
          <w:hyperlink w:anchor="__RefHeading___Toc2792802_105122903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2792804_1051229030">
            <w:r>
              <w:rPr>
                <w:webHidden/>
                <w:rStyle w:val="IndexLink"/>
                <w:rtl w:val="true"/>
              </w:rPr>
              <w:t>آراء فقهاء المسلمين حول المسألة</w:t>
            </w:r>
            <w:r>
              <w:rPr>
                <w:rStyle w:val="IndexLink"/>
                <w:rtl w:val="true"/>
              </w:rPr>
              <w:tab/>
            </w:r>
            <w:r>
              <w:rPr>
                <w:rStyle w:val="IndexLink"/>
              </w:rPr>
              <w:t>89</w:t>
            </w:r>
          </w:hyperlink>
        </w:p>
        <w:p>
          <w:pPr>
            <w:pStyle w:val="Contents4"/>
            <w:tabs>
              <w:tab w:val="clear" w:pos="8176"/>
              <w:tab w:val="right" w:pos="9026" w:leader="dot"/>
            </w:tabs>
            <w:rPr/>
          </w:pPr>
          <w:hyperlink w:anchor="__RefHeading___Toc2792806_1051229030">
            <w:r>
              <w:rPr>
                <w:webHidden/>
                <w:rStyle w:val="IndexLink"/>
                <w:rtl w:val="true"/>
              </w:rPr>
              <w:t>تفدية الإمام الصادق عَلیه السَلام أباه المعصوم لغيره</w:t>
            </w:r>
            <w:r>
              <w:rPr>
                <w:rStyle w:val="IndexLink"/>
                <w:rtl w:val="true"/>
              </w:rPr>
              <w:tab/>
            </w:r>
            <w:r>
              <w:rPr>
                <w:rStyle w:val="IndexLink"/>
              </w:rPr>
              <w:t>91</w:t>
            </w:r>
          </w:hyperlink>
        </w:p>
        <w:p>
          <w:pPr>
            <w:pStyle w:val="Contents5"/>
            <w:tabs>
              <w:tab w:val="clear" w:pos="7892"/>
              <w:tab w:val="right" w:pos="9026" w:leader="dot"/>
            </w:tabs>
            <w:rPr/>
          </w:pPr>
          <w:hyperlink w:anchor="__RefHeading___Toc2792808_105122903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2792810_1051229030">
            <w:r>
              <w:rPr>
                <w:webHidden/>
                <w:rStyle w:val="IndexLink"/>
                <w:rtl w:val="true"/>
              </w:rPr>
              <w:t>أولاً</w:t>
            </w:r>
            <w:r>
              <w:rPr>
                <w:rStyle w:val="IndexLink"/>
                <w:rtl w:val="true"/>
              </w:rPr>
              <w:t xml:space="preserve">: </w:t>
            </w:r>
            <w:r>
              <w:rPr>
                <w:rStyle w:val="IndexLink"/>
                <w:rtl w:val="true"/>
              </w:rPr>
              <w:t>إنّ المعصوم عَلیه السَلام يُريد تعليمنا كيفيّة زيارة الشهداء</w:t>
            </w:r>
            <w:r>
              <w:rPr>
                <w:rStyle w:val="IndexLink"/>
                <w:rtl w:val="true"/>
              </w:rPr>
              <w:tab/>
            </w:r>
            <w:r>
              <w:rPr>
                <w:rStyle w:val="IndexLink"/>
              </w:rPr>
              <w:t>92</w:t>
            </w:r>
          </w:hyperlink>
        </w:p>
        <w:p>
          <w:pPr>
            <w:pStyle w:val="Contents5"/>
            <w:tabs>
              <w:tab w:val="clear" w:pos="7892"/>
              <w:tab w:val="right" w:pos="9026" w:leader="dot"/>
            </w:tabs>
            <w:rPr/>
          </w:pPr>
          <w:hyperlink w:anchor="__RefHeading___Toc2792812_1051229030">
            <w:r>
              <w:rPr>
                <w:webHidden/>
                <w:rStyle w:val="IndexLink"/>
                <w:rtl w:val="true"/>
              </w:rPr>
              <w:t>ثانياً</w:t>
            </w:r>
            <w:r>
              <w:rPr>
                <w:rStyle w:val="IndexLink"/>
                <w:rtl w:val="true"/>
              </w:rPr>
              <w:t xml:space="preserve">: </w:t>
            </w:r>
            <w:r>
              <w:rPr>
                <w:rStyle w:val="IndexLink"/>
                <w:rtl w:val="true"/>
              </w:rPr>
              <w:t>ليس من الضروري أن يكون المفدَّى أفضل من المفدي</w:t>
            </w:r>
            <w:r>
              <w:rPr>
                <w:rStyle w:val="IndexLink"/>
                <w:rtl w:val="true"/>
              </w:rPr>
              <w:tab/>
            </w:r>
            <w:r>
              <w:rPr>
                <w:rStyle w:val="IndexLink"/>
              </w:rPr>
              <w:t>93</w:t>
            </w:r>
          </w:hyperlink>
        </w:p>
        <w:p>
          <w:pPr>
            <w:pStyle w:val="Contents5"/>
            <w:tabs>
              <w:tab w:val="clear" w:pos="7892"/>
              <w:tab w:val="right" w:pos="9026" w:leader="dot"/>
            </w:tabs>
            <w:rPr/>
          </w:pPr>
          <w:hyperlink w:anchor="__RefHeading___Toc2792814_1051229030">
            <w:r>
              <w:rPr>
                <w:webHidden/>
                <w:rStyle w:val="IndexLink"/>
                <w:rtl w:val="true"/>
              </w:rPr>
              <w:t>ثالثاً</w:t>
            </w:r>
            <w:r>
              <w:rPr>
                <w:rStyle w:val="IndexLink"/>
                <w:rtl w:val="true"/>
              </w:rPr>
              <w:t xml:space="preserve">: </w:t>
            </w:r>
            <w:r>
              <w:rPr>
                <w:rStyle w:val="IndexLink"/>
                <w:rtl w:val="true"/>
              </w:rPr>
              <w:t>تصحّ التفدية بالميت بخلاف الحي من الآباء</w:t>
            </w:r>
            <w:r>
              <w:rPr>
                <w:rStyle w:val="IndexLink"/>
                <w:rtl w:val="true"/>
              </w:rPr>
              <w:tab/>
            </w:r>
            <w:r>
              <w:rPr>
                <w:rStyle w:val="IndexLink"/>
              </w:rPr>
              <w:t>96</w:t>
            </w:r>
          </w:hyperlink>
        </w:p>
        <w:p>
          <w:pPr>
            <w:pStyle w:val="Contents5"/>
            <w:tabs>
              <w:tab w:val="clear" w:pos="7892"/>
              <w:tab w:val="right" w:pos="9026" w:leader="dot"/>
            </w:tabs>
            <w:rPr/>
          </w:pPr>
          <w:hyperlink w:anchor="__RefHeading___Toc2792816_1051229030">
            <w:r>
              <w:rPr>
                <w:webHidden/>
                <w:rStyle w:val="IndexLink"/>
                <w:rtl w:val="true"/>
              </w:rPr>
              <w:t>رابعاً</w:t>
            </w:r>
            <w:r>
              <w:rPr>
                <w:rStyle w:val="IndexLink"/>
                <w:rtl w:val="true"/>
              </w:rPr>
              <w:t xml:space="preserve">: </w:t>
            </w:r>
            <w:r>
              <w:rPr>
                <w:rStyle w:val="IndexLink"/>
                <w:rtl w:val="true"/>
              </w:rPr>
              <w:t>إنّ المفاداة ليست مرادة على نحو الحقيقة</w:t>
            </w:r>
            <w:r>
              <w:rPr>
                <w:rStyle w:val="IndexLink"/>
                <w:rtl w:val="true"/>
              </w:rPr>
              <w:tab/>
            </w:r>
            <w:r>
              <w:rPr>
                <w:rStyle w:val="IndexLink"/>
              </w:rPr>
              <w:t>97</w:t>
            </w:r>
          </w:hyperlink>
        </w:p>
        <w:p>
          <w:pPr>
            <w:pStyle w:val="Contents4"/>
            <w:tabs>
              <w:tab w:val="clear" w:pos="8176"/>
              <w:tab w:val="right" w:pos="9026" w:leader="dot"/>
            </w:tabs>
            <w:rPr/>
          </w:pPr>
          <w:hyperlink w:anchor="__RefHeading___Toc2792818_1051229030">
            <w:r>
              <w:rPr>
                <w:webHidden/>
                <w:rStyle w:val="IndexLink"/>
                <w:rtl w:val="true"/>
              </w:rPr>
              <w:t>منزلة أصحاب الحسين عَلیه السَلام وانسجامها مع التوجيهات المتقدِّمة</w:t>
            </w:r>
            <w:r>
              <w:rPr>
                <w:rStyle w:val="IndexLink"/>
                <w:rtl w:val="true"/>
              </w:rPr>
              <w:tab/>
            </w:r>
            <w:r>
              <w:rPr>
                <w:rStyle w:val="IndexLink"/>
              </w:rPr>
              <w:t>98</w:t>
            </w:r>
          </w:hyperlink>
        </w:p>
        <w:p>
          <w:pPr>
            <w:pStyle w:val="Contents4"/>
            <w:tabs>
              <w:tab w:val="clear" w:pos="8176"/>
              <w:tab w:val="right" w:pos="9026" w:leader="dot"/>
            </w:tabs>
            <w:rPr/>
          </w:pPr>
          <w:hyperlink w:anchor="__RefHeading___Toc2792820_1051229030">
            <w:r>
              <w:rPr>
                <w:webHidden/>
                <w:rStyle w:val="IndexLink"/>
                <w:rtl w:val="true"/>
              </w:rPr>
              <w:t>تفدية المعصوم نفسه لغيره</w:t>
            </w:r>
            <w:r>
              <w:rPr>
                <w:rStyle w:val="IndexLink"/>
                <w:rtl w:val="true"/>
              </w:rPr>
              <w:tab/>
            </w:r>
            <w:r>
              <w:rPr>
                <w:rStyle w:val="IndexLink"/>
              </w:rPr>
              <w:t>99</w:t>
            </w:r>
          </w:hyperlink>
        </w:p>
        <w:p>
          <w:pPr>
            <w:pStyle w:val="Contents3"/>
            <w:tabs>
              <w:tab w:val="clear" w:pos="8459"/>
              <w:tab w:val="right" w:pos="9026" w:leader="dot"/>
            </w:tabs>
            <w:rPr/>
          </w:pPr>
          <w:hyperlink w:anchor="__RefHeading___Toc2792822_1051229030">
            <w:r>
              <w:rPr>
                <w:webHidden/>
                <w:rStyle w:val="IndexLink"/>
                <w:rtl w:val="true"/>
              </w:rPr>
              <w:t>نُصوصُ البُکَاءِ قُوَةٌ في السَنَدِ وَ صَرَاحَةٌ في المَتن</w:t>
            </w:r>
            <w:r>
              <w:rPr>
                <w:rStyle w:val="IndexLink"/>
                <w:rtl w:val="true"/>
              </w:rPr>
              <w:tab/>
            </w:r>
            <w:r>
              <w:rPr>
                <w:rStyle w:val="IndexLink"/>
              </w:rPr>
              <w:t>101</w:t>
            </w:r>
          </w:hyperlink>
        </w:p>
        <w:p>
          <w:pPr>
            <w:pStyle w:val="Contents4"/>
            <w:tabs>
              <w:tab w:val="clear" w:pos="8176"/>
              <w:tab w:val="right" w:pos="9026" w:leader="dot"/>
            </w:tabs>
            <w:rPr/>
          </w:pPr>
          <w:hyperlink w:anchor="__RefHeading___Toc2792824_1051229030">
            <w:r>
              <w:rPr>
                <w:webHidden/>
                <w:rStyle w:val="IndexLink"/>
                <w:rtl w:val="true"/>
              </w:rPr>
              <w:t>(</w:t>
            </w:r>
            <w:r>
              <w:rPr>
                <w:rStyle w:val="IndexLink"/>
                <w:rtl w:val="true"/>
              </w:rPr>
              <w:t>القسم الثاني</w:t>
            </w:r>
            <w:r>
              <w:rPr>
                <w:rStyle w:val="IndexLink"/>
                <w:rtl w:val="true"/>
              </w:rPr>
              <w:t>)</w:t>
            </w:r>
            <w:r>
              <w:rPr>
                <w:rStyle w:val="IndexLink"/>
                <w:rtl w:val="true"/>
              </w:rPr>
              <w:t>لؤي المنصوري</w:t>
            </w:r>
            <w:r>
              <w:rPr>
                <w:rStyle w:val="IndexLink"/>
                <w:rtl w:val="true"/>
              </w:rPr>
              <w:tab/>
            </w:r>
            <w:r>
              <w:rPr>
                <w:rStyle w:val="IndexLink"/>
              </w:rPr>
              <w:t>101</w:t>
            </w:r>
          </w:hyperlink>
        </w:p>
        <w:p>
          <w:pPr>
            <w:pStyle w:val="Contents5"/>
            <w:tabs>
              <w:tab w:val="clear" w:pos="7892"/>
              <w:tab w:val="right" w:pos="9026" w:leader="dot"/>
            </w:tabs>
            <w:rPr/>
          </w:pPr>
          <w:hyperlink w:anchor="__RefHeading___Toc2792826_105122903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792828_1051229030">
            <w:r>
              <w:rPr>
                <w:webHidden/>
                <w:rStyle w:val="IndexLink"/>
                <w:rtl w:val="true"/>
              </w:rPr>
              <w:t>ملاحظات سندية</w:t>
            </w:r>
            <w:r>
              <w:rPr>
                <w:rStyle w:val="IndexLink"/>
                <w:rtl w:val="true"/>
              </w:rPr>
              <w:tab/>
            </w:r>
            <w:r>
              <w:rPr>
                <w:rStyle w:val="IndexLink"/>
              </w:rPr>
              <w:t>101</w:t>
            </w:r>
          </w:hyperlink>
        </w:p>
        <w:p>
          <w:pPr>
            <w:pStyle w:val="Contents6"/>
            <w:tabs>
              <w:tab w:val="clear" w:pos="7609"/>
              <w:tab w:val="right" w:pos="9026" w:leader="dot"/>
            </w:tabs>
            <w:rPr/>
          </w:pPr>
          <w:hyperlink w:anchor="__RefHeading___Toc2792830_1051229030">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2792832_1051229030">
            <w:r>
              <w:rPr>
                <w:webHidden/>
                <w:rStyle w:val="IndexLink"/>
                <w:rtl w:val="true"/>
              </w:rPr>
              <w:t>أولاً</w:t>
            </w:r>
            <w:r>
              <w:rPr>
                <w:rStyle w:val="IndexLink"/>
                <w:rtl w:val="true"/>
              </w:rPr>
              <w:t xml:space="preserve">: </w:t>
            </w:r>
            <w:r>
              <w:rPr>
                <w:rStyle w:val="IndexLink"/>
                <w:rtl w:val="true"/>
              </w:rPr>
              <w:t>تضعيفه حكيم بن داود</w:t>
            </w:r>
            <w:r>
              <w:rPr>
                <w:rStyle w:val="IndexLink"/>
                <w:rtl w:val="true"/>
              </w:rPr>
              <w:tab/>
            </w:r>
            <w:r>
              <w:rPr>
                <w:rStyle w:val="IndexLink"/>
              </w:rPr>
              <w:t>102</w:t>
            </w:r>
          </w:hyperlink>
        </w:p>
        <w:p>
          <w:pPr>
            <w:pStyle w:val="Contents6"/>
            <w:tabs>
              <w:tab w:val="clear" w:pos="7609"/>
              <w:tab w:val="right" w:pos="9026" w:leader="dot"/>
            </w:tabs>
            <w:rPr/>
          </w:pPr>
          <w:hyperlink w:anchor="__RefHeading___Toc2792834_1051229030">
            <w:r>
              <w:rPr>
                <w:webHidden/>
                <w:rStyle w:val="IndexLink"/>
                <w:rtl w:val="true"/>
              </w:rPr>
              <w:t>ثانياً</w:t>
            </w:r>
            <w:r>
              <w:rPr>
                <w:rStyle w:val="IndexLink"/>
                <w:rtl w:val="true"/>
              </w:rPr>
              <w:t xml:space="preserve">: </w:t>
            </w:r>
            <w:r>
              <w:rPr>
                <w:rStyle w:val="IndexLink"/>
                <w:rtl w:val="true"/>
              </w:rPr>
              <w:t>تضعيفه سلمة بن الخطاب</w:t>
            </w:r>
            <w:r>
              <w:rPr>
                <w:rStyle w:val="IndexLink"/>
                <w:rtl w:val="true"/>
              </w:rPr>
              <w:tab/>
            </w:r>
            <w:r>
              <w:rPr>
                <w:rStyle w:val="IndexLink"/>
              </w:rPr>
              <w:t>103</w:t>
            </w:r>
          </w:hyperlink>
        </w:p>
        <w:p>
          <w:pPr>
            <w:pStyle w:val="Contents6"/>
            <w:tabs>
              <w:tab w:val="clear" w:pos="7609"/>
              <w:tab w:val="right" w:pos="9026" w:leader="dot"/>
            </w:tabs>
            <w:rPr/>
          </w:pPr>
          <w:hyperlink w:anchor="__RefHeading___Toc2792836_1051229030">
            <w:r>
              <w:rPr>
                <w:webHidden/>
                <w:rStyle w:val="IndexLink"/>
                <w:rtl w:val="true"/>
              </w:rPr>
              <w:t>ثالثاً</w:t>
            </w:r>
            <w:r>
              <w:rPr>
                <w:rStyle w:val="IndexLink"/>
                <w:rtl w:val="true"/>
              </w:rPr>
              <w:t xml:space="preserve">: </w:t>
            </w:r>
            <w:r>
              <w:rPr>
                <w:rStyle w:val="IndexLink"/>
                <w:rtl w:val="true"/>
              </w:rPr>
              <w:t>اعترافه بوجود طريق آخر صحيح للرواية</w:t>
            </w:r>
            <w:r>
              <w:rPr>
                <w:rStyle w:val="IndexLink"/>
                <w:rtl w:val="true"/>
              </w:rPr>
              <w:tab/>
            </w:r>
            <w:r>
              <w:rPr>
                <w:rStyle w:val="IndexLink"/>
              </w:rPr>
              <w:t>105</w:t>
            </w:r>
          </w:hyperlink>
        </w:p>
        <w:p>
          <w:pPr>
            <w:pStyle w:val="Contents5"/>
            <w:tabs>
              <w:tab w:val="clear" w:pos="7892"/>
              <w:tab w:val="right" w:pos="9026" w:leader="dot"/>
            </w:tabs>
            <w:rPr/>
          </w:pPr>
          <w:hyperlink w:anchor="__RefHeading___Toc2792838_1051229030">
            <w:r>
              <w:rPr>
                <w:webHidden/>
                <w:rStyle w:val="IndexLink"/>
                <w:rtl w:val="true"/>
              </w:rPr>
              <w:t>خلط الكاتب في أسماء الرجال وترتيبه استنتاجات خاطئة</w:t>
            </w:r>
            <w:r>
              <w:rPr>
                <w:rStyle w:val="IndexLink"/>
                <w:rtl w:val="true"/>
              </w:rPr>
              <w:t>:</w:t>
              <w:tab/>
            </w:r>
            <w:r>
              <w:rPr>
                <w:rStyle w:val="IndexLink"/>
              </w:rPr>
              <w:t>105</w:t>
            </w:r>
          </w:hyperlink>
        </w:p>
        <w:p>
          <w:pPr>
            <w:pStyle w:val="Contents5"/>
            <w:tabs>
              <w:tab w:val="clear" w:pos="7892"/>
              <w:tab w:val="right" w:pos="9026" w:leader="dot"/>
            </w:tabs>
            <w:rPr/>
          </w:pPr>
          <w:hyperlink w:anchor="__RefHeading___Toc2792840_1051229030">
            <w:r>
              <w:rPr>
                <w:webHidden/>
                <w:rStyle w:val="IndexLink"/>
                <w:rtl w:val="true"/>
              </w:rPr>
              <w:t>عدم الدقّة في دراسة الروايات ومعرفة المراد منها</w:t>
            </w:r>
            <w:r>
              <w:rPr>
                <w:rStyle w:val="IndexLink"/>
                <w:rtl w:val="true"/>
              </w:rPr>
              <w:tab/>
            </w:r>
            <w:r>
              <w:rPr>
                <w:rStyle w:val="IndexLink"/>
              </w:rPr>
              <w:t>106</w:t>
            </w:r>
          </w:hyperlink>
        </w:p>
        <w:p>
          <w:pPr>
            <w:pStyle w:val="Contents5"/>
            <w:tabs>
              <w:tab w:val="clear" w:pos="7892"/>
              <w:tab w:val="right" w:pos="9026" w:leader="dot"/>
            </w:tabs>
            <w:rPr/>
          </w:pPr>
          <w:hyperlink w:anchor="__RefHeading___Toc2792842_1051229030">
            <w:r>
              <w:rPr>
                <w:webHidden/>
                <w:rStyle w:val="IndexLink"/>
                <w:rtl w:val="true"/>
              </w:rPr>
              <w:t>قراءات دلالية خاطئة</w:t>
            </w:r>
            <w:r>
              <w:rPr>
                <w:rStyle w:val="IndexLink"/>
                <w:rtl w:val="true"/>
              </w:rPr>
              <w:tab/>
            </w:r>
            <w:r>
              <w:rPr>
                <w:rStyle w:val="IndexLink"/>
              </w:rPr>
              <w:t>109</w:t>
            </w:r>
          </w:hyperlink>
        </w:p>
        <w:p>
          <w:pPr>
            <w:pStyle w:val="Contents5"/>
            <w:tabs>
              <w:tab w:val="clear" w:pos="7892"/>
              <w:tab w:val="right" w:pos="9026" w:leader="dot"/>
            </w:tabs>
            <w:rPr/>
          </w:pPr>
          <w:hyperlink w:anchor="__RefHeading___Toc2792844_1051229030">
            <w:r>
              <w:rPr>
                <w:webHidden/>
                <w:rStyle w:val="IndexLink"/>
                <w:rtl w:val="true"/>
              </w:rPr>
              <w:t>نتيجة ونقاش</w:t>
            </w:r>
            <w:r>
              <w:rPr>
                <w:rStyle w:val="IndexLink"/>
                <w:rtl w:val="true"/>
              </w:rPr>
              <w:t>:</w:t>
              <w:tab/>
            </w:r>
            <w:r>
              <w:rPr>
                <w:rStyle w:val="IndexLink"/>
              </w:rPr>
              <w:t>125</w:t>
            </w:r>
          </w:hyperlink>
        </w:p>
        <w:p>
          <w:pPr>
            <w:pStyle w:val="Contents2"/>
            <w:tabs>
              <w:tab w:val="clear" w:pos="8743"/>
              <w:tab w:val="right" w:pos="9026" w:leader="dot"/>
            </w:tabs>
            <w:rPr/>
          </w:pPr>
          <w:hyperlink w:anchor="__RefHeading___Toc2792846_1051229030">
            <w:r>
              <w:rPr>
                <w:webHidden/>
                <w:rStyle w:val="IndexLink"/>
                <w:rtl w:val="true"/>
              </w:rPr>
              <w:t>دِرَاسَاتٌ في تارِيخ وَتُرَاثِ النَهضَةِ الحُسَينِيَّة</w:t>
            </w:r>
            <w:r>
              <w:rPr>
                <w:rStyle w:val="IndexLink"/>
                <w:rtl w:val="true"/>
              </w:rPr>
              <w:tab/>
            </w:r>
            <w:r>
              <w:rPr>
                <w:rStyle w:val="IndexLink"/>
              </w:rPr>
              <w:t>129</w:t>
            </w:r>
          </w:hyperlink>
        </w:p>
        <w:p>
          <w:pPr>
            <w:pStyle w:val="Contents3"/>
            <w:tabs>
              <w:tab w:val="clear" w:pos="8459"/>
              <w:tab w:val="right" w:pos="9026" w:leader="dot"/>
            </w:tabs>
            <w:rPr/>
          </w:pPr>
          <w:hyperlink w:anchor="__RefHeading___Toc2792848_1051229030">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2792850_1051229030">
            <w:r>
              <w:rPr>
                <w:webHidden/>
                <w:rStyle w:val="IndexLink"/>
                <w:rtl w:val="true"/>
              </w:rPr>
              <w:t>مَراسیمُ العَزاء الحُسَیني قِرَاءَةٌ نَقدِیَّةٌ في مُذَکرّاتِ الاَجَانِب الشيخ رسول جعفريان ترجمة</w:t>
            </w:r>
            <w:r>
              <w:rPr>
                <w:rStyle w:val="IndexLink"/>
                <w:rtl w:val="true"/>
              </w:rPr>
              <w:t xml:space="preserve">: </w:t>
            </w:r>
            <w:r>
              <w:rPr>
                <w:rStyle w:val="IndexLink"/>
                <w:rtl w:val="true"/>
              </w:rPr>
              <w:t>حيدر الأسدي</w:t>
            </w:r>
            <w:r>
              <w:rPr>
                <w:rStyle w:val="IndexLink"/>
                <w:rtl w:val="true"/>
              </w:rPr>
              <w:tab/>
            </w:r>
            <w:r>
              <w:rPr>
                <w:rStyle w:val="IndexLink"/>
              </w:rPr>
              <w:t>131</w:t>
            </w:r>
          </w:hyperlink>
        </w:p>
        <w:p>
          <w:pPr>
            <w:pStyle w:val="Contents4"/>
            <w:tabs>
              <w:tab w:val="clear" w:pos="8176"/>
              <w:tab w:val="right" w:pos="9026" w:leader="dot"/>
            </w:tabs>
            <w:rPr/>
          </w:pPr>
          <w:hyperlink w:anchor="__RefHeading___Toc2792852_105122903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2792854_1051229030">
            <w:r>
              <w:rPr>
                <w:webHidden/>
                <w:rStyle w:val="IndexLink"/>
                <w:rtl w:val="true"/>
              </w:rPr>
              <w:t>السخرية الناتجة عن سوء الفهم</w:t>
            </w:r>
            <w:r>
              <w:rPr>
                <w:rStyle w:val="IndexLink"/>
                <w:rtl w:val="true"/>
              </w:rPr>
              <w:tab/>
            </w:r>
            <w:r>
              <w:rPr>
                <w:rStyle w:val="IndexLink"/>
              </w:rPr>
              <w:t>134</w:t>
            </w:r>
          </w:hyperlink>
        </w:p>
        <w:p>
          <w:pPr>
            <w:pStyle w:val="Contents4"/>
            <w:tabs>
              <w:tab w:val="clear" w:pos="8176"/>
              <w:tab w:val="right" w:pos="9026" w:leader="dot"/>
            </w:tabs>
            <w:rPr/>
          </w:pPr>
          <w:hyperlink w:anchor="__RefHeading___Toc2792856_1051229030">
            <w:r>
              <w:rPr>
                <w:webHidden/>
                <w:rStyle w:val="IndexLink"/>
                <w:rtl w:val="true"/>
              </w:rPr>
              <w:t>العطش في كربلاء وصنع خزانات المياه</w:t>
            </w:r>
            <w:r>
              <w:rPr>
                <w:rStyle w:val="IndexLink"/>
                <w:rtl w:val="true"/>
              </w:rPr>
              <w:tab/>
            </w:r>
            <w:r>
              <w:rPr>
                <w:rStyle w:val="IndexLink"/>
              </w:rPr>
              <w:t>136</w:t>
            </w:r>
          </w:hyperlink>
        </w:p>
        <w:p>
          <w:pPr>
            <w:pStyle w:val="Contents4"/>
            <w:tabs>
              <w:tab w:val="clear" w:pos="8176"/>
              <w:tab w:val="right" w:pos="9026" w:leader="dot"/>
            </w:tabs>
            <w:rPr/>
          </w:pPr>
          <w:hyperlink w:anchor="__RefHeading___Toc2792858_1051229030">
            <w:r>
              <w:rPr>
                <w:webHidden/>
                <w:rStyle w:val="IndexLink"/>
                <w:rtl w:val="true"/>
              </w:rPr>
              <w:t>مراسيم العزاء والجنبة العاطفية</w:t>
            </w:r>
            <w:r>
              <w:rPr>
                <w:rStyle w:val="IndexLink"/>
                <w:rtl w:val="true"/>
              </w:rPr>
              <w:tab/>
            </w:r>
            <w:r>
              <w:rPr>
                <w:rStyle w:val="IndexLink"/>
              </w:rPr>
              <w:t>137</w:t>
            </w:r>
          </w:hyperlink>
        </w:p>
        <w:p>
          <w:pPr>
            <w:pStyle w:val="Contents4"/>
            <w:tabs>
              <w:tab w:val="clear" w:pos="8176"/>
              <w:tab w:val="right" w:pos="9026" w:leader="dot"/>
            </w:tabs>
            <w:rPr/>
          </w:pPr>
          <w:hyperlink w:anchor="__RefHeading___Toc2792860_1051229030">
            <w:r>
              <w:rPr>
                <w:webHidden/>
                <w:rStyle w:val="IndexLink"/>
                <w:rtl w:val="true"/>
              </w:rPr>
              <w:t>خلود الحسين بن علي عَلیهِماالسَّلام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2792862_1051229030">
            <w:r>
              <w:rPr>
                <w:webHidden/>
                <w:rStyle w:val="IndexLink"/>
                <w:rtl w:val="true"/>
              </w:rPr>
              <w:t>صور ومشاهد حول كيفيّة إقامة مراسيم العزاء الحسيني</w:t>
            </w:r>
            <w:r>
              <w:rPr>
                <w:rStyle w:val="IndexLink"/>
                <w:rtl w:val="true"/>
              </w:rPr>
              <w:tab/>
            </w:r>
            <w:r>
              <w:rPr>
                <w:rStyle w:val="IndexLink"/>
              </w:rPr>
              <w:t>142</w:t>
            </w:r>
          </w:hyperlink>
        </w:p>
        <w:p>
          <w:pPr>
            <w:pStyle w:val="Contents4"/>
            <w:tabs>
              <w:tab w:val="clear" w:pos="8176"/>
              <w:tab w:val="right" w:pos="9026" w:leader="dot"/>
            </w:tabs>
            <w:rPr/>
          </w:pPr>
          <w:hyperlink w:anchor="__RefHeading___Toc2792864_1051229030">
            <w:r>
              <w:rPr>
                <w:webHidden/>
                <w:rStyle w:val="IndexLink"/>
                <w:rtl w:val="true"/>
              </w:rPr>
              <w:t>التكية واقامة مراسيم العزاء</w:t>
            </w:r>
            <w:r>
              <w:rPr>
                <w:rStyle w:val="IndexLink"/>
                <w:rtl w:val="true"/>
              </w:rPr>
              <w:tab/>
            </w:r>
            <w:r>
              <w:rPr>
                <w:rStyle w:val="IndexLink"/>
              </w:rPr>
              <w:t>157</w:t>
            </w:r>
          </w:hyperlink>
        </w:p>
        <w:p>
          <w:pPr>
            <w:pStyle w:val="Contents4"/>
            <w:tabs>
              <w:tab w:val="clear" w:pos="8176"/>
              <w:tab w:val="right" w:pos="9026" w:leader="dot"/>
            </w:tabs>
            <w:rPr/>
          </w:pPr>
          <w:hyperlink w:anchor="__RefHeading___Toc2792866_1051229030">
            <w:r>
              <w:rPr>
                <w:webHidden/>
                <w:rStyle w:val="IndexLink"/>
                <w:rtl w:val="true"/>
              </w:rPr>
              <w:t>دخول السبايا إلى الشام</w:t>
            </w:r>
            <w:r>
              <w:rPr>
                <w:rStyle w:val="IndexLink"/>
                <w:rtl w:val="true"/>
              </w:rPr>
              <w:tab/>
            </w:r>
            <w:r>
              <w:rPr>
                <w:rStyle w:val="IndexLink"/>
              </w:rPr>
              <w:t>159</w:t>
            </w:r>
          </w:hyperlink>
        </w:p>
        <w:p>
          <w:pPr>
            <w:pStyle w:val="Contents3"/>
            <w:tabs>
              <w:tab w:val="clear" w:pos="8459"/>
              <w:tab w:val="right" w:pos="9026" w:leader="dot"/>
            </w:tabs>
            <w:rPr/>
          </w:pPr>
          <w:hyperlink w:anchor="__RefHeading___Toc2792868_1051229030">
            <w:r>
              <w:rPr>
                <w:webHidden/>
                <w:rStyle w:val="IndexLink"/>
                <w:rtl w:val="true"/>
              </w:rPr>
              <w:t>مُسَلسَلُ الحَسَن و الحُسَین علیهماالسَّلام التَّشویه المعُتَعَمَّدُ للحقائق التّاریخِیَّة السيد حازم الميالي</w:t>
            </w:r>
            <w:r>
              <w:rPr>
                <w:rStyle w:val="IndexLink"/>
                <w:rtl w:val="true"/>
              </w:rPr>
              <w:tab/>
            </w:r>
            <w:r>
              <w:rPr>
                <w:rStyle w:val="IndexLink"/>
              </w:rPr>
              <w:t>165</w:t>
            </w:r>
          </w:hyperlink>
        </w:p>
        <w:p>
          <w:pPr>
            <w:pStyle w:val="Contents4"/>
            <w:tabs>
              <w:tab w:val="clear" w:pos="8176"/>
              <w:tab w:val="right" w:pos="9026" w:leader="dot"/>
            </w:tabs>
            <w:rPr/>
          </w:pPr>
          <w:hyperlink w:anchor="__RefHeading___Toc2792870_1051229030">
            <w:r>
              <w:rPr>
                <w:webHidden/>
                <w:rStyle w:val="IndexLink"/>
                <w:rtl w:val="true"/>
              </w:rPr>
              <w:t>إطلالة</w:t>
            </w:r>
            <w:r>
              <w:rPr>
                <w:rStyle w:val="IndexLink"/>
                <w:rtl w:val="true"/>
              </w:rPr>
              <w:tab/>
            </w:r>
            <w:r>
              <w:rPr>
                <w:rStyle w:val="IndexLink"/>
              </w:rPr>
              <w:t>165</w:t>
            </w:r>
          </w:hyperlink>
        </w:p>
        <w:p>
          <w:pPr>
            <w:pStyle w:val="Contents4"/>
            <w:tabs>
              <w:tab w:val="clear" w:pos="8176"/>
              <w:tab w:val="right" w:pos="9026" w:leader="dot"/>
            </w:tabs>
            <w:rPr/>
          </w:pPr>
          <w:hyperlink w:anchor="__RefHeading___Toc2792872_1051229030">
            <w:r>
              <w:rPr>
                <w:webHidden/>
                <w:rStyle w:val="IndexLink"/>
                <w:rtl w:val="true"/>
              </w:rPr>
              <w:t>المحور الأول</w:t>
            </w:r>
            <w:r>
              <w:rPr>
                <w:rStyle w:val="IndexLink"/>
                <w:rtl w:val="true"/>
              </w:rPr>
              <w:t xml:space="preserve">: </w:t>
            </w:r>
            <w:r>
              <w:rPr>
                <w:rStyle w:val="IndexLink"/>
                <w:rtl w:val="true"/>
              </w:rPr>
              <w:t>تسويق أسطورة عبد الله بن سبأ</w:t>
            </w:r>
            <w:r>
              <w:rPr>
                <w:rStyle w:val="IndexLink"/>
                <w:rtl w:val="true"/>
              </w:rPr>
              <w:tab/>
            </w:r>
            <w:r>
              <w:rPr>
                <w:rStyle w:val="IndexLink"/>
              </w:rPr>
              <w:t>167</w:t>
            </w:r>
          </w:hyperlink>
        </w:p>
        <w:p>
          <w:pPr>
            <w:pStyle w:val="Contents5"/>
            <w:tabs>
              <w:tab w:val="clear" w:pos="7892"/>
              <w:tab w:val="right" w:pos="9026" w:leader="dot"/>
            </w:tabs>
            <w:rPr/>
          </w:pPr>
          <w:hyperlink w:anchor="__RefHeading___Toc2792874_105122903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2792876_1051229030">
            <w:r>
              <w:rPr>
                <w:webHidden/>
                <w:rStyle w:val="IndexLink"/>
                <w:rtl w:val="true"/>
              </w:rPr>
              <w:t>عبد الله بن سبأ</w:t>
            </w:r>
            <w:r>
              <w:rPr>
                <w:rStyle w:val="IndexLink"/>
                <w:rtl w:val="true"/>
              </w:rPr>
              <w:t xml:space="preserve">.. </w:t>
            </w:r>
            <w:r>
              <w:rPr>
                <w:rStyle w:val="IndexLink"/>
                <w:rtl w:val="true"/>
              </w:rPr>
              <w:t>تكرار واجترار</w:t>
            </w:r>
            <w:r>
              <w:rPr>
                <w:rStyle w:val="IndexLink"/>
                <w:rtl w:val="true"/>
              </w:rPr>
              <w:tab/>
            </w:r>
            <w:r>
              <w:rPr>
                <w:rStyle w:val="IndexLink"/>
              </w:rPr>
              <w:t>169</w:t>
            </w:r>
          </w:hyperlink>
        </w:p>
        <w:p>
          <w:pPr>
            <w:pStyle w:val="Contents4"/>
            <w:tabs>
              <w:tab w:val="clear" w:pos="8176"/>
              <w:tab w:val="right" w:pos="9026" w:leader="dot"/>
            </w:tabs>
            <w:rPr/>
          </w:pPr>
          <w:hyperlink w:anchor="__RefHeading___Toc2792878_1051229030">
            <w:r>
              <w:rPr>
                <w:webHidden/>
                <w:rStyle w:val="IndexLink"/>
                <w:rtl w:val="true"/>
              </w:rPr>
              <w:t>المحور الثاني</w:t>
            </w:r>
            <w:r>
              <w:rPr>
                <w:rStyle w:val="IndexLink"/>
                <w:rtl w:val="true"/>
              </w:rPr>
              <w:t xml:space="preserve">: </w:t>
            </w:r>
            <w:r>
              <w:rPr>
                <w:rStyle w:val="IndexLink"/>
                <w:rtl w:val="true"/>
              </w:rPr>
              <w:t>الوئام والانسجام بين أهل البيت علیهم السلام وأعدائهم</w:t>
            </w:r>
            <w:r>
              <w:rPr>
                <w:rStyle w:val="IndexLink"/>
                <w:rtl w:val="true"/>
              </w:rPr>
              <w:tab/>
            </w:r>
            <w:r>
              <w:rPr>
                <w:rStyle w:val="IndexLink"/>
              </w:rPr>
              <w:t>171</w:t>
            </w:r>
          </w:hyperlink>
        </w:p>
        <w:p>
          <w:pPr>
            <w:pStyle w:val="Contents5"/>
            <w:tabs>
              <w:tab w:val="clear" w:pos="7892"/>
              <w:tab w:val="right" w:pos="9026" w:leader="dot"/>
            </w:tabs>
            <w:rPr/>
          </w:pPr>
          <w:hyperlink w:anchor="__RefHeading___Toc2792880_105122903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2792882_1051229030">
            <w:r>
              <w:rPr>
                <w:webHidden/>
                <w:rStyle w:val="IndexLink"/>
              </w:rPr>
              <w:t>1</w:t>
            </w:r>
            <w:r>
              <w:rPr>
                <w:rStyle w:val="IndexLink"/>
                <w:rtl w:val="true"/>
              </w:rPr>
              <w:t xml:space="preserve">- </w:t>
            </w:r>
            <w:r>
              <w:rPr>
                <w:rStyle w:val="IndexLink"/>
                <w:rtl w:val="true"/>
              </w:rPr>
              <w:t>معاوية يعشق علياً عَلیه السَلام ويدعو لنجاته</w:t>
            </w:r>
            <w:r>
              <w:rPr>
                <w:rStyle w:val="IndexLink"/>
                <w:rtl w:val="true"/>
              </w:rPr>
              <w:t>!!</w:t>
              <w:tab/>
            </w:r>
            <w:r>
              <w:rPr>
                <w:rStyle w:val="IndexLink"/>
              </w:rPr>
              <w:t>171</w:t>
            </w:r>
          </w:hyperlink>
        </w:p>
        <w:p>
          <w:pPr>
            <w:pStyle w:val="Contents5"/>
            <w:tabs>
              <w:tab w:val="clear" w:pos="7892"/>
              <w:tab w:val="right" w:pos="9026" w:leader="dot"/>
            </w:tabs>
            <w:rPr/>
          </w:pPr>
          <w:hyperlink w:anchor="__RefHeading___Toc2792884_1051229030">
            <w:r>
              <w:rPr>
                <w:webHidden/>
                <w:rStyle w:val="IndexLink"/>
              </w:rPr>
              <w:t>2</w:t>
            </w:r>
            <w:r>
              <w:rPr>
                <w:rStyle w:val="IndexLink"/>
                <w:rtl w:val="true"/>
              </w:rPr>
              <w:t xml:space="preserve"> - </w:t>
            </w:r>
            <w:r>
              <w:rPr>
                <w:rStyle w:val="IndexLink"/>
                <w:rtl w:val="true"/>
              </w:rPr>
              <w:t>عائشة وأهل البيت علیهم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2792886_1051229030">
            <w:r>
              <w:rPr>
                <w:webHidden/>
                <w:rStyle w:val="IndexLink"/>
                <w:rtl w:val="true"/>
              </w:rPr>
              <w:t>المحور الثالث</w:t>
            </w:r>
            <w:r>
              <w:rPr>
                <w:rStyle w:val="IndexLink"/>
                <w:rtl w:val="true"/>
              </w:rPr>
              <w:t xml:space="preserve">: </w:t>
            </w:r>
            <w:r>
              <w:rPr>
                <w:rStyle w:val="IndexLink"/>
                <w:rtl w:val="true"/>
              </w:rPr>
              <w:t>تلميع الأبطال وتبرير الأفعال</w:t>
            </w:r>
            <w:r>
              <w:rPr>
                <w:rStyle w:val="IndexLink"/>
                <w:rtl w:val="true"/>
              </w:rPr>
              <w:tab/>
            </w:r>
            <w:r>
              <w:rPr>
                <w:rStyle w:val="IndexLink"/>
              </w:rPr>
              <w:t>175</w:t>
            </w:r>
          </w:hyperlink>
        </w:p>
        <w:p>
          <w:pPr>
            <w:pStyle w:val="Contents5"/>
            <w:tabs>
              <w:tab w:val="clear" w:pos="7892"/>
              <w:tab w:val="right" w:pos="9026" w:leader="dot"/>
            </w:tabs>
            <w:rPr/>
          </w:pPr>
          <w:hyperlink w:anchor="__RefHeading___Toc2792888_105122903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2792890_1051229030">
            <w:r>
              <w:rPr>
                <w:webHidden/>
                <w:rStyle w:val="IndexLink"/>
                <w:rtl w:val="true"/>
              </w:rPr>
              <w:t>أ</w:t>
            </w:r>
            <w:r>
              <w:rPr>
                <w:rStyle w:val="IndexLink"/>
                <w:rtl w:val="true"/>
              </w:rPr>
              <w:t xml:space="preserve">) </w:t>
            </w:r>
            <w:r>
              <w:rPr>
                <w:rStyle w:val="IndexLink"/>
                <w:rtl w:val="true"/>
              </w:rPr>
              <w:t>تبرير خروج أُم المؤمنين عائشة للبصرة</w:t>
            </w:r>
            <w:r>
              <w:rPr>
                <w:rStyle w:val="IndexLink"/>
                <w:rtl w:val="true"/>
              </w:rPr>
              <w:tab/>
            </w:r>
            <w:r>
              <w:rPr>
                <w:rStyle w:val="IndexLink"/>
              </w:rPr>
              <w:t>175</w:t>
            </w:r>
          </w:hyperlink>
        </w:p>
        <w:p>
          <w:pPr>
            <w:pStyle w:val="Contents5"/>
            <w:tabs>
              <w:tab w:val="clear" w:pos="7892"/>
              <w:tab w:val="right" w:pos="9026" w:leader="dot"/>
            </w:tabs>
            <w:rPr/>
          </w:pPr>
          <w:hyperlink w:anchor="__RefHeading___Toc2792892_1051229030">
            <w:r>
              <w:rPr>
                <w:webHidden/>
                <w:rStyle w:val="IndexLink"/>
                <w:rtl w:val="true"/>
              </w:rPr>
              <w:t>ب</w:t>
            </w:r>
            <w:r>
              <w:rPr>
                <w:rStyle w:val="IndexLink"/>
                <w:rtl w:val="true"/>
              </w:rPr>
              <w:t xml:space="preserve">) </w:t>
            </w:r>
            <w:r>
              <w:rPr>
                <w:rStyle w:val="IndexLink"/>
                <w:rtl w:val="true"/>
              </w:rPr>
              <w:t>طلحة والزبير من رجال الإصلاح</w:t>
            </w:r>
            <w:r>
              <w:rPr>
                <w:rStyle w:val="IndexLink"/>
                <w:rtl w:val="true"/>
              </w:rPr>
              <w:t>!</w:t>
              <w:tab/>
            </w:r>
            <w:r>
              <w:rPr>
                <w:rStyle w:val="IndexLink"/>
              </w:rPr>
              <w:t>180</w:t>
            </w:r>
          </w:hyperlink>
        </w:p>
        <w:p>
          <w:pPr>
            <w:pStyle w:val="Contents5"/>
            <w:tabs>
              <w:tab w:val="clear" w:pos="7892"/>
              <w:tab w:val="right" w:pos="9026" w:leader="dot"/>
            </w:tabs>
            <w:rPr/>
          </w:pPr>
          <w:hyperlink w:anchor="__RefHeading___Toc2792894_1051229030">
            <w:r>
              <w:rPr>
                <w:webHidden/>
                <w:rStyle w:val="IndexLink"/>
                <w:rtl w:val="true"/>
              </w:rPr>
              <w:t>ج</w:t>
            </w:r>
            <w:r>
              <w:rPr>
                <w:rStyle w:val="IndexLink"/>
                <w:rtl w:val="true"/>
              </w:rPr>
              <w:t xml:space="preserve">) </w:t>
            </w:r>
            <w:r>
              <w:rPr>
                <w:rStyle w:val="IndexLink"/>
                <w:rtl w:val="true"/>
              </w:rPr>
              <w:t>معاوية من أعظم شخصيات الإسلام</w:t>
            </w:r>
            <w:r>
              <w:rPr>
                <w:rStyle w:val="IndexLink"/>
                <w:rtl w:val="true"/>
              </w:rPr>
              <w:t>!!</w:t>
              <w:tab/>
            </w:r>
            <w:r>
              <w:rPr>
                <w:rStyle w:val="IndexLink"/>
              </w:rPr>
              <w:t>183</w:t>
            </w:r>
          </w:hyperlink>
        </w:p>
        <w:p>
          <w:pPr>
            <w:pStyle w:val="Contents4"/>
            <w:tabs>
              <w:tab w:val="clear" w:pos="8176"/>
              <w:tab w:val="right" w:pos="9026" w:leader="dot"/>
            </w:tabs>
            <w:rPr/>
          </w:pPr>
          <w:hyperlink w:anchor="__RefHeading___Toc2792896_1051229030">
            <w:r>
              <w:rPr>
                <w:webHidden/>
                <w:rStyle w:val="IndexLink"/>
                <w:rtl w:val="true"/>
              </w:rPr>
              <w:t>المحور الرابع</w:t>
            </w:r>
            <w:r>
              <w:rPr>
                <w:rStyle w:val="IndexLink"/>
                <w:rtl w:val="true"/>
              </w:rPr>
              <w:t xml:space="preserve">: </w:t>
            </w:r>
            <w:r>
              <w:rPr>
                <w:rStyle w:val="IndexLink"/>
                <w:rtl w:val="true"/>
              </w:rPr>
              <w:t>تشويه بعض رموز شيعة أمير المؤمنين عَلیه 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2792898_1051229030">
            <w:r>
              <w:rPr>
                <w:webHidden/>
                <w:rStyle w:val="IndexLink"/>
                <w:rtl w:val="true"/>
              </w:rPr>
              <w:t>اشارة</w:t>
            </w:r>
            <w:r>
              <w:rPr>
                <w:rStyle w:val="IndexLink"/>
                <w:rtl w:val="true"/>
              </w:rPr>
              <w:tab/>
            </w:r>
            <w:r>
              <w:rPr>
                <w:rStyle w:val="IndexLink"/>
              </w:rPr>
              <w:t>188</w:t>
            </w:r>
          </w:hyperlink>
        </w:p>
        <w:p>
          <w:pPr>
            <w:pStyle w:val="Contents2"/>
            <w:tabs>
              <w:tab w:val="clear" w:pos="8743"/>
              <w:tab w:val="right" w:pos="9026" w:leader="dot"/>
            </w:tabs>
            <w:rPr/>
          </w:pPr>
          <w:hyperlink w:anchor="__RefHeading___Toc2792900_1051229030">
            <w:r>
              <w:rPr>
                <w:webHidden/>
                <w:rStyle w:val="IndexLink"/>
                <w:rtl w:val="true"/>
              </w:rPr>
              <w:t>فِقهُ النَهضَة ِالحُسَينِيَّة</w:t>
            </w:r>
            <w:r>
              <w:rPr>
                <w:rStyle w:val="IndexLink"/>
                <w:rtl w:val="true"/>
              </w:rPr>
              <w:tab/>
            </w:r>
            <w:r>
              <w:rPr>
                <w:rStyle w:val="IndexLink"/>
              </w:rPr>
              <w:t>191</w:t>
            </w:r>
          </w:hyperlink>
        </w:p>
        <w:p>
          <w:pPr>
            <w:pStyle w:val="Contents3"/>
            <w:tabs>
              <w:tab w:val="clear" w:pos="8459"/>
              <w:tab w:val="right" w:pos="9026" w:leader="dot"/>
            </w:tabs>
            <w:rPr/>
          </w:pPr>
          <w:hyperlink w:anchor="__RefHeading___Toc2792902_1051229030">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2792904_1051229030">
            <w:r>
              <w:rPr>
                <w:webHidden/>
                <w:rStyle w:val="IndexLink"/>
                <w:rtl w:val="true"/>
              </w:rPr>
              <w:t>لِسَانُ الحَالِ في أَدَب الطَّفِ بَینَ المَشرُوعیَّةِ وَ المَنعِ الشيخ مشتاق طالب الساعدي</w:t>
            </w:r>
            <w:r>
              <w:rPr>
                <w:rStyle w:val="IndexLink"/>
                <w:rtl w:val="true"/>
              </w:rPr>
              <w:tab/>
            </w:r>
            <w:r>
              <w:rPr>
                <w:rStyle w:val="IndexLink"/>
              </w:rPr>
              <w:t>193</w:t>
            </w:r>
          </w:hyperlink>
        </w:p>
        <w:p>
          <w:pPr>
            <w:pStyle w:val="Contents4"/>
            <w:tabs>
              <w:tab w:val="clear" w:pos="8176"/>
              <w:tab w:val="right" w:pos="9026" w:leader="dot"/>
            </w:tabs>
            <w:rPr/>
          </w:pPr>
          <w:hyperlink w:anchor="__RefHeading___Toc2792906_105122903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792908_1051229030">
            <w:r>
              <w:rPr>
                <w:webHidden/>
                <w:rStyle w:val="IndexLink"/>
                <w:rtl w:val="true"/>
              </w:rPr>
              <w:t>معنى لسان الحال</w:t>
            </w:r>
            <w:r>
              <w:rPr>
                <w:rStyle w:val="IndexLink"/>
                <w:rtl w:val="true"/>
              </w:rPr>
              <w:tab/>
            </w:r>
            <w:r>
              <w:rPr>
                <w:rStyle w:val="IndexLink"/>
              </w:rPr>
              <w:t>194</w:t>
            </w:r>
          </w:hyperlink>
        </w:p>
        <w:p>
          <w:pPr>
            <w:pStyle w:val="Contents4"/>
            <w:tabs>
              <w:tab w:val="clear" w:pos="8176"/>
              <w:tab w:val="right" w:pos="9026" w:leader="dot"/>
            </w:tabs>
            <w:rPr/>
          </w:pPr>
          <w:hyperlink w:anchor="__RefHeading___Toc2792910_1051229030">
            <w:r>
              <w:rPr>
                <w:webHidden/>
                <w:rStyle w:val="IndexLink"/>
                <w:rtl w:val="true"/>
              </w:rPr>
              <w:t>لسان الحال في النصوص الشرعيّة</w:t>
            </w:r>
            <w:r>
              <w:rPr>
                <w:rStyle w:val="IndexLink"/>
                <w:rtl w:val="true"/>
              </w:rPr>
              <w:tab/>
            </w:r>
            <w:r>
              <w:rPr>
                <w:rStyle w:val="IndexLink"/>
              </w:rPr>
              <w:t>197</w:t>
            </w:r>
          </w:hyperlink>
        </w:p>
        <w:p>
          <w:pPr>
            <w:pStyle w:val="Contents5"/>
            <w:tabs>
              <w:tab w:val="clear" w:pos="7892"/>
              <w:tab w:val="right" w:pos="9026" w:leader="dot"/>
            </w:tabs>
            <w:rPr/>
          </w:pPr>
          <w:hyperlink w:anchor="__RefHeading___Toc2792912_105122903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2792914_1051229030">
            <w:r>
              <w:rPr>
                <w:webHidden/>
                <w:rStyle w:val="IndexLink"/>
                <w:rtl w:val="true"/>
              </w:rPr>
              <w:t>المحور الأول</w:t>
            </w:r>
            <w:r>
              <w:rPr>
                <w:rStyle w:val="IndexLink"/>
                <w:rtl w:val="true"/>
              </w:rPr>
              <w:t xml:space="preserve">: </w:t>
            </w:r>
            <w:r>
              <w:rPr>
                <w:rStyle w:val="IndexLink"/>
                <w:rtl w:val="true"/>
              </w:rPr>
              <w:t>لسان الحال في القرآن الكريم</w:t>
            </w:r>
            <w:r>
              <w:rPr>
                <w:rStyle w:val="IndexLink"/>
                <w:rtl w:val="true"/>
              </w:rPr>
              <w:tab/>
            </w:r>
            <w:r>
              <w:rPr>
                <w:rStyle w:val="IndexLink"/>
              </w:rPr>
              <w:t>197</w:t>
            </w:r>
          </w:hyperlink>
        </w:p>
        <w:p>
          <w:pPr>
            <w:pStyle w:val="Contents5"/>
            <w:tabs>
              <w:tab w:val="clear" w:pos="7892"/>
              <w:tab w:val="right" w:pos="9026" w:leader="dot"/>
            </w:tabs>
            <w:rPr/>
          </w:pPr>
          <w:hyperlink w:anchor="__RefHeading___Toc2792916_1051229030">
            <w:r>
              <w:rPr>
                <w:webHidden/>
                <w:rStyle w:val="IndexLink"/>
                <w:rtl w:val="true"/>
              </w:rPr>
              <w:t>المحور الثاني</w:t>
            </w:r>
            <w:r>
              <w:rPr>
                <w:rStyle w:val="IndexLink"/>
                <w:rtl w:val="true"/>
              </w:rPr>
              <w:t xml:space="preserve">: </w:t>
            </w:r>
            <w:r>
              <w:rPr>
                <w:rStyle w:val="IndexLink"/>
                <w:rtl w:val="true"/>
              </w:rPr>
              <w:t>لسان الحال في الروايات</w:t>
            </w:r>
            <w:r>
              <w:rPr>
                <w:rStyle w:val="IndexLink"/>
                <w:rtl w:val="true"/>
              </w:rPr>
              <w:tab/>
            </w:r>
            <w:r>
              <w:rPr>
                <w:rStyle w:val="IndexLink"/>
              </w:rPr>
              <w:t>203</w:t>
            </w:r>
          </w:hyperlink>
        </w:p>
        <w:p>
          <w:pPr>
            <w:pStyle w:val="Contents6"/>
            <w:tabs>
              <w:tab w:val="clear" w:pos="7609"/>
              <w:tab w:val="right" w:pos="9026" w:leader="dot"/>
            </w:tabs>
            <w:rPr/>
          </w:pPr>
          <w:hyperlink w:anchor="__RefHeading___Toc2792918_105122903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2792920_1051229030">
            <w:r>
              <w:rPr>
                <w:webHidden/>
                <w:rStyle w:val="IndexLink"/>
                <w:rtl w:val="true"/>
              </w:rPr>
              <w:t>النحو الأول</w:t>
            </w:r>
            <w:r>
              <w:rPr>
                <w:rStyle w:val="IndexLink"/>
                <w:rtl w:val="true"/>
              </w:rPr>
              <w:t xml:space="preserve">: </w:t>
            </w:r>
            <w:r>
              <w:rPr>
                <w:rStyle w:val="IndexLink"/>
                <w:rtl w:val="true"/>
              </w:rPr>
              <w:t>الروايات المصرّحة بلسان الحال</w:t>
            </w:r>
            <w:r>
              <w:rPr>
                <w:rStyle w:val="IndexLink"/>
                <w:rtl w:val="true"/>
              </w:rPr>
              <w:tab/>
            </w:r>
            <w:r>
              <w:rPr>
                <w:rStyle w:val="IndexLink"/>
              </w:rPr>
              <w:t>204</w:t>
            </w:r>
          </w:hyperlink>
        </w:p>
        <w:p>
          <w:pPr>
            <w:pStyle w:val="Contents6"/>
            <w:tabs>
              <w:tab w:val="clear" w:pos="7609"/>
              <w:tab w:val="right" w:pos="9026" w:leader="dot"/>
            </w:tabs>
            <w:rPr/>
          </w:pPr>
          <w:hyperlink w:anchor="__RefHeading___Toc2792922_1051229030">
            <w:r>
              <w:rPr>
                <w:webHidden/>
                <w:rStyle w:val="IndexLink"/>
                <w:rtl w:val="true"/>
              </w:rPr>
              <w:t>النحو الثاني</w:t>
            </w:r>
            <w:r>
              <w:rPr>
                <w:rStyle w:val="IndexLink"/>
                <w:rtl w:val="true"/>
              </w:rPr>
              <w:t xml:space="preserve">: </w:t>
            </w:r>
            <w:r>
              <w:rPr>
                <w:rStyle w:val="IndexLink"/>
                <w:rtl w:val="true"/>
              </w:rPr>
              <w:t>الروايات المحمولة على لسان الحال</w:t>
            </w:r>
            <w:r>
              <w:rPr>
                <w:rStyle w:val="IndexLink"/>
                <w:rtl w:val="true"/>
              </w:rPr>
              <w:tab/>
            </w:r>
            <w:r>
              <w:rPr>
                <w:rStyle w:val="IndexLink"/>
              </w:rPr>
              <w:t>204</w:t>
            </w:r>
          </w:hyperlink>
        </w:p>
        <w:p>
          <w:pPr>
            <w:pStyle w:val="Contents5"/>
            <w:tabs>
              <w:tab w:val="clear" w:pos="7892"/>
              <w:tab w:val="right" w:pos="9026" w:leader="dot"/>
            </w:tabs>
            <w:rPr/>
          </w:pPr>
          <w:hyperlink w:anchor="__RefHeading___Toc2792924_1051229030">
            <w:r>
              <w:rPr>
                <w:webHidden/>
                <w:rStyle w:val="IndexLink"/>
                <w:rtl w:val="true"/>
              </w:rPr>
              <w:t>المحور الثالث</w:t>
            </w:r>
            <w:r>
              <w:rPr>
                <w:rStyle w:val="IndexLink"/>
                <w:rtl w:val="true"/>
              </w:rPr>
              <w:t xml:space="preserve">: </w:t>
            </w:r>
            <w:r>
              <w:rPr>
                <w:rStyle w:val="IndexLink"/>
                <w:rtl w:val="true"/>
              </w:rPr>
              <w:t>لسان الحال في الأشعار المنسوبة لآل البيت علیهم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2792926_1051229030">
            <w:r>
              <w:rPr>
                <w:webHidden/>
                <w:rStyle w:val="IndexLink"/>
                <w:rtl w:val="true"/>
              </w:rPr>
              <w:t>لسان الحال في الميزان الفقهي</w:t>
            </w:r>
            <w:r>
              <w:rPr>
                <w:rStyle w:val="IndexLink"/>
                <w:rtl w:val="true"/>
              </w:rPr>
              <w:tab/>
            </w:r>
            <w:r>
              <w:rPr>
                <w:rStyle w:val="IndexLink"/>
              </w:rPr>
              <w:t>210</w:t>
            </w:r>
          </w:hyperlink>
        </w:p>
        <w:p>
          <w:pPr>
            <w:pStyle w:val="Contents5"/>
            <w:tabs>
              <w:tab w:val="clear" w:pos="7892"/>
              <w:tab w:val="right" w:pos="9026" w:leader="dot"/>
            </w:tabs>
            <w:rPr/>
          </w:pPr>
          <w:hyperlink w:anchor="__RefHeading___Toc2792928_105122903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2792930_1051229030">
            <w:r>
              <w:rPr>
                <w:webHidden/>
                <w:rStyle w:val="IndexLink"/>
                <w:rtl w:val="true"/>
              </w:rPr>
              <w:t>أقوال الفقهاء في لسان الحال</w:t>
            </w:r>
            <w:r>
              <w:rPr>
                <w:rStyle w:val="IndexLink"/>
                <w:rtl w:val="true"/>
              </w:rPr>
              <w:tab/>
            </w:r>
            <w:r>
              <w:rPr>
                <w:rStyle w:val="IndexLink"/>
              </w:rPr>
              <w:t>210</w:t>
            </w:r>
          </w:hyperlink>
        </w:p>
        <w:p>
          <w:pPr>
            <w:pStyle w:val="Contents6"/>
            <w:tabs>
              <w:tab w:val="clear" w:pos="7609"/>
              <w:tab w:val="right" w:pos="9026" w:leader="dot"/>
            </w:tabs>
            <w:rPr/>
          </w:pPr>
          <w:hyperlink w:anchor="__RefHeading___Toc2792932_1051229030">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2792934_1051229030">
            <w:r>
              <w:rPr>
                <w:webHidden/>
                <w:rStyle w:val="IndexLink"/>
                <w:rtl w:val="true"/>
              </w:rPr>
              <w:t>القول الأول</w:t>
            </w:r>
            <w:r>
              <w:rPr>
                <w:rStyle w:val="IndexLink"/>
                <w:rtl w:val="true"/>
              </w:rPr>
              <w:t>: (</w:t>
            </w:r>
            <w:r>
              <w:rPr>
                <w:rStyle w:val="IndexLink"/>
                <w:rtl w:val="true"/>
              </w:rPr>
              <w:t>المنع</w:t>
            </w:r>
            <w:r>
              <w:rPr>
                <w:rStyle w:val="IndexLink"/>
                <w:rtl w:val="true"/>
              </w:rPr>
              <w:t>)</w:t>
              <w:tab/>
            </w:r>
            <w:r>
              <w:rPr>
                <w:rStyle w:val="IndexLink"/>
              </w:rPr>
              <w:t>210</w:t>
            </w:r>
          </w:hyperlink>
        </w:p>
        <w:p>
          <w:pPr>
            <w:pStyle w:val="Contents6"/>
            <w:tabs>
              <w:tab w:val="clear" w:pos="7609"/>
              <w:tab w:val="right" w:pos="9026" w:leader="dot"/>
            </w:tabs>
            <w:rPr/>
          </w:pPr>
          <w:hyperlink w:anchor="__RefHeading___Toc2792936_1051229030">
            <w:r>
              <w:rPr>
                <w:webHidden/>
                <w:rStyle w:val="IndexLink"/>
                <w:rtl w:val="true"/>
              </w:rPr>
              <w:t>أدلة المانعين</w:t>
            </w:r>
            <w:r>
              <w:rPr>
                <w:rStyle w:val="IndexLink"/>
                <w:rtl w:val="true"/>
              </w:rPr>
              <w:tab/>
            </w:r>
            <w:r>
              <w:rPr>
                <w:rStyle w:val="IndexLink"/>
              </w:rPr>
              <w:t>211</w:t>
            </w:r>
          </w:hyperlink>
        </w:p>
        <w:p>
          <w:pPr>
            <w:pStyle w:val="Contents6"/>
            <w:tabs>
              <w:tab w:val="clear" w:pos="7609"/>
              <w:tab w:val="right" w:pos="9026" w:leader="dot"/>
            </w:tabs>
            <w:rPr/>
          </w:pPr>
          <w:hyperlink w:anchor="__RefHeading___Toc2792938_1051229030">
            <w:r>
              <w:rPr>
                <w:webHidden/>
                <w:rStyle w:val="IndexLink"/>
                <w:rtl w:val="true"/>
              </w:rPr>
              <w:t>القول الثاني</w:t>
            </w:r>
            <w:r>
              <w:rPr>
                <w:rStyle w:val="IndexLink"/>
                <w:rtl w:val="true"/>
              </w:rPr>
              <w:t xml:space="preserve">: </w:t>
            </w:r>
            <w:r>
              <w:rPr>
                <w:rStyle w:val="IndexLink"/>
                <w:rtl w:val="true"/>
              </w:rPr>
              <w:t>الجواز</w:t>
            </w:r>
            <w:r>
              <w:rPr>
                <w:rStyle w:val="IndexLink"/>
                <w:rtl w:val="true"/>
              </w:rPr>
              <w:tab/>
            </w:r>
            <w:r>
              <w:rPr>
                <w:rStyle w:val="IndexLink"/>
              </w:rPr>
              <w:t>214</w:t>
            </w:r>
          </w:hyperlink>
        </w:p>
        <w:p>
          <w:pPr>
            <w:pStyle w:val="Contents6"/>
            <w:tabs>
              <w:tab w:val="clear" w:pos="7609"/>
              <w:tab w:val="right" w:pos="9026" w:leader="dot"/>
            </w:tabs>
            <w:rPr/>
          </w:pPr>
          <w:hyperlink w:anchor="__RefHeading___Toc2792940_1051229030">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2792942_1051229030">
            <w:r>
              <w:rPr>
                <w:webHidden/>
                <w:rStyle w:val="IndexLink"/>
                <w:rtl w:val="true"/>
              </w:rPr>
              <w:t>فتوى السيّد الخوئي قدس سرّه</w:t>
            </w:r>
            <w:r>
              <w:rPr>
                <w:rStyle w:val="IndexLink"/>
                <w:rtl w:val="true"/>
              </w:rPr>
              <w:tab/>
            </w:r>
            <w:r>
              <w:rPr>
                <w:rStyle w:val="IndexLink"/>
              </w:rPr>
              <w:t>214</w:t>
            </w:r>
          </w:hyperlink>
        </w:p>
        <w:p>
          <w:pPr>
            <w:pStyle w:val="Contents6"/>
            <w:tabs>
              <w:tab w:val="clear" w:pos="7609"/>
              <w:tab w:val="right" w:pos="9026" w:leader="dot"/>
            </w:tabs>
            <w:rPr/>
          </w:pPr>
          <w:hyperlink w:anchor="__RefHeading___Toc2792944_1051229030">
            <w:r>
              <w:rPr>
                <w:webHidden/>
                <w:rStyle w:val="IndexLink"/>
                <w:rtl w:val="true"/>
              </w:rPr>
              <w:t>تحليل فتوى السيّد الخوئي قدس سرّه</w:t>
            </w:r>
            <w:r>
              <w:rPr>
                <w:rStyle w:val="IndexLink"/>
                <w:rtl w:val="true"/>
              </w:rPr>
              <w:tab/>
            </w:r>
            <w:r>
              <w:rPr>
                <w:rStyle w:val="IndexLink"/>
              </w:rPr>
              <w:t>215</w:t>
            </w:r>
          </w:hyperlink>
        </w:p>
        <w:p>
          <w:pPr>
            <w:pStyle w:val="Contents6"/>
            <w:tabs>
              <w:tab w:val="clear" w:pos="7609"/>
              <w:tab w:val="right" w:pos="9026" w:leader="dot"/>
            </w:tabs>
            <w:rPr/>
          </w:pPr>
          <w:hyperlink w:anchor="__RefHeading___Toc2792946_1051229030">
            <w:r>
              <w:rPr>
                <w:webHidden/>
                <w:rStyle w:val="IndexLink"/>
                <w:rtl w:val="true"/>
              </w:rPr>
              <w:t xml:space="preserve">فتوى السيّد السيستاني </w:t>
            </w:r>
            <w:r>
              <w:rPr>
                <w:rStyle w:val="IndexLink"/>
                <w:rtl w:val="true"/>
              </w:rPr>
              <w:t>(</w:t>
            </w:r>
            <w:r>
              <w:rPr>
                <w:rStyle w:val="IndexLink"/>
                <w:rtl w:val="true"/>
              </w:rPr>
              <w:t>دام ظله</w:t>
            </w:r>
            <w:r>
              <w:rPr>
                <w:rStyle w:val="IndexLink"/>
                <w:rtl w:val="true"/>
              </w:rPr>
              <w:t>)</w:t>
              <w:tab/>
            </w:r>
            <w:r>
              <w:rPr>
                <w:rStyle w:val="IndexLink"/>
              </w:rPr>
              <w:t>216</w:t>
            </w:r>
          </w:hyperlink>
        </w:p>
        <w:p>
          <w:pPr>
            <w:pStyle w:val="Contents6"/>
            <w:tabs>
              <w:tab w:val="clear" w:pos="7609"/>
              <w:tab w:val="right" w:pos="9026" w:leader="dot"/>
            </w:tabs>
            <w:rPr/>
          </w:pPr>
          <w:hyperlink w:anchor="__RefHeading___Toc2792948_1051229030">
            <w:r>
              <w:rPr>
                <w:webHidden/>
                <w:rStyle w:val="IndexLink"/>
                <w:rtl w:val="true"/>
              </w:rPr>
              <w:t xml:space="preserve">تحليل فتوى السيد السيستاني </w:t>
            </w:r>
            <w:r>
              <w:rPr>
                <w:rStyle w:val="IndexLink"/>
                <w:rtl w:val="true"/>
              </w:rPr>
              <w:t>(</w:t>
            </w:r>
            <w:r>
              <w:rPr>
                <w:rStyle w:val="IndexLink"/>
                <w:rtl w:val="true"/>
              </w:rPr>
              <w:t>دام ظله</w:t>
            </w:r>
            <w:r>
              <w:rPr>
                <w:rStyle w:val="IndexLink"/>
                <w:rtl w:val="true"/>
              </w:rPr>
              <w:t>)</w:t>
              <w:tab/>
            </w:r>
            <w:r>
              <w:rPr>
                <w:rStyle w:val="IndexLink"/>
              </w:rPr>
              <w:t>216</w:t>
            </w:r>
          </w:hyperlink>
        </w:p>
        <w:p>
          <w:pPr>
            <w:pStyle w:val="Contents6"/>
            <w:tabs>
              <w:tab w:val="clear" w:pos="7609"/>
              <w:tab w:val="right" w:pos="9026" w:leader="dot"/>
            </w:tabs>
            <w:rPr/>
          </w:pPr>
          <w:hyperlink w:anchor="__RefHeading___Toc2792950_1051229030">
            <w:r>
              <w:rPr>
                <w:webHidden/>
                <w:rStyle w:val="IndexLink"/>
                <w:rtl w:val="true"/>
              </w:rPr>
              <w:t>أدلة المجوّزين</w:t>
            </w:r>
            <w:r>
              <w:rPr>
                <w:rStyle w:val="IndexLink"/>
                <w:rtl w:val="true"/>
              </w:rPr>
              <w:tab/>
            </w:r>
            <w:r>
              <w:rPr>
                <w:rStyle w:val="IndexLink"/>
              </w:rPr>
              <w:t>217</w:t>
            </w:r>
          </w:hyperlink>
        </w:p>
        <w:p>
          <w:pPr>
            <w:pStyle w:val="Contents4"/>
            <w:tabs>
              <w:tab w:val="clear" w:pos="8176"/>
              <w:tab w:val="right" w:pos="9026" w:leader="dot"/>
            </w:tabs>
            <w:rPr/>
          </w:pPr>
          <w:hyperlink w:anchor="__RefHeading___Toc2792952_1051229030">
            <w:r>
              <w:rPr>
                <w:webHidden/>
                <w:rStyle w:val="IndexLink"/>
                <w:rtl w:val="true"/>
              </w:rPr>
              <w:t>الرأي المختار في المسألة</w:t>
            </w:r>
            <w:r>
              <w:rPr>
                <w:rStyle w:val="IndexLink"/>
                <w:rtl w:val="true"/>
              </w:rPr>
              <w:tab/>
            </w:r>
            <w:r>
              <w:rPr>
                <w:rStyle w:val="IndexLink"/>
              </w:rPr>
              <w:t>218</w:t>
            </w:r>
          </w:hyperlink>
        </w:p>
        <w:p>
          <w:pPr>
            <w:pStyle w:val="Contents4"/>
            <w:tabs>
              <w:tab w:val="clear" w:pos="8176"/>
              <w:tab w:val="right" w:pos="9026" w:leader="dot"/>
            </w:tabs>
            <w:rPr/>
          </w:pPr>
          <w:hyperlink w:anchor="__RefHeading___Toc2792954_1051229030">
            <w:r>
              <w:rPr>
                <w:webHidden/>
                <w:rStyle w:val="IndexLink"/>
                <w:rtl w:val="true"/>
              </w:rPr>
              <w:t>مثالان تطبيقيان</w:t>
            </w:r>
            <w:r>
              <w:rPr>
                <w:rStyle w:val="IndexLink"/>
                <w:rtl w:val="true"/>
              </w:rPr>
              <w:tab/>
            </w:r>
            <w:r>
              <w:rPr>
                <w:rStyle w:val="IndexLink"/>
              </w:rPr>
              <w:t>220</w:t>
            </w:r>
          </w:hyperlink>
        </w:p>
        <w:p>
          <w:pPr>
            <w:pStyle w:val="Contents5"/>
            <w:tabs>
              <w:tab w:val="clear" w:pos="7892"/>
              <w:tab w:val="right" w:pos="9026" w:leader="dot"/>
            </w:tabs>
            <w:rPr/>
          </w:pPr>
          <w:hyperlink w:anchor="__RefHeading___Toc2792956_105122903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2792958_1051229030">
            <w:r>
              <w:rPr>
                <w:webHidden/>
                <w:rStyle w:val="IndexLink"/>
                <w:rtl w:val="true"/>
              </w:rPr>
              <w:t>المثال الأول</w:t>
            </w:r>
            <w:r>
              <w:rPr>
                <w:rStyle w:val="IndexLink"/>
                <w:rtl w:val="true"/>
              </w:rPr>
              <w:tab/>
            </w:r>
            <w:r>
              <w:rPr>
                <w:rStyle w:val="IndexLink"/>
              </w:rPr>
              <w:t>220</w:t>
            </w:r>
          </w:hyperlink>
        </w:p>
        <w:p>
          <w:pPr>
            <w:pStyle w:val="Contents5"/>
            <w:tabs>
              <w:tab w:val="clear" w:pos="7892"/>
              <w:tab w:val="right" w:pos="9026" w:leader="dot"/>
            </w:tabs>
            <w:rPr/>
          </w:pPr>
          <w:hyperlink w:anchor="__RefHeading___Toc2792960_1051229030">
            <w:r>
              <w:rPr>
                <w:webHidden/>
                <w:rStyle w:val="IndexLink"/>
                <w:rtl w:val="true"/>
              </w:rPr>
              <w:t>المثال الثاني</w:t>
            </w:r>
            <w:r>
              <w:rPr>
                <w:rStyle w:val="IndexLink"/>
                <w:rtl w:val="true"/>
              </w:rPr>
              <w:tab/>
            </w:r>
            <w:r>
              <w:rPr>
                <w:rStyle w:val="IndexLink"/>
              </w:rPr>
              <w:t>220</w:t>
            </w:r>
          </w:hyperlink>
        </w:p>
        <w:p>
          <w:pPr>
            <w:pStyle w:val="Contents3"/>
            <w:tabs>
              <w:tab w:val="clear" w:pos="8459"/>
              <w:tab w:val="right" w:pos="9026" w:leader="dot"/>
            </w:tabs>
            <w:rPr/>
          </w:pPr>
          <w:hyperlink w:anchor="__RefHeading___Toc2792962_1051229030">
            <w:r>
              <w:rPr>
                <w:webHidden/>
                <w:rStyle w:val="IndexLink"/>
                <w:rtl w:val="true"/>
              </w:rPr>
              <w:t>وُجُوب زِیَارَة الاِمَامِ الحُسَيْن عَلیه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2792964_1051229030">
            <w:r>
              <w:rPr>
                <w:webHidden/>
                <w:rStyle w:val="IndexLink"/>
                <w:rtl w:val="true"/>
              </w:rPr>
              <w:t>القسم الثالث الشيخ رافد عساف التميمي</w:t>
            </w:r>
            <w:r>
              <w:rPr>
                <w:rStyle w:val="IndexLink"/>
                <w:rtl w:val="true"/>
              </w:rPr>
              <w:tab/>
            </w:r>
            <w:r>
              <w:rPr>
                <w:rStyle w:val="IndexLink"/>
              </w:rPr>
              <w:t>223</w:t>
            </w:r>
          </w:hyperlink>
        </w:p>
        <w:p>
          <w:pPr>
            <w:pStyle w:val="Contents5"/>
            <w:tabs>
              <w:tab w:val="clear" w:pos="7892"/>
              <w:tab w:val="right" w:pos="9026" w:leader="dot"/>
            </w:tabs>
            <w:rPr/>
          </w:pPr>
          <w:hyperlink w:anchor="__RefHeading___Toc2792966_105122903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2792968_1051229030">
            <w:r>
              <w:rPr>
                <w:webHidden/>
                <w:rStyle w:val="IndexLink"/>
                <w:rtl w:val="true"/>
              </w:rPr>
              <w:t>بحث التواتر</w:t>
            </w:r>
            <w:r>
              <w:rPr>
                <w:rStyle w:val="IndexLink"/>
                <w:rtl w:val="true"/>
              </w:rPr>
              <w:t>:</w:t>
              <w:tab/>
            </w:r>
            <w:r>
              <w:rPr>
                <w:rStyle w:val="IndexLink"/>
              </w:rPr>
              <w:t>224</w:t>
            </w:r>
          </w:hyperlink>
        </w:p>
        <w:p>
          <w:pPr>
            <w:pStyle w:val="Contents5"/>
            <w:tabs>
              <w:tab w:val="clear" w:pos="7892"/>
              <w:tab w:val="right" w:pos="9026" w:leader="dot"/>
            </w:tabs>
            <w:rPr/>
          </w:pPr>
          <w:hyperlink w:anchor="__RefHeading___Toc2792970_1051229030">
            <w:r>
              <w:rPr>
                <w:webHidden/>
                <w:rStyle w:val="IndexLink"/>
                <w:rtl w:val="true"/>
              </w:rPr>
              <w:t>إشكال وجواب</w:t>
            </w:r>
            <w:r>
              <w:rPr>
                <w:rStyle w:val="IndexLink"/>
                <w:rtl w:val="true"/>
              </w:rPr>
              <w:t>:</w:t>
              <w:tab/>
            </w:r>
            <w:r>
              <w:rPr>
                <w:rStyle w:val="IndexLink"/>
              </w:rPr>
              <w:t>225</w:t>
            </w:r>
          </w:hyperlink>
        </w:p>
        <w:p>
          <w:pPr>
            <w:pStyle w:val="Contents5"/>
            <w:tabs>
              <w:tab w:val="clear" w:pos="7892"/>
              <w:tab w:val="right" w:pos="9026" w:leader="dot"/>
            </w:tabs>
            <w:rPr/>
          </w:pPr>
          <w:hyperlink w:anchor="__RefHeading___Toc2792972_1051229030">
            <w:r>
              <w:rPr>
                <w:webHidden/>
                <w:rStyle w:val="IndexLink"/>
                <w:rtl w:val="true"/>
              </w:rPr>
              <w:t>حدود الوجوب</w:t>
            </w:r>
            <w:r>
              <w:rPr>
                <w:rStyle w:val="IndexLink"/>
                <w:rtl w:val="true"/>
              </w:rPr>
              <w:t>:</w:t>
              <w:tab/>
            </w:r>
            <w:r>
              <w:rPr>
                <w:rStyle w:val="IndexLink"/>
              </w:rPr>
              <w:t>226</w:t>
            </w:r>
          </w:hyperlink>
        </w:p>
        <w:p>
          <w:pPr>
            <w:pStyle w:val="Contents5"/>
            <w:tabs>
              <w:tab w:val="clear" w:pos="7892"/>
              <w:tab w:val="right" w:pos="9026" w:leader="dot"/>
            </w:tabs>
            <w:rPr/>
          </w:pPr>
          <w:hyperlink w:anchor="__RefHeading___Toc2792974_1051229030">
            <w:r>
              <w:rPr>
                <w:webHidden/>
                <w:rStyle w:val="IndexLink"/>
                <w:rtl w:val="true"/>
              </w:rPr>
              <w:t>الطائفة الأُولى</w:t>
            </w:r>
            <w:r>
              <w:rPr>
                <w:rStyle w:val="IndexLink"/>
                <w:rtl w:val="true"/>
              </w:rPr>
              <w:t xml:space="preserve">: </w:t>
            </w:r>
            <w:r>
              <w:rPr>
                <w:rStyle w:val="IndexLink"/>
                <w:rtl w:val="true"/>
              </w:rPr>
              <w:t>ما دلَّ على أصل الوجوب من دون تقييده بزمان أو عدد معين</w:t>
            </w:r>
            <w:r>
              <w:rPr>
                <w:rStyle w:val="IndexLink"/>
                <w:rtl w:val="true"/>
              </w:rPr>
              <w:tab/>
            </w:r>
            <w:r>
              <w:rPr>
                <w:rStyle w:val="IndexLink"/>
              </w:rPr>
              <w:t>227</w:t>
            </w:r>
          </w:hyperlink>
        </w:p>
        <w:p>
          <w:pPr>
            <w:pStyle w:val="Contents5"/>
            <w:tabs>
              <w:tab w:val="clear" w:pos="7892"/>
              <w:tab w:val="right" w:pos="9026" w:leader="dot"/>
            </w:tabs>
            <w:rPr/>
          </w:pPr>
          <w:hyperlink w:anchor="__RefHeading___Toc2792976_1051229030">
            <w:r>
              <w:rPr>
                <w:webHidden/>
                <w:rStyle w:val="IndexLink"/>
                <w:rtl w:val="true"/>
              </w:rPr>
              <w:t>الطائفة الثانية</w:t>
            </w:r>
            <w:r>
              <w:rPr>
                <w:rStyle w:val="IndexLink"/>
                <w:rtl w:val="true"/>
              </w:rPr>
              <w:t xml:space="preserve">: </w:t>
            </w:r>
            <w:r>
              <w:rPr>
                <w:rStyle w:val="IndexLink"/>
                <w:rtl w:val="true"/>
              </w:rPr>
              <w:t>ما دلَّ على وجوب تكرار الزيارة</w:t>
            </w:r>
            <w:r>
              <w:rPr>
                <w:rStyle w:val="IndexLink"/>
                <w:rtl w:val="true"/>
              </w:rPr>
              <w:tab/>
            </w:r>
            <w:r>
              <w:rPr>
                <w:rStyle w:val="IndexLink"/>
              </w:rPr>
              <w:t>228</w:t>
            </w:r>
          </w:hyperlink>
        </w:p>
        <w:p>
          <w:pPr>
            <w:pStyle w:val="Contents5"/>
            <w:tabs>
              <w:tab w:val="clear" w:pos="7892"/>
              <w:tab w:val="right" w:pos="9026" w:leader="dot"/>
            </w:tabs>
            <w:rPr/>
          </w:pPr>
          <w:hyperlink w:anchor="__RefHeading___Toc2792978_1051229030">
            <w:r>
              <w:rPr>
                <w:webHidden/>
                <w:rStyle w:val="IndexLink"/>
                <w:rtl w:val="true"/>
              </w:rPr>
              <w:t>الطائفة الثالثة</w:t>
            </w:r>
            <w:r>
              <w:rPr>
                <w:rStyle w:val="IndexLink"/>
                <w:rtl w:val="true"/>
              </w:rPr>
              <w:t xml:space="preserve">: </w:t>
            </w:r>
            <w:r>
              <w:rPr>
                <w:rStyle w:val="IndexLink"/>
                <w:rtl w:val="true"/>
              </w:rPr>
              <w:t>ما دلَّ على وجوب الزيارة في كل أربع سنين مرّة</w:t>
            </w:r>
            <w:r>
              <w:rPr>
                <w:rStyle w:val="IndexLink"/>
                <w:rtl w:val="true"/>
              </w:rPr>
              <w:tab/>
            </w:r>
            <w:r>
              <w:rPr>
                <w:rStyle w:val="IndexLink"/>
              </w:rPr>
              <w:t>228</w:t>
            </w:r>
          </w:hyperlink>
        </w:p>
        <w:p>
          <w:pPr>
            <w:pStyle w:val="Contents5"/>
            <w:tabs>
              <w:tab w:val="clear" w:pos="7892"/>
              <w:tab w:val="right" w:pos="9026" w:leader="dot"/>
            </w:tabs>
            <w:rPr/>
          </w:pPr>
          <w:hyperlink w:anchor="__RefHeading___Toc2792980_1051229030">
            <w:r>
              <w:rPr>
                <w:webHidden/>
                <w:rStyle w:val="IndexLink"/>
                <w:rtl w:val="true"/>
              </w:rPr>
              <w:t>الطائفة الرابعة</w:t>
            </w:r>
            <w:r>
              <w:rPr>
                <w:rStyle w:val="IndexLink"/>
                <w:rtl w:val="true"/>
              </w:rPr>
              <w:t xml:space="preserve">: </w:t>
            </w:r>
            <w:r>
              <w:rPr>
                <w:rStyle w:val="IndexLink"/>
                <w:rtl w:val="true"/>
              </w:rPr>
              <w:t>ما دلَّ على وجوب الزيارة في كل سنة مرَّة</w:t>
            </w:r>
            <w:r>
              <w:rPr>
                <w:rStyle w:val="IndexLink"/>
                <w:rtl w:val="true"/>
              </w:rPr>
              <w:tab/>
            </w:r>
            <w:r>
              <w:rPr>
                <w:rStyle w:val="IndexLink"/>
              </w:rPr>
              <w:t>229</w:t>
            </w:r>
          </w:hyperlink>
        </w:p>
        <w:p>
          <w:pPr>
            <w:pStyle w:val="Contents5"/>
            <w:tabs>
              <w:tab w:val="clear" w:pos="7892"/>
              <w:tab w:val="right" w:pos="9026" w:leader="dot"/>
            </w:tabs>
            <w:rPr/>
          </w:pPr>
          <w:hyperlink w:anchor="__RefHeading___Toc2792982_1051229030">
            <w:r>
              <w:rPr>
                <w:webHidden/>
                <w:rStyle w:val="IndexLink"/>
                <w:rtl w:val="true"/>
              </w:rPr>
              <w:t>الطائفة الخامسة</w:t>
            </w:r>
            <w:r>
              <w:rPr>
                <w:rStyle w:val="IndexLink"/>
                <w:rtl w:val="true"/>
              </w:rPr>
              <w:t xml:space="preserve">: </w:t>
            </w:r>
            <w:r>
              <w:rPr>
                <w:rStyle w:val="IndexLink"/>
                <w:rtl w:val="true"/>
              </w:rPr>
              <w:t>ما دلَّ على وجوب الزيارة على الغني في كل سنة مرتين وعلى الفقير في كل سنة مرة</w:t>
            </w:r>
            <w:r>
              <w:rPr>
                <w:rStyle w:val="IndexLink"/>
                <w:rtl w:val="true"/>
              </w:rPr>
              <w:tab/>
            </w:r>
            <w:r>
              <w:rPr>
                <w:rStyle w:val="IndexLink"/>
              </w:rPr>
              <w:t>229</w:t>
            </w:r>
          </w:hyperlink>
        </w:p>
        <w:p>
          <w:pPr>
            <w:pStyle w:val="Contents5"/>
            <w:tabs>
              <w:tab w:val="clear" w:pos="7892"/>
              <w:tab w:val="right" w:pos="9026" w:leader="dot"/>
            </w:tabs>
            <w:rPr/>
          </w:pPr>
          <w:hyperlink w:anchor="__RefHeading___Toc2792984_1051229030">
            <w:r>
              <w:rPr>
                <w:webHidden/>
                <w:rStyle w:val="IndexLink"/>
                <w:rtl w:val="true"/>
              </w:rPr>
              <w:t>الطائفة السادسة</w:t>
            </w:r>
            <w:r>
              <w:rPr>
                <w:rStyle w:val="IndexLink"/>
                <w:rtl w:val="true"/>
              </w:rPr>
              <w:t xml:space="preserve">: </w:t>
            </w:r>
            <w:r>
              <w:rPr>
                <w:rStyle w:val="IndexLink"/>
                <w:rtl w:val="true"/>
              </w:rPr>
              <w:t>ما دلَّ على وجوب الزيارة للقريب في كل شهر مرة والبعيد كل ثلاث سنوات مرة</w:t>
            </w:r>
            <w:r>
              <w:rPr>
                <w:rStyle w:val="IndexLink"/>
                <w:rtl w:val="true"/>
              </w:rPr>
              <w:tab/>
            </w:r>
            <w:r>
              <w:rPr>
                <w:rStyle w:val="IndexLink"/>
              </w:rPr>
              <w:t>229</w:t>
            </w:r>
          </w:hyperlink>
        </w:p>
        <w:p>
          <w:pPr>
            <w:pStyle w:val="Contents5"/>
            <w:tabs>
              <w:tab w:val="clear" w:pos="7892"/>
              <w:tab w:val="right" w:pos="9026" w:leader="dot"/>
            </w:tabs>
            <w:rPr/>
          </w:pPr>
          <w:hyperlink w:anchor="__RefHeading___Toc2792986_1051229030">
            <w:r>
              <w:rPr>
                <w:webHidden/>
                <w:rStyle w:val="IndexLink"/>
                <w:rtl w:val="true"/>
              </w:rPr>
              <w:t>الجمع بين الروايات</w:t>
            </w:r>
            <w:r>
              <w:rPr>
                <w:rStyle w:val="IndexLink"/>
                <w:rtl w:val="true"/>
              </w:rPr>
              <w:t>:</w:t>
              <w:tab/>
            </w:r>
            <w:r>
              <w:rPr>
                <w:rStyle w:val="IndexLink"/>
              </w:rPr>
              <w:t>230</w:t>
            </w:r>
          </w:hyperlink>
        </w:p>
        <w:p>
          <w:pPr>
            <w:pStyle w:val="Contents5"/>
            <w:tabs>
              <w:tab w:val="clear" w:pos="7892"/>
              <w:tab w:val="right" w:pos="9026" w:leader="dot"/>
            </w:tabs>
            <w:rPr/>
          </w:pPr>
          <w:hyperlink w:anchor="__RefHeading___Toc2792988_1051229030">
            <w:r>
              <w:rPr>
                <w:webHidden/>
                <w:rStyle w:val="IndexLink"/>
                <w:rtl w:val="true"/>
              </w:rPr>
              <w:t>وجه للتوفيق بين الروايات</w:t>
            </w:r>
            <w:r>
              <w:rPr>
                <w:rStyle w:val="IndexLink"/>
                <w:rtl w:val="true"/>
              </w:rPr>
              <w:t>:</w:t>
              <w:tab/>
            </w:r>
            <w:r>
              <w:rPr>
                <w:rStyle w:val="IndexLink"/>
              </w:rPr>
              <w:t>231</w:t>
            </w:r>
          </w:hyperlink>
        </w:p>
        <w:p>
          <w:pPr>
            <w:pStyle w:val="Contents6"/>
            <w:tabs>
              <w:tab w:val="clear" w:pos="7609"/>
              <w:tab w:val="right" w:pos="9026" w:leader="dot"/>
            </w:tabs>
            <w:rPr/>
          </w:pPr>
          <w:hyperlink w:anchor="__RefHeading___Toc2792990_1051229030">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2792992_1051229030">
            <w:r>
              <w:rPr>
                <w:webHidden/>
                <w:rStyle w:val="IndexLink"/>
                <w:rtl w:val="true"/>
              </w:rPr>
              <w:t>الخطوة الأُولى</w:t>
            </w:r>
            <w:r>
              <w:rPr>
                <w:rStyle w:val="IndexLink"/>
                <w:rtl w:val="true"/>
              </w:rPr>
              <w:t>:</w:t>
              <w:tab/>
            </w:r>
            <w:r>
              <w:rPr>
                <w:rStyle w:val="IndexLink"/>
              </w:rPr>
              <w:t>232</w:t>
            </w:r>
          </w:hyperlink>
        </w:p>
        <w:p>
          <w:pPr>
            <w:pStyle w:val="Contents6"/>
            <w:tabs>
              <w:tab w:val="clear" w:pos="7609"/>
              <w:tab w:val="right" w:pos="9026" w:leader="dot"/>
            </w:tabs>
            <w:rPr/>
          </w:pPr>
          <w:hyperlink w:anchor="__RefHeading___Toc2792994_1051229030">
            <w:r>
              <w:rPr>
                <w:webHidden/>
                <w:rStyle w:val="IndexLink"/>
                <w:rtl w:val="true"/>
              </w:rPr>
              <w:t>الخطوة الثانية</w:t>
            </w:r>
            <w:r>
              <w:rPr>
                <w:rStyle w:val="IndexLink"/>
                <w:rtl w:val="true"/>
              </w:rPr>
              <w:t>:</w:t>
              <w:tab/>
            </w:r>
            <w:r>
              <w:rPr>
                <w:rStyle w:val="IndexLink"/>
              </w:rPr>
              <w:t>232</w:t>
            </w:r>
          </w:hyperlink>
        </w:p>
        <w:p>
          <w:pPr>
            <w:pStyle w:val="Contents5"/>
            <w:tabs>
              <w:tab w:val="clear" w:pos="7892"/>
              <w:tab w:val="right" w:pos="9026" w:leader="dot"/>
            </w:tabs>
            <w:rPr/>
          </w:pPr>
          <w:hyperlink w:anchor="__RefHeading___Toc2792996_1051229030">
            <w:r>
              <w:rPr>
                <w:webHidden/>
                <w:rStyle w:val="IndexLink"/>
                <w:rtl w:val="true"/>
              </w:rPr>
              <w:t>الجفاء النوعي والشخصي</w:t>
            </w:r>
            <w:r>
              <w:rPr>
                <w:rStyle w:val="IndexLink"/>
                <w:rtl w:val="true"/>
              </w:rPr>
              <w:t>:</w:t>
              <w:tab/>
            </w:r>
            <w:r>
              <w:rPr>
                <w:rStyle w:val="IndexLink"/>
              </w:rPr>
              <w:t>233</w:t>
            </w:r>
          </w:hyperlink>
        </w:p>
        <w:p>
          <w:pPr>
            <w:pStyle w:val="Contents5"/>
            <w:tabs>
              <w:tab w:val="clear" w:pos="7892"/>
              <w:tab w:val="right" w:pos="9026" w:leader="dot"/>
            </w:tabs>
            <w:rPr/>
          </w:pPr>
          <w:hyperlink w:anchor="__RefHeading___Toc2792998_1051229030">
            <w:r>
              <w:rPr>
                <w:webHidden/>
                <w:rStyle w:val="IndexLink"/>
                <w:rtl w:val="true"/>
              </w:rPr>
              <w:t>كيفية الزيارة</w:t>
            </w:r>
            <w:r>
              <w:rPr>
                <w:rStyle w:val="IndexLink"/>
                <w:rtl w:val="true"/>
              </w:rPr>
              <w:t>:</w:t>
              <w:tab/>
            </w:r>
            <w:r>
              <w:rPr>
                <w:rStyle w:val="IndexLink"/>
              </w:rPr>
              <w:t>234</w:t>
            </w:r>
          </w:hyperlink>
        </w:p>
        <w:p>
          <w:pPr>
            <w:pStyle w:val="Contents5"/>
            <w:tabs>
              <w:tab w:val="clear" w:pos="7892"/>
              <w:tab w:val="right" w:pos="9026" w:leader="dot"/>
            </w:tabs>
            <w:rPr/>
          </w:pPr>
          <w:hyperlink w:anchor="__RefHeading___Toc2793000_1051229030">
            <w:r>
              <w:rPr>
                <w:webHidden/>
                <w:rStyle w:val="IndexLink"/>
                <w:rtl w:val="true"/>
              </w:rPr>
              <w:t>الإشكالات على القول بالوجوب</w:t>
            </w:r>
            <w:r>
              <w:rPr>
                <w:rStyle w:val="IndexLink"/>
                <w:rtl w:val="true"/>
              </w:rPr>
              <w:t>:</w:t>
              <w:tab/>
            </w:r>
            <w:r>
              <w:rPr>
                <w:rStyle w:val="IndexLink"/>
              </w:rPr>
              <w:t>236</w:t>
            </w:r>
          </w:hyperlink>
        </w:p>
        <w:p>
          <w:pPr>
            <w:pStyle w:val="Contents6"/>
            <w:tabs>
              <w:tab w:val="clear" w:pos="7609"/>
              <w:tab w:val="right" w:pos="9026" w:leader="dot"/>
            </w:tabs>
            <w:rPr/>
          </w:pPr>
          <w:hyperlink w:anchor="__RefHeading___Toc2793002_105122903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2793004_1051229030">
            <w:r>
              <w:rPr>
                <w:webHidden/>
                <w:rStyle w:val="IndexLink"/>
                <w:rtl w:val="true"/>
              </w:rPr>
              <w:t>الإشكال الأول</w:t>
            </w:r>
            <w:r>
              <w:rPr>
                <w:rStyle w:val="IndexLink"/>
                <w:rtl w:val="true"/>
              </w:rPr>
              <w:t xml:space="preserve">: </w:t>
            </w:r>
            <w:r>
              <w:rPr>
                <w:rStyle w:val="IndexLink"/>
                <w:rtl w:val="true"/>
              </w:rPr>
              <w:t>الروايات التي تُعارض الوجوب</w:t>
            </w:r>
            <w:r>
              <w:rPr>
                <w:rStyle w:val="IndexLink"/>
                <w:rtl w:val="true"/>
              </w:rPr>
              <w:tab/>
            </w:r>
            <w:r>
              <w:rPr>
                <w:rStyle w:val="IndexLink"/>
              </w:rPr>
              <w:t>236</w:t>
            </w:r>
          </w:hyperlink>
        </w:p>
        <w:p>
          <w:pPr>
            <w:pStyle w:val="Contents6"/>
            <w:tabs>
              <w:tab w:val="clear" w:pos="7609"/>
              <w:tab w:val="right" w:pos="9026" w:leader="dot"/>
            </w:tabs>
            <w:rPr/>
          </w:pPr>
          <w:hyperlink w:anchor="__RefHeading___Toc2793006_1051229030">
            <w:r>
              <w:rPr>
                <w:webHidden/>
                <w:rStyle w:val="IndexLink"/>
                <w:rtl w:val="true"/>
              </w:rPr>
              <w:t>الإشكال الثاني</w:t>
            </w:r>
            <w:r>
              <w:rPr>
                <w:rStyle w:val="IndexLink"/>
                <w:rtl w:val="true"/>
              </w:rPr>
              <w:t xml:space="preserve">: </w:t>
            </w:r>
            <w:r>
              <w:rPr>
                <w:rStyle w:val="IndexLink"/>
                <w:rtl w:val="true"/>
              </w:rPr>
              <w:t>في معنى لفظ الوجوب</w:t>
            </w:r>
            <w:r>
              <w:rPr>
                <w:rStyle w:val="IndexLink"/>
                <w:rtl w:val="true"/>
              </w:rPr>
              <w:tab/>
            </w:r>
            <w:r>
              <w:rPr>
                <w:rStyle w:val="IndexLink"/>
              </w:rPr>
              <w:t>247</w:t>
            </w:r>
          </w:hyperlink>
        </w:p>
        <w:p>
          <w:pPr>
            <w:pStyle w:val="Contents6"/>
            <w:tabs>
              <w:tab w:val="clear" w:pos="7609"/>
              <w:tab w:val="right" w:pos="9026" w:leader="dot"/>
            </w:tabs>
            <w:rPr/>
          </w:pPr>
          <w:hyperlink w:anchor="__RefHeading___Toc2793008_1051229030">
            <w:r>
              <w:rPr>
                <w:webHidden/>
                <w:rStyle w:val="IndexLink"/>
                <w:rtl w:val="true"/>
              </w:rPr>
              <w:t>الإشكال الثالث</w:t>
            </w:r>
            <w:r>
              <w:rPr>
                <w:rStyle w:val="IndexLink"/>
                <w:rtl w:val="true"/>
              </w:rPr>
              <w:t xml:space="preserve">: </w:t>
            </w:r>
            <w:r>
              <w:rPr>
                <w:rStyle w:val="IndexLink"/>
                <w:rtl w:val="true"/>
              </w:rPr>
              <w:t>إشكال الإعراض</w:t>
            </w:r>
            <w:r>
              <w:rPr>
                <w:rStyle w:val="IndexLink"/>
                <w:rtl w:val="true"/>
              </w:rPr>
              <w:tab/>
            </w:r>
            <w:r>
              <w:rPr>
                <w:rStyle w:val="IndexLink"/>
              </w:rPr>
              <w:t>251</w:t>
            </w:r>
          </w:hyperlink>
        </w:p>
        <w:p>
          <w:pPr>
            <w:pStyle w:val="Contents6"/>
            <w:tabs>
              <w:tab w:val="clear" w:pos="7609"/>
              <w:tab w:val="right" w:pos="9026" w:leader="dot"/>
            </w:tabs>
            <w:rPr/>
          </w:pPr>
          <w:hyperlink w:anchor="__RefHeading___Toc2793010_1051229030">
            <w:r>
              <w:rPr>
                <w:webHidden/>
                <w:rStyle w:val="IndexLink"/>
                <w:rtl w:val="true"/>
              </w:rPr>
              <w:t>القائلون بالوجوب</w:t>
            </w:r>
            <w:r>
              <w:rPr>
                <w:rStyle w:val="IndexLink"/>
                <w:rtl w:val="true"/>
              </w:rPr>
              <w:t>:</w:t>
              <w:tab/>
            </w:r>
            <w:r>
              <w:rPr>
                <w:rStyle w:val="IndexLink"/>
              </w:rPr>
              <w:t>253</w:t>
            </w:r>
          </w:hyperlink>
        </w:p>
        <w:p>
          <w:pPr>
            <w:pStyle w:val="Contents5"/>
            <w:tabs>
              <w:tab w:val="clear" w:pos="7892"/>
              <w:tab w:val="right" w:pos="9026" w:leader="dot"/>
            </w:tabs>
            <w:rPr/>
          </w:pPr>
          <w:hyperlink w:anchor="__RefHeading___Toc2793012_1051229030">
            <w:r>
              <w:rPr>
                <w:webHidden/>
                <w:rStyle w:val="IndexLink"/>
                <w:rtl w:val="true"/>
              </w:rPr>
              <w:t>الخلاصة النهائية من البحث في أقسامه الثلاثة</w:t>
            </w:r>
            <w:r>
              <w:rPr>
                <w:rStyle w:val="IndexLink"/>
                <w:rtl w:val="true"/>
              </w:rPr>
              <w:tab/>
            </w:r>
            <w:r>
              <w:rPr>
                <w:rStyle w:val="IndexLink"/>
              </w:rPr>
              <w:t>257</w:t>
            </w:r>
          </w:hyperlink>
        </w:p>
        <w:p>
          <w:pPr>
            <w:pStyle w:val="Contents2"/>
            <w:tabs>
              <w:tab w:val="clear" w:pos="8743"/>
              <w:tab w:val="right" w:pos="9026" w:leader="dot"/>
            </w:tabs>
            <w:rPr/>
          </w:pPr>
          <w:hyperlink w:anchor="__RefHeading___Toc2793014_1051229030">
            <w:r>
              <w:rPr>
                <w:webHidden/>
                <w:rStyle w:val="IndexLink"/>
                <w:rtl w:val="true"/>
              </w:rPr>
              <w:t>دِرَاسَاتٌ دِينِيَّة</w:t>
            </w:r>
            <w:r>
              <w:rPr>
                <w:rStyle w:val="IndexLink"/>
                <w:rtl w:val="true"/>
              </w:rPr>
              <w:tab/>
            </w:r>
            <w:r>
              <w:rPr>
                <w:rStyle w:val="IndexLink"/>
              </w:rPr>
              <w:t>259</w:t>
            </w:r>
          </w:hyperlink>
        </w:p>
        <w:p>
          <w:pPr>
            <w:pStyle w:val="Contents3"/>
            <w:tabs>
              <w:tab w:val="clear" w:pos="8459"/>
              <w:tab w:val="right" w:pos="9026" w:leader="dot"/>
            </w:tabs>
            <w:rPr/>
          </w:pPr>
          <w:hyperlink w:anchor="__RefHeading___Toc2793016_1051229030">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2793018_1051229030">
            <w:r>
              <w:rPr>
                <w:webHidden/>
                <w:rStyle w:val="IndexLink"/>
                <w:rtl w:val="true"/>
              </w:rPr>
              <w:t>حَدیثُ انَا مَدِینَة العلم دِراسَة نَقدیَّة لارَاءِ ابن تَیمِیَّة وَ المُعَلمِي د</w:t>
            </w:r>
            <w:r>
              <w:rPr>
                <w:rStyle w:val="IndexLink"/>
                <w:rtl w:val="true"/>
              </w:rPr>
              <w:t xml:space="preserve">. </w:t>
            </w:r>
            <w:r>
              <w:rPr>
                <w:rStyle w:val="IndexLink"/>
                <w:rtl w:val="true"/>
              </w:rPr>
              <w:t>يحيى عبد الحسن الدوخي</w:t>
            </w:r>
            <w:r>
              <w:rPr>
                <w:rStyle w:val="IndexLink"/>
                <w:rtl w:val="true"/>
              </w:rPr>
              <w:tab/>
            </w:r>
            <w:r>
              <w:rPr>
                <w:rStyle w:val="IndexLink"/>
              </w:rPr>
              <w:t>261</w:t>
            </w:r>
          </w:hyperlink>
        </w:p>
        <w:p>
          <w:pPr>
            <w:pStyle w:val="Contents4"/>
            <w:tabs>
              <w:tab w:val="clear" w:pos="8176"/>
              <w:tab w:val="right" w:pos="9026" w:leader="dot"/>
            </w:tabs>
            <w:rPr/>
          </w:pPr>
          <w:hyperlink w:anchor="__RefHeading___Toc2793020_1051229030">
            <w:r>
              <w:rPr>
                <w:webHidden/>
                <w:rStyle w:val="IndexLink"/>
                <w:rtl w:val="true"/>
              </w:rPr>
              <w:t>المقدمة</w:t>
            </w:r>
            <w:r>
              <w:rPr>
                <w:rStyle w:val="IndexLink"/>
                <w:rtl w:val="true"/>
              </w:rPr>
              <w:t>:</w:t>
              <w:tab/>
            </w:r>
            <w:r>
              <w:rPr>
                <w:rStyle w:val="IndexLink"/>
              </w:rPr>
              <w:t>261</w:t>
            </w:r>
          </w:hyperlink>
        </w:p>
        <w:p>
          <w:pPr>
            <w:pStyle w:val="Contents4"/>
            <w:tabs>
              <w:tab w:val="clear" w:pos="8176"/>
              <w:tab w:val="right" w:pos="9026" w:leader="dot"/>
            </w:tabs>
            <w:rPr/>
          </w:pPr>
          <w:hyperlink w:anchor="__RefHeading___Toc2793022_1051229030">
            <w:r>
              <w:rPr>
                <w:webHidden/>
                <w:rStyle w:val="IndexLink"/>
                <w:rtl w:val="true"/>
              </w:rPr>
              <w:t>سابقة البحث والجديد فيه</w:t>
            </w:r>
            <w:r>
              <w:rPr>
                <w:rStyle w:val="IndexLink"/>
                <w:rtl w:val="true"/>
              </w:rPr>
              <w:tab/>
            </w:r>
            <w:r>
              <w:rPr>
                <w:rStyle w:val="IndexLink"/>
              </w:rPr>
              <w:t>262</w:t>
            </w:r>
          </w:hyperlink>
        </w:p>
        <w:p>
          <w:pPr>
            <w:pStyle w:val="Contents5"/>
            <w:tabs>
              <w:tab w:val="clear" w:pos="7892"/>
              <w:tab w:val="right" w:pos="9026" w:leader="dot"/>
            </w:tabs>
            <w:rPr/>
          </w:pPr>
          <w:hyperlink w:anchor="__RefHeading___Toc2793024_105122903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2793026_1051229030">
            <w:r>
              <w:rPr>
                <w:webHidden/>
                <w:rStyle w:val="IndexLink"/>
                <w:rtl w:val="true"/>
              </w:rPr>
              <w:t>المبحث الأول</w:t>
            </w:r>
            <w:r>
              <w:rPr>
                <w:rStyle w:val="IndexLink"/>
                <w:rtl w:val="true"/>
              </w:rPr>
              <w:t xml:space="preserve">: </w:t>
            </w:r>
            <w:r>
              <w:rPr>
                <w:rStyle w:val="IndexLink"/>
                <w:rtl w:val="true"/>
              </w:rPr>
              <w:t>علم عليّ عَلیه السَلام في السنّة</w:t>
            </w:r>
            <w:r>
              <w:rPr>
                <w:rStyle w:val="IndexLink"/>
                <w:rtl w:val="true"/>
              </w:rPr>
              <w:tab/>
            </w:r>
            <w:r>
              <w:rPr>
                <w:rStyle w:val="IndexLink"/>
              </w:rPr>
              <w:t>263</w:t>
            </w:r>
          </w:hyperlink>
        </w:p>
        <w:p>
          <w:pPr>
            <w:pStyle w:val="Contents6"/>
            <w:tabs>
              <w:tab w:val="clear" w:pos="7609"/>
              <w:tab w:val="right" w:pos="9026" w:leader="dot"/>
            </w:tabs>
            <w:rPr/>
          </w:pPr>
          <w:hyperlink w:anchor="__RefHeading___Toc2793028_105122903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2793030_1051229030">
            <w:r>
              <w:rPr>
                <w:webHidden/>
                <w:rStyle w:val="IndexLink"/>
                <w:rtl w:val="true"/>
              </w:rPr>
              <w:t>فقهاء الإسلام ينهلون من علم علي عَلیه السَلام</w:t>
            </w:r>
            <w:r>
              <w:rPr>
                <w:rStyle w:val="IndexLink"/>
                <w:rtl w:val="true"/>
              </w:rPr>
              <w:tab/>
            </w:r>
            <w:r>
              <w:rPr>
                <w:rStyle w:val="IndexLink"/>
              </w:rPr>
              <w:t>266</w:t>
            </w:r>
          </w:hyperlink>
        </w:p>
        <w:p>
          <w:pPr>
            <w:pStyle w:val="Contents5"/>
            <w:tabs>
              <w:tab w:val="clear" w:pos="7892"/>
              <w:tab w:val="right" w:pos="9026" w:leader="dot"/>
            </w:tabs>
            <w:rPr/>
          </w:pPr>
          <w:hyperlink w:anchor="__RefHeading___Toc2793032_1051229030">
            <w:r>
              <w:rPr>
                <w:webHidden/>
                <w:rStyle w:val="IndexLink"/>
                <w:rtl w:val="true"/>
              </w:rPr>
              <w:t>المبحث الثاني</w:t>
            </w:r>
            <w:r>
              <w:rPr>
                <w:rStyle w:val="IndexLink"/>
                <w:rtl w:val="true"/>
              </w:rPr>
              <w:t xml:space="preserve">: </w:t>
            </w:r>
            <w:r>
              <w:rPr>
                <w:rStyle w:val="IndexLink"/>
                <w:rtl w:val="true"/>
              </w:rPr>
              <w:t>الرد على مدّعيات الشيخ ابن تيمية والمعلمي</w:t>
            </w:r>
            <w:r>
              <w:rPr>
                <w:rStyle w:val="IndexLink"/>
                <w:rtl w:val="true"/>
              </w:rPr>
              <w:tab/>
            </w:r>
            <w:r>
              <w:rPr>
                <w:rStyle w:val="IndexLink"/>
              </w:rPr>
              <w:t>267</w:t>
            </w:r>
          </w:hyperlink>
        </w:p>
        <w:p>
          <w:pPr>
            <w:pStyle w:val="Contents6"/>
            <w:tabs>
              <w:tab w:val="clear" w:pos="7609"/>
              <w:tab w:val="right" w:pos="9026" w:leader="dot"/>
            </w:tabs>
            <w:rPr/>
          </w:pPr>
          <w:hyperlink w:anchor="__RefHeading___Toc2793034_105122903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2793036_1051229030">
            <w:r>
              <w:rPr>
                <w:webHidden/>
                <w:rStyle w:val="IndexLink"/>
                <w:rtl w:val="true"/>
              </w:rPr>
              <w:t>الجواب</w:t>
            </w:r>
            <w:r>
              <w:rPr>
                <w:rStyle w:val="IndexLink"/>
                <w:rtl w:val="true"/>
              </w:rPr>
              <w:t xml:space="preserve">: </w:t>
            </w:r>
            <w:r>
              <w:rPr>
                <w:rStyle w:val="IndexLink"/>
                <w:rtl w:val="true"/>
              </w:rPr>
              <w:t>الحديث يتقوَّى بتعدُّد الطرق والمتابعات</w:t>
            </w:r>
            <w:r>
              <w:rPr>
                <w:rStyle w:val="IndexLink"/>
                <w:rtl w:val="true"/>
              </w:rPr>
              <w:tab/>
            </w:r>
            <w:r>
              <w:rPr>
                <w:rStyle w:val="IndexLink"/>
              </w:rPr>
              <w:t>269</w:t>
            </w:r>
          </w:hyperlink>
        </w:p>
        <w:p>
          <w:pPr>
            <w:pStyle w:val="Contents6"/>
            <w:tabs>
              <w:tab w:val="clear" w:pos="7609"/>
              <w:tab w:val="right" w:pos="9026" w:leader="dot"/>
            </w:tabs>
            <w:rPr/>
          </w:pPr>
          <w:hyperlink w:anchor="__RefHeading___Toc2793038_1051229030">
            <w:r>
              <w:rPr>
                <w:webHidden/>
                <w:rStyle w:val="IndexLink"/>
                <w:rtl w:val="true"/>
              </w:rPr>
              <w:t>الجواب</w:t>
            </w:r>
            <w:r>
              <w:rPr>
                <w:rStyle w:val="IndexLink"/>
                <w:rtl w:val="true"/>
              </w:rPr>
              <w:t xml:space="preserve">: </w:t>
            </w:r>
            <w:r>
              <w:rPr>
                <w:rStyle w:val="IndexLink"/>
                <w:rtl w:val="true"/>
              </w:rPr>
              <w:t>أبو الصلت الهروي بين التوثيق والتضعيف</w:t>
            </w:r>
            <w:r>
              <w:rPr>
                <w:rStyle w:val="IndexLink"/>
                <w:rtl w:val="true"/>
              </w:rPr>
              <w:tab/>
            </w:r>
            <w:r>
              <w:rPr>
                <w:rStyle w:val="IndexLink"/>
              </w:rPr>
              <w:t>272</w:t>
            </w:r>
          </w:hyperlink>
        </w:p>
        <w:p>
          <w:pPr>
            <w:pStyle w:val="Contents6"/>
            <w:tabs>
              <w:tab w:val="clear" w:pos="7609"/>
              <w:tab w:val="right" w:pos="9026" w:leader="dot"/>
            </w:tabs>
            <w:rPr/>
          </w:pPr>
          <w:hyperlink w:anchor="__RefHeading___Toc2793040_1051229030">
            <w:r>
              <w:rPr>
                <w:webHidden/>
                <w:rStyle w:val="IndexLink"/>
                <w:rtl w:val="true"/>
              </w:rPr>
              <w:t>الموثِقون</w:t>
            </w:r>
            <w:r>
              <w:rPr>
                <w:rStyle w:val="IndexLink"/>
                <w:rtl w:val="true"/>
              </w:rPr>
              <w:t>:</w:t>
              <w:tab/>
            </w:r>
            <w:r>
              <w:rPr>
                <w:rStyle w:val="IndexLink"/>
              </w:rPr>
              <w:t>273</w:t>
            </w:r>
          </w:hyperlink>
        </w:p>
        <w:p>
          <w:pPr>
            <w:pStyle w:val="Contents6"/>
            <w:tabs>
              <w:tab w:val="clear" w:pos="7609"/>
              <w:tab w:val="right" w:pos="9026" w:leader="dot"/>
            </w:tabs>
            <w:rPr/>
          </w:pPr>
          <w:hyperlink w:anchor="__RefHeading___Toc2793042_1051229030">
            <w:r>
              <w:rPr>
                <w:webHidden/>
                <w:rStyle w:val="IndexLink"/>
                <w:rtl w:val="true"/>
              </w:rPr>
              <w:t>المضعِّفون</w:t>
            </w:r>
            <w:r>
              <w:rPr>
                <w:rStyle w:val="IndexLink"/>
                <w:rtl w:val="true"/>
              </w:rPr>
              <w:t>:</w:t>
              <w:tab/>
            </w:r>
            <w:r>
              <w:rPr>
                <w:rStyle w:val="IndexLink"/>
              </w:rPr>
              <w:t>274</w:t>
            </w:r>
          </w:hyperlink>
        </w:p>
        <w:p>
          <w:pPr>
            <w:pStyle w:val="Contents6"/>
            <w:tabs>
              <w:tab w:val="clear" w:pos="7609"/>
              <w:tab w:val="right" w:pos="9026" w:leader="dot"/>
            </w:tabs>
            <w:rPr/>
          </w:pPr>
          <w:hyperlink w:anchor="__RefHeading___Toc2793044_1051229030">
            <w:r>
              <w:rPr>
                <w:webHidden/>
                <w:rStyle w:val="IndexLink"/>
                <w:rtl w:val="true"/>
              </w:rPr>
              <w:t>مناقشة المضعِّفين لأبي الصلت الهروي</w:t>
            </w:r>
            <w:r>
              <w:rPr>
                <w:rStyle w:val="IndexLink"/>
                <w:rtl w:val="true"/>
              </w:rPr>
              <w:tab/>
            </w:r>
            <w:r>
              <w:rPr>
                <w:rStyle w:val="IndexLink"/>
              </w:rPr>
              <w:t>275</w:t>
            </w:r>
          </w:hyperlink>
        </w:p>
        <w:p>
          <w:pPr>
            <w:pStyle w:val="Contents6"/>
            <w:tabs>
              <w:tab w:val="clear" w:pos="7609"/>
              <w:tab w:val="right" w:pos="9026" w:leader="dot"/>
            </w:tabs>
            <w:rPr/>
          </w:pPr>
          <w:hyperlink w:anchor="__RefHeading___Toc2793046_1051229030">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2793048_1051229030">
            <w:r>
              <w:rPr>
                <w:webHidden/>
                <w:rStyle w:val="IndexLink"/>
                <w:rtl w:val="true"/>
              </w:rPr>
              <w:t>القاعدة الأولى</w:t>
            </w:r>
            <w:r>
              <w:rPr>
                <w:rStyle w:val="IndexLink"/>
                <w:rtl w:val="true"/>
              </w:rPr>
              <w:t xml:space="preserve">: </w:t>
            </w:r>
            <w:r>
              <w:rPr>
                <w:rStyle w:val="IndexLink"/>
                <w:rtl w:val="true"/>
              </w:rPr>
              <w:t>التضعيف والتوثيق للرواة أمر اجتهادي</w:t>
            </w:r>
            <w:r>
              <w:rPr>
                <w:rStyle w:val="IndexLink"/>
                <w:rtl w:val="true"/>
              </w:rPr>
              <w:tab/>
            </w:r>
            <w:r>
              <w:rPr>
                <w:rStyle w:val="IndexLink"/>
              </w:rPr>
              <w:t>275</w:t>
            </w:r>
          </w:hyperlink>
        </w:p>
        <w:p>
          <w:pPr>
            <w:pStyle w:val="Contents6"/>
            <w:tabs>
              <w:tab w:val="clear" w:pos="7609"/>
              <w:tab w:val="right" w:pos="9026" w:leader="dot"/>
            </w:tabs>
            <w:rPr/>
          </w:pPr>
          <w:hyperlink w:anchor="__RefHeading___Toc2793050_1051229030">
            <w:r>
              <w:rPr>
                <w:webHidden/>
                <w:rStyle w:val="IndexLink"/>
                <w:rtl w:val="true"/>
              </w:rPr>
              <w:t>القاعدة الثانية</w:t>
            </w:r>
            <w:r>
              <w:rPr>
                <w:rStyle w:val="IndexLink"/>
                <w:rtl w:val="true"/>
              </w:rPr>
              <w:t xml:space="preserve">: </w:t>
            </w:r>
            <w:r>
              <w:rPr>
                <w:rStyle w:val="IndexLink"/>
                <w:rtl w:val="true"/>
              </w:rPr>
              <w:t>الجرح لا يُقبل إلا مفسَّراً</w:t>
            </w:r>
            <w:r>
              <w:rPr>
                <w:rStyle w:val="IndexLink"/>
                <w:rtl w:val="true"/>
              </w:rPr>
              <w:tab/>
            </w:r>
            <w:r>
              <w:rPr>
                <w:rStyle w:val="IndexLink"/>
              </w:rPr>
              <w:t>276</w:t>
            </w:r>
          </w:hyperlink>
        </w:p>
        <w:p>
          <w:pPr>
            <w:pStyle w:val="Contents6"/>
            <w:tabs>
              <w:tab w:val="clear" w:pos="7609"/>
              <w:tab w:val="right" w:pos="9026" w:leader="dot"/>
            </w:tabs>
            <w:rPr/>
          </w:pPr>
          <w:hyperlink w:anchor="__RefHeading___Toc2793052_1051229030">
            <w:r>
              <w:rPr>
                <w:webHidden/>
                <w:rStyle w:val="IndexLink"/>
                <w:rtl w:val="true"/>
              </w:rPr>
              <w:t>مناقشة الذهبي</w:t>
            </w:r>
            <w:r>
              <w:rPr>
                <w:rStyle w:val="IndexLink"/>
                <w:rtl w:val="true"/>
              </w:rPr>
              <w:t>:</w:t>
              <w:tab/>
            </w:r>
            <w:r>
              <w:rPr>
                <w:rStyle w:val="IndexLink"/>
              </w:rPr>
              <w:t>278</w:t>
            </w:r>
          </w:hyperlink>
        </w:p>
        <w:p>
          <w:pPr>
            <w:pStyle w:val="Contents6"/>
            <w:tabs>
              <w:tab w:val="clear" w:pos="7609"/>
              <w:tab w:val="right" w:pos="9026" w:leader="dot"/>
            </w:tabs>
            <w:rPr/>
          </w:pPr>
          <w:hyperlink w:anchor="__RefHeading___Toc2793054_1051229030">
            <w:r>
              <w:rPr>
                <w:webHidden/>
                <w:rStyle w:val="IndexLink"/>
                <w:rtl w:val="true"/>
              </w:rPr>
              <w:t>القاعدة الثالثة</w:t>
            </w:r>
            <w:r>
              <w:rPr>
                <w:rStyle w:val="IndexLink"/>
                <w:rtl w:val="true"/>
              </w:rPr>
              <w:t xml:space="preserve">: </w:t>
            </w:r>
            <w:r>
              <w:rPr>
                <w:rStyle w:val="IndexLink"/>
                <w:rtl w:val="true"/>
              </w:rPr>
              <w:t>العبرة في الرواية بصدق الراوي وصيانة كلامه عن الكذب</w:t>
            </w:r>
            <w:r>
              <w:rPr>
                <w:rStyle w:val="IndexLink"/>
                <w:rtl w:val="true"/>
              </w:rPr>
              <w:tab/>
            </w:r>
            <w:r>
              <w:rPr>
                <w:rStyle w:val="IndexLink"/>
              </w:rPr>
              <w:t>279</w:t>
            </w:r>
          </w:hyperlink>
        </w:p>
        <w:p>
          <w:pPr>
            <w:pStyle w:val="Contents6"/>
            <w:tabs>
              <w:tab w:val="clear" w:pos="7609"/>
              <w:tab w:val="right" w:pos="9026" w:leader="dot"/>
            </w:tabs>
            <w:rPr/>
          </w:pPr>
          <w:hyperlink w:anchor="__RefHeading___Toc2793056_1051229030">
            <w:r>
              <w:rPr>
                <w:webHidden/>
                <w:rStyle w:val="IndexLink"/>
                <w:rtl w:val="true"/>
              </w:rPr>
              <w:t>القاعدة الرابعة</w:t>
            </w:r>
            <w:r>
              <w:rPr>
                <w:rStyle w:val="IndexLink"/>
                <w:rtl w:val="true"/>
              </w:rPr>
              <w:t xml:space="preserve">: </w:t>
            </w:r>
            <w:r>
              <w:rPr>
                <w:rStyle w:val="IndexLink"/>
                <w:rtl w:val="true"/>
              </w:rPr>
              <w:t>التوقف في قول الجارح إذا كان بسبب العقيدة</w:t>
            </w:r>
            <w:r>
              <w:rPr>
                <w:rStyle w:val="IndexLink"/>
                <w:rtl w:val="true"/>
              </w:rPr>
              <w:tab/>
            </w:r>
            <w:r>
              <w:rPr>
                <w:rStyle w:val="IndexLink"/>
              </w:rPr>
              <w:t>281</w:t>
            </w:r>
          </w:hyperlink>
        </w:p>
        <w:p>
          <w:pPr>
            <w:pStyle w:val="Contents6"/>
            <w:tabs>
              <w:tab w:val="clear" w:pos="7609"/>
              <w:tab w:val="right" w:pos="9026" w:leader="dot"/>
            </w:tabs>
            <w:rPr/>
          </w:pPr>
          <w:hyperlink w:anchor="__RefHeading___Toc2793058_1051229030">
            <w:r>
              <w:rPr>
                <w:webHidden/>
                <w:rStyle w:val="IndexLink"/>
                <w:rtl w:val="true"/>
              </w:rPr>
              <w:t>القاعدة الخامسة</w:t>
            </w:r>
            <w:r>
              <w:rPr>
                <w:rStyle w:val="IndexLink"/>
                <w:rtl w:val="true"/>
              </w:rPr>
              <w:t xml:space="preserve">: </w:t>
            </w:r>
            <w:r>
              <w:rPr>
                <w:rStyle w:val="IndexLink"/>
                <w:rtl w:val="true"/>
              </w:rPr>
              <w:t>التشدّد والتعنّت في الجرح يُسقط قول الجارح في الرواة</w:t>
            </w:r>
            <w:r>
              <w:rPr>
                <w:rStyle w:val="IndexLink"/>
                <w:rtl w:val="true"/>
              </w:rPr>
              <w:tab/>
            </w:r>
            <w:r>
              <w:rPr>
                <w:rStyle w:val="IndexLink"/>
              </w:rPr>
              <w:t>282</w:t>
            </w:r>
          </w:hyperlink>
        </w:p>
        <w:p>
          <w:pPr>
            <w:pStyle w:val="Contents6"/>
            <w:tabs>
              <w:tab w:val="clear" w:pos="7609"/>
              <w:tab w:val="right" w:pos="9026" w:leader="dot"/>
            </w:tabs>
            <w:rPr/>
          </w:pPr>
          <w:hyperlink w:anchor="__RefHeading___Toc2793060_1051229030">
            <w:r>
              <w:rPr>
                <w:webHidden/>
                <w:rStyle w:val="IndexLink"/>
                <w:rtl w:val="true"/>
              </w:rPr>
              <w:t>القاعدة السادسة</w:t>
            </w:r>
            <w:r>
              <w:rPr>
                <w:rStyle w:val="IndexLink"/>
                <w:rtl w:val="true"/>
              </w:rPr>
              <w:t xml:space="preserve">: </w:t>
            </w:r>
            <w:r>
              <w:rPr>
                <w:rStyle w:val="IndexLink"/>
                <w:rtl w:val="true"/>
              </w:rPr>
              <w:t>إذا اختلف في التوثيق والتضعيف ولم يكن الجرح مفسَّراً فيُقدم التعديل</w:t>
            </w:r>
            <w:r>
              <w:rPr>
                <w:rStyle w:val="IndexLink"/>
                <w:rtl w:val="true"/>
              </w:rPr>
              <w:tab/>
            </w:r>
            <w:r>
              <w:rPr>
                <w:rStyle w:val="IndexLink"/>
              </w:rPr>
              <w:t>284</w:t>
            </w:r>
          </w:hyperlink>
        </w:p>
        <w:p>
          <w:pPr>
            <w:pStyle w:val="Contents6"/>
            <w:tabs>
              <w:tab w:val="clear" w:pos="7609"/>
              <w:tab w:val="right" w:pos="9026" w:leader="dot"/>
            </w:tabs>
            <w:rPr/>
          </w:pPr>
          <w:hyperlink w:anchor="__RefHeading___Toc2793062_1051229030">
            <w:r>
              <w:rPr>
                <w:webHidden/>
                <w:rStyle w:val="IndexLink"/>
                <w:rtl w:val="true"/>
              </w:rPr>
              <w:t>النتيجة</w:t>
            </w:r>
            <w:r>
              <w:rPr>
                <w:rStyle w:val="IndexLink"/>
                <w:rtl w:val="true"/>
              </w:rPr>
              <w:t>:</w:t>
              <w:tab/>
            </w:r>
            <w:r>
              <w:rPr>
                <w:rStyle w:val="IndexLink"/>
              </w:rPr>
              <w:t>285</w:t>
            </w:r>
          </w:hyperlink>
        </w:p>
        <w:p>
          <w:pPr>
            <w:pStyle w:val="Contents6"/>
            <w:tabs>
              <w:tab w:val="clear" w:pos="7609"/>
              <w:tab w:val="right" w:pos="9026" w:leader="dot"/>
            </w:tabs>
            <w:rPr/>
          </w:pPr>
          <w:hyperlink w:anchor="__RefHeading___Toc2793064_1051229030">
            <w:r>
              <w:rPr>
                <w:webHidden/>
                <w:rStyle w:val="IndexLink"/>
                <w:rtl w:val="true"/>
              </w:rPr>
              <w:t>الجواب</w:t>
            </w:r>
            <w:r>
              <w:rPr>
                <w:rStyle w:val="IndexLink"/>
                <w:rtl w:val="true"/>
              </w:rPr>
              <w:t xml:space="preserve">: </w:t>
            </w:r>
            <w:r>
              <w:rPr>
                <w:rStyle w:val="IndexLink"/>
                <w:rtl w:val="true"/>
              </w:rPr>
              <w:t>القول بالتدليس دعوى بلا دليل</w:t>
            </w:r>
            <w:r>
              <w:rPr>
                <w:rStyle w:val="IndexLink"/>
                <w:rtl w:val="true"/>
              </w:rPr>
              <w:tab/>
            </w:r>
            <w:r>
              <w:rPr>
                <w:rStyle w:val="IndexLink"/>
              </w:rPr>
              <w:t>285</w:t>
            </w:r>
          </w:hyperlink>
        </w:p>
        <w:p>
          <w:pPr>
            <w:pStyle w:val="Contents5"/>
            <w:tabs>
              <w:tab w:val="clear" w:pos="7892"/>
              <w:tab w:val="right" w:pos="9026" w:leader="dot"/>
            </w:tabs>
            <w:rPr/>
          </w:pPr>
          <w:hyperlink w:anchor="__RefHeading___Toc2793066_1051229030">
            <w:r>
              <w:rPr>
                <w:webHidden/>
                <w:rStyle w:val="IndexLink"/>
                <w:rtl w:val="true"/>
              </w:rPr>
              <w:t>المبحث الثالث</w:t>
            </w:r>
            <w:r>
              <w:rPr>
                <w:rStyle w:val="IndexLink"/>
                <w:rtl w:val="true"/>
              </w:rPr>
              <w:t xml:space="preserve">: </w:t>
            </w:r>
            <w:r>
              <w:rPr>
                <w:rStyle w:val="IndexLink"/>
                <w:rtl w:val="true"/>
              </w:rPr>
              <w:t>طرق الحديث ومتابعاته وشواهده</w:t>
            </w:r>
            <w:r>
              <w:rPr>
                <w:rStyle w:val="IndexLink"/>
                <w:rtl w:val="true"/>
              </w:rPr>
              <w:tab/>
            </w:r>
            <w:r>
              <w:rPr>
                <w:rStyle w:val="IndexLink"/>
              </w:rPr>
              <w:t>290</w:t>
            </w:r>
          </w:hyperlink>
        </w:p>
        <w:p>
          <w:pPr>
            <w:pStyle w:val="Contents6"/>
            <w:tabs>
              <w:tab w:val="clear" w:pos="7609"/>
              <w:tab w:val="right" w:pos="9026" w:leader="dot"/>
            </w:tabs>
            <w:rPr/>
          </w:pPr>
          <w:hyperlink w:anchor="__RefHeading___Toc2793068_1051229030">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2793070_1051229030">
            <w:r>
              <w:rPr>
                <w:webHidden/>
                <w:rStyle w:val="IndexLink"/>
              </w:rPr>
              <w:t>1</w:t>
            </w:r>
            <w:r>
              <w:rPr>
                <w:rStyle w:val="IndexLink"/>
                <w:rtl w:val="true"/>
              </w:rPr>
              <w:t xml:space="preserve">- </w:t>
            </w:r>
            <w:r>
              <w:rPr>
                <w:rStyle w:val="IndexLink"/>
                <w:rtl w:val="true"/>
              </w:rPr>
              <w:t>عن علي عَلیه السَلام بطرق مختلفة</w:t>
            </w:r>
            <w:r>
              <w:rPr>
                <w:rStyle w:val="IndexLink"/>
                <w:rtl w:val="true"/>
              </w:rPr>
              <w:tab/>
            </w:r>
            <w:r>
              <w:rPr>
                <w:rStyle w:val="IndexLink"/>
              </w:rPr>
              <w:t>290</w:t>
            </w:r>
          </w:hyperlink>
        </w:p>
        <w:p>
          <w:pPr>
            <w:pStyle w:val="Contents6"/>
            <w:tabs>
              <w:tab w:val="clear" w:pos="7609"/>
              <w:tab w:val="right" w:pos="9026" w:leader="dot"/>
            </w:tabs>
            <w:rPr/>
          </w:pPr>
          <w:hyperlink w:anchor="__RefHeading___Toc2793072_1051229030">
            <w:r>
              <w:rPr>
                <w:webHidden/>
                <w:rStyle w:val="IndexLink"/>
              </w:rPr>
              <w:t>2</w:t>
            </w:r>
            <w:r>
              <w:rPr>
                <w:rStyle w:val="IndexLink"/>
                <w:rtl w:val="true"/>
              </w:rPr>
              <w:t xml:space="preserve">- </w:t>
            </w:r>
            <w:r>
              <w:rPr>
                <w:rStyle w:val="IndexLink"/>
                <w:rtl w:val="true"/>
              </w:rPr>
              <w:t>عن ابن عباس</w:t>
            </w:r>
            <w:r>
              <w:rPr>
                <w:rStyle w:val="IndexLink"/>
                <w:rtl w:val="true"/>
              </w:rPr>
              <w:tab/>
            </w:r>
            <w:r>
              <w:rPr>
                <w:rStyle w:val="IndexLink"/>
              </w:rPr>
              <w:t>291</w:t>
            </w:r>
          </w:hyperlink>
        </w:p>
        <w:p>
          <w:pPr>
            <w:pStyle w:val="Contents6"/>
            <w:tabs>
              <w:tab w:val="clear" w:pos="7609"/>
              <w:tab w:val="right" w:pos="9026" w:leader="dot"/>
            </w:tabs>
            <w:rPr/>
          </w:pPr>
          <w:hyperlink w:anchor="__RefHeading___Toc2793074_1051229030">
            <w:r>
              <w:rPr>
                <w:webHidden/>
                <w:rStyle w:val="IndexLink"/>
              </w:rPr>
              <w:t>3</w:t>
            </w:r>
            <w:r>
              <w:rPr>
                <w:rStyle w:val="IndexLink"/>
                <w:rtl w:val="true"/>
              </w:rPr>
              <w:t xml:space="preserve">- </w:t>
            </w:r>
            <w:r>
              <w:rPr>
                <w:rStyle w:val="IndexLink"/>
                <w:rtl w:val="true"/>
              </w:rPr>
              <w:t>عن سعيد بن جبير</w:t>
            </w:r>
            <w:r>
              <w:rPr>
                <w:rStyle w:val="IndexLink"/>
                <w:rtl w:val="true"/>
              </w:rPr>
              <w:tab/>
            </w:r>
            <w:r>
              <w:rPr>
                <w:rStyle w:val="IndexLink"/>
              </w:rPr>
              <w:t>291</w:t>
            </w:r>
          </w:hyperlink>
        </w:p>
        <w:p>
          <w:pPr>
            <w:pStyle w:val="Contents6"/>
            <w:tabs>
              <w:tab w:val="clear" w:pos="7609"/>
              <w:tab w:val="right" w:pos="9026" w:leader="dot"/>
            </w:tabs>
            <w:rPr/>
          </w:pPr>
          <w:hyperlink w:anchor="__RefHeading___Toc2793076_1051229030">
            <w:r>
              <w:rPr>
                <w:webHidden/>
                <w:rStyle w:val="IndexLink"/>
              </w:rPr>
              <w:t>4</w:t>
            </w:r>
            <w:r>
              <w:rPr>
                <w:rStyle w:val="IndexLink"/>
                <w:rtl w:val="true"/>
              </w:rPr>
              <w:t xml:space="preserve">- </w:t>
            </w:r>
            <w:r>
              <w:rPr>
                <w:rStyle w:val="IndexLink"/>
                <w:rtl w:val="true"/>
              </w:rPr>
              <w:t>جابر بن عبد الله</w:t>
            </w:r>
            <w:r>
              <w:rPr>
                <w:rStyle w:val="IndexLink"/>
                <w:rtl w:val="true"/>
              </w:rPr>
              <w:tab/>
            </w:r>
            <w:r>
              <w:rPr>
                <w:rStyle w:val="IndexLink"/>
              </w:rPr>
              <w:t>292</w:t>
            </w:r>
          </w:hyperlink>
        </w:p>
        <w:p>
          <w:pPr>
            <w:pStyle w:val="Contents6"/>
            <w:tabs>
              <w:tab w:val="clear" w:pos="7609"/>
              <w:tab w:val="right" w:pos="9026" w:leader="dot"/>
            </w:tabs>
            <w:rPr/>
          </w:pPr>
          <w:hyperlink w:anchor="__RefHeading___Toc2793078_1051229030">
            <w:r>
              <w:rPr>
                <w:webHidden/>
                <w:rStyle w:val="IndexLink"/>
                <w:rtl w:val="true"/>
              </w:rPr>
              <w:t>المتابعات والشواهد</w:t>
            </w:r>
            <w:r>
              <w:rPr>
                <w:rStyle w:val="IndexLink"/>
                <w:rtl w:val="true"/>
              </w:rPr>
              <w:t>:</w:t>
              <w:tab/>
            </w:r>
            <w:r>
              <w:rPr>
                <w:rStyle w:val="IndexLink"/>
              </w:rPr>
              <w:t>292</w:t>
            </w:r>
          </w:hyperlink>
        </w:p>
        <w:p>
          <w:pPr>
            <w:pStyle w:val="Contents5"/>
            <w:tabs>
              <w:tab w:val="clear" w:pos="7892"/>
              <w:tab w:val="right" w:pos="9026" w:leader="dot"/>
            </w:tabs>
            <w:rPr/>
          </w:pPr>
          <w:hyperlink w:anchor="__RefHeading___Toc2793080_1051229030">
            <w:r>
              <w:rPr>
                <w:webHidden/>
                <w:rStyle w:val="IndexLink"/>
                <w:rtl w:val="true"/>
              </w:rPr>
              <w:t>المبحث الرابع</w:t>
            </w:r>
            <w:r>
              <w:rPr>
                <w:rStyle w:val="IndexLink"/>
                <w:rtl w:val="true"/>
              </w:rPr>
              <w:t xml:space="preserve">: </w:t>
            </w:r>
            <w:r>
              <w:rPr>
                <w:rStyle w:val="IndexLink"/>
                <w:rtl w:val="true"/>
              </w:rPr>
              <w:t>تصحيح علماء السنّة للحديث وتوثيقهم من خلال كتب التراجم</w:t>
            </w:r>
            <w:r>
              <w:rPr>
                <w:rStyle w:val="IndexLink"/>
                <w:rtl w:val="true"/>
              </w:rPr>
              <w:tab/>
            </w:r>
            <w:r>
              <w:rPr>
                <w:rStyle w:val="IndexLink"/>
              </w:rPr>
              <w:t>293</w:t>
            </w:r>
          </w:hyperlink>
        </w:p>
        <w:p>
          <w:pPr>
            <w:pStyle w:val="Contents6"/>
            <w:tabs>
              <w:tab w:val="clear" w:pos="7609"/>
              <w:tab w:val="right" w:pos="9026" w:leader="dot"/>
            </w:tabs>
            <w:rPr/>
          </w:pPr>
          <w:hyperlink w:anchor="__RefHeading___Toc2793082_105122903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2793084_1051229030">
            <w:r>
              <w:rPr>
                <w:webHidden/>
                <w:rStyle w:val="IndexLink"/>
              </w:rPr>
              <w:t>1</w:t>
            </w:r>
            <w:r>
              <w:rPr>
                <w:rStyle w:val="IndexLink"/>
                <w:rtl w:val="true"/>
              </w:rPr>
              <w:t xml:space="preserve">- </w:t>
            </w:r>
            <w:r>
              <w:rPr>
                <w:rStyle w:val="IndexLink"/>
                <w:rtl w:val="true"/>
              </w:rPr>
              <w:t>يحيى بن معين</w:t>
            </w:r>
            <w:r>
              <w:rPr>
                <w:rStyle w:val="IndexLink"/>
                <w:rtl w:val="true"/>
              </w:rPr>
              <w:tab/>
            </w:r>
            <w:r>
              <w:rPr>
                <w:rStyle w:val="IndexLink"/>
              </w:rPr>
              <w:t>293</w:t>
            </w:r>
          </w:hyperlink>
        </w:p>
        <w:p>
          <w:pPr>
            <w:pStyle w:val="Contents6"/>
            <w:tabs>
              <w:tab w:val="clear" w:pos="7609"/>
              <w:tab w:val="right" w:pos="9026" w:leader="dot"/>
            </w:tabs>
            <w:rPr/>
          </w:pPr>
          <w:hyperlink w:anchor="__RefHeading___Toc2793086_1051229030">
            <w:r>
              <w:rPr>
                <w:webHidden/>
                <w:rStyle w:val="IndexLink"/>
                <w:rtl w:val="true"/>
              </w:rPr>
              <w:t>ترجمة يحيى بن معين</w:t>
            </w:r>
            <w:r>
              <w:rPr>
                <w:rStyle w:val="IndexLink"/>
                <w:rtl w:val="true"/>
              </w:rPr>
              <w:t>:</w:t>
              <w:tab/>
            </w:r>
            <w:r>
              <w:rPr>
                <w:rStyle w:val="IndexLink"/>
              </w:rPr>
              <w:t>293</w:t>
            </w:r>
          </w:hyperlink>
        </w:p>
        <w:p>
          <w:pPr>
            <w:pStyle w:val="Contents6"/>
            <w:tabs>
              <w:tab w:val="clear" w:pos="7609"/>
              <w:tab w:val="right" w:pos="9026" w:leader="dot"/>
            </w:tabs>
            <w:rPr/>
          </w:pPr>
          <w:hyperlink w:anchor="__RefHeading___Toc2793088_1051229030">
            <w:r>
              <w:rPr>
                <w:webHidden/>
                <w:rStyle w:val="IndexLink"/>
              </w:rPr>
              <w:t>2</w:t>
            </w:r>
            <w:r>
              <w:rPr>
                <w:rStyle w:val="IndexLink"/>
                <w:rtl w:val="true"/>
              </w:rPr>
              <w:t xml:space="preserve">- </w:t>
            </w:r>
            <w:r>
              <w:rPr>
                <w:rStyle w:val="IndexLink"/>
                <w:rtl w:val="true"/>
              </w:rPr>
              <w:t>الحاكم النيسابوري</w:t>
            </w:r>
            <w:r>
              <w:rPr>
                <w:rStyle w:val="IndexLink"/>
                <w:rtl w:val="true"/>
              </w:rPr>
              <w:tab/>
            </w:r>
            <w:r>
              <w:rPr>
                <w:rStyle w:val="IndexLink"/>
              </w:rPr>
              <w:t>295</w:t>
            </w:r>
          </w:hyperlink>
        </w:p>
        <w:p>
          <w:pPr>
            <w:pStyle w:val="Contents6"/>
            <w:tabs>
              <w:tab w:val="clear" w:pos="7609"/>
              <w:tab w:val="right" w:pos="9026" w:leader="dot"/>
            </w:tabs>
            <w:rPr/>
          </w:pPr>
          <w:hyperlink w:anchor="__RefHeading___Toc2793090_1051229030">
            <w:r>
              <w:rPr>
                <w:webHidden/>
                <w:rStyle w:val="IndexLink"/>
                <w:rtl w:val="true"/>
              </w:rPr>
              <w:t>ترجمة الحاكم النيسابوري</w:t>
            </w:r>
            <w:r>
              <w:rPr>
                <w:rStyle w:val="IndexLink"/>
                <w:rtl w:val="true"/>
              </w:rPr>
              <w:tab/>
            </w:r>
            <w:r>
              <w:rPr>
                <w:rStyle w:val="IndexLink"/>
              </w:rPr>
              <w:t>296</w:t>
            </w:r>
          </w:hyperlink>
        </w:p>
        <w:p>
          <w:pPr>
            <w:pStyle w:val="Contents6"/>
            <w:tabs>
              <w:tab w:val="clear" w:pos="7609"/>
              <w:tab w:val="right" w:pos="9026" w:leader="dot"/>
            </w:tabs>
            <w:rPr/>
          </w:pPr>
          <w:hyperlink w:anchor="__RefHeading___Toc2793092_1051229030">
            <w:r>
              <w:rPr>
                <w:webHidden/>
                <w:rStyle w:val="IndexLink"/>
              </w:rPr>
              <w:t>3</w:t>
            </w:r>
            <w:r>
              <w:rPr>
                <w:rStyle w:val="IndexLink"/>
                <w:rtl w:val="true"/>
              </w:rPr>
              <w:t xml:space="preserve">- </w:t>
            </w:r>
            <w:r>
              <w:rPr>
                <w:rStyle w:val="IndexLink"/>
                <w:rtl w:val="true"/>
              </w:rPr>
              <w:t>محمد بن جرير الطبري</w:t>
            </w:r>
            <w:r>
              <w:rPr>
                <w:rStyle w:val="IndexLink"/>
                <w:rtl w:val="true"/>
              </w:rPr>
              <w:tab/>
            </w:r>
            <w:r>
              <w:rPr>
                <w:rStyle w:val="IndexLink"/>
              </w:rPr>
              <w:t>297</w:t>
            </w:r>
          </w:hyperlink>
        </w:p>
        <w:p>
          <w:pPr>
            <w:pStyle w:val="Contents6"/>
            <w:tabs>
              <w:tab w:val="clear" w:pos="7609"/>
              <w:tab w:val="right" w:pos="9026" w:leader="dot"/>
            </w:tabs>
            <w:rPr/>
          </w:pPr>
          <w:hyperlink w:anchor="__RefHeading___Toc2793094_1051229030">
            <w:r>
              <w:rPr>
                <w:webHidden/>
                <w:rStyle w:val="IndexLink"/>
                <w:rtl w:val="true"/>
              </w:rPr>
              <w:t>ترجمة ابن جرير الطبري</w:t>
            </w:r>
            <w:r>
              <w:rPr>
                <w:rStyle w:val="IndexLink"/>
                <w:rtl w:val="true"/>
              </w:rPr>
              <w:t>:</w:t>
              <w:tab/>
            </w:r>
            <w:r>
              <w:rPr>
                <w:rStyle w:val="IndexLink"/>
              </w:rPr>
              <w:t>298</w:t>
            </w:r>
          </w:hyperlink>
        </w:p>
        <w:p>
          <w:pPr>
            <w:pStyle w:val="Contents6"/>
            <w:tabs>
              <w:tab w:val="clear" w:pos="7609"/>
              <w:tab w:val="right" w:pos="9026" w:leader="dot"/>
            </w:tabs>
            <w:rPr/>
          </w:pPr>
          <w:hyperlink w:anchor="__RefHeading___Toc2793096_1051229030">
            <w:r>
              <w:rPr>
                <w:webHidden/>
                <w:rStyle w:val="IndexLink"/>
              </w:rPr>
              <w:t>4</w:t>
            </w:r>
            <w:r>
              <w:rPr>
                <w:rStyle w:val="IndexLink"/>
                <w:rtl w:val="true"/>
              </w:rPr>
              <w:t xml:space="preserve">- </w:t>
            </w:r>
            <w:r>
              <w:rPr>
                <w:rStyle w:val="IndexLink"/>
                <w:rtl w:val="true"/>
              </w:rPr>
              <w:t>الحافظ أبو سعيد العلائي الشافعي</w:t>
            </w:r>
            <w:r>
              <w:rPr>
                <w:rStyle w:val="IndexLink"/>
                <w:rtl w:val="true"/>
              </w:rPr>
              <w:tab/>
            </w:r>
            <w:r>
              <w:rPr>
                <w:rStyle w:val="IndexLink"/>
              </w:rPr>
              <w:t>298</w:t>
            </w:r>
          </w:hyperlink>
        </w:p>
        <w:p>
          <w:pPr>
            <w:pStyle w:val="Contents6"/>
            <w:tabs>
              <w:tab w:val="clear" w:pos="7609"/>
              <w:tab w:val="right" w:pos="9026" w:leader="dot"/>
            </w:tabs>
            <w:rPr/>
          </w:pPr>
          <w:hyperlink w:anchor="__RefHeading___Toc2793098_1051229030">
            <w:r>
              <w:rPr>
                <w:webHidden/>
                <w:rStyle w:val="IndexLink"/>
                <w:rtl w:val="true"/>
              </w:rPr>
              <w:t>ترجمة العلائي الشافعي</w:t>
            </w:r>
            <w:r>
              <w:rPr>
                <w:rStyle w:val="IndexLink"/>
                <w:rtl w:val="true"/>
              </w:rPr>
              <w:t>:</w:t>
              <w:tab/>
            </w:r>
            <w:r>
              <w:rPr>
                <w:rStyle w:val="IndexLink"/>
              </w:rPr>
              <w:t>299</w:t>
            </w:r>
          </w:hyperlink>
        </w:p>
        <w:p>
          <w:pPr>
            <w:pStyle w:val="Contents6"/>
            <w:tabs>
              <w:tab w:val="clear" w:pos="7609"/>
              <w:tab w:val="right" w:pos="9026" w:leader="dot"/>
            </w:tabs>
            <w:rPr/>
          </w:pPr>
          <w:hyperlink w:anchor="__RefHeading___Toc2793100_1051229030">
            <w:r>
              <w:rPr>
                <w:webHidden/>
                <w:rStyle w:val="IndexLink"/>
              </w:rPr>
              <w:t>5</w:t>
            </w:r>
            <w:r>
              <w:rPr>
                <w:rStyle w:val="IndexLink"/>
                <w:rtl w:val="true"/>
              </w:rPr>
              <w:t xml:space="preserve">- </w:t>
            </w:r>
            <w:r>
              <w:rPr>
                <w:rStyle w:val="IndexLink"/>
                <w:rtl w:val="true"/>
              </w:rPr>
              <w:t>جلال الدين السيوطي</w:t>
            </w:r>
            <w:r>
              <w:rPr>
                <w:rStyle w:val="IndexLink"/>
                <w:rtl w:val="true"/>
              </w:rPr>
              <w:tab/>
            </w:r>
            <w:r>
              <w:rPr>
                <w:rStyle w:val="IndexLink"/>
              </w:rPr>
              <w:t>299</w:t>
            </w:r>
          </w:hyperlink>
        </w:p>
        <w:p>
          <w:pPr>
            <w:pStyle w:val="Contents6"/>
            <w:tabs>
              <w:tab w:val="clear" w:pos="7609"/>
              <w:tab w:val="right" w:pos="9026" w:leader="dot"/>
            </w:tabs>
            <w:rPr/>
          </w:pPr>
          <w:hyperlink w:anchor="__RefHeading___Toc2793102_1051229030">
            <w:r>
              <w:rPr>
                <w:webHidden/>
                <w:rStyle w:val="IndexLink"/>
              </w:rPr>
              <w:t>6</w:t>
            </w:r>
            <w:r>
              <w:rPr>
                <w:rStyle w:val="IndexLink"/>
                <w:rtl w:val="true"/>
              </w:rPr>
              <w:t xml:space="preserve">- </w:t>
            </w:r>
            <w:r>
              <w:rPr>
                <w:rStyle w:val="IndexLink"/>
                <w:rtl w:val="true"/>
              </w:rPr>
              <w:t>أبو الفيض الغماري</w:t>
            </w:r>
            <w:r>
              <w:rPr>
                <w:rStyle w:val="IndexLink"/>
                <w:rtl w:val="true"/>
              </w:rPr>
              <w:tab/>
            </w:r>
            <w:r>
              <w:rPr>
                <w:rStyle w:val="IndexLink"/>
              </w:rPr>
              <w:t>300</w:t>
            </w:r>
          </w:hyperlink>
        </w:p>
        <w:p>
          <w:pPr>
            <w:pStyle w:val="Contents6"/>
            <w:tabs>
              <w:tab w:val="clear" w:pos="7609"/>
              <w:tab w:val="right" w:pos="9026" w:leader="dot"/>
            </w:tabs>
            <w:rPr/>
          </w:pPr>
          <w:hyperlink w:anchor="__RefHeading___Toc2793104_1051229030">
            <w:r>
              <w:rPr>
                <w:webHidden/>
                <w:rStyle w:val="IndexLink"/>
                <w:rtl w:val="true"/>
              </w:rPr>
              <w:t>نتيجة البحث</w:t>
            </w:r>
            <w:r>
              <w:rPr>
                <w:rStyle w:val="IndexLink"/>
                <w:rtl w:val="true"/>
              </w:rPr>
              <w:t>:</w:t>
              <w:tab/>
            </w:r>
            <w:r>
              <w:rPr>
                <w:rStyle w:val="IndexLink"/>
              </w:rPr>
              <w:t>300</w:t>
            </w:r>
          </w:hyperlink>
        </w:p>
        <w:p>
          <w:pPr>
            <w:pStyle w:val="Contents3"/>
            <w:tabs>
              <w:tab w:val="clear" w:pos="8459"/>
              <w:tab w:val="right" w:pos="9026" w:leader="dot"/>
            </w:tabs>
            <w:rPr/>
          </w:pPr>
          <w:hyperlink w:anchor="__RefHeading___Toc2793106_1051229030">
            <w:r>
              <w:rPr>
                <w:webHidden/>
                <w:rStyle w:val="IndexLink"/>
                <w:rtl w:val="true"/>
              </w:rPr>
              <w:t>تَجَلیبَاتُ الحَاکِمیَّة وَ العُدلُ الالهيّ في قِصةِ العَبدِ الصَّالح</w:t>
            </w:r>
            <w:r>
              <w:rPr>
                <w:rStyle w:val="IndexLink"/>
                <w:rtl w:val="true"/>
              </w:rPr>
              <w:tab/>
            </w:r>
            <w:r>
              <w:rPr>
                <w:rStyle w:val="IndexLink"/>
              </w:rPr>
              <w:t>301</w:t>
            </w:r>
          </w:hyperlink>
        </w:p>
        <w:p>
          <w:pPr>
            <w:pStyle w:val="Contents4"/>
            <w:tabs>
              <w:tab w:val="clear" w:pos="8176"/>
              <w:tab w:val="right" w:pos="9026" w:leader="dot"/>
            </w:tabs>
            <w:rPr/>
          </w:pPr>
          <w:hyperlink w:anchor="__RefHeading___Toc2793108_1051229030">
            <w:r>
              <w:rPr>
                <w:webHidden/>
                <w:rStyle w:val="IndexLink"/>
                <w:rtl w:val="true"/>
              </w:rPr>
              <w:t>(</w:t>
            </w:r>
            <w:r>
              <w:rPr>
                <w:rStyle w:val="IndexLink"/>
                <w:rtl w:val="true"/>
              </w:rPr>
              <w:t>بَحثٌ قُرآنيٌ في سٌورَةِ الکَهفِ</w:t>
            </w:r>
            <w:r>
              <w:rPr>
                <w:rStyle w:val="IndexLink"/>
                <w:rtl w:val="true"/>
              </w:rPr>
              <w:t>)</w:t>
            </w:r>
            <w:r>
              <w:rPr>
                <w:rStyle w:val="IndexLink"/>
                <w:rtl w:val="true"/>
              </w:rPr>
              <w:t>سعد عطية حسوني</w:t>
            </w:r>
            <w:r>
              <w:rPr>
                <w:rStyle w:val="IndexLink"/>
                <w:rtl w:val="true"/>
              </w:rPr>
              <w:tab/>
            </w:r>
            <w:r>
              <w:rPr>
                <w:rStyle w:val="IndexLink"/>
              </w:rPr>
              <w:t>301</w:t>
            </w:r>
          </w:hyperlink>
        </w:p>
        <w:p>
          <w:pPr>
            <w:pStyle w:val="Contents5"/>
            <w:tabs>
              <w:tab w:val="clear" w:pos="7892"/>
              <w:tab w:val="right" w:pos="9026" w:leader="dot"/>
            </w:tabs>
            <w:rPr/>
          </w:pPr>
          <w:hyperlink w:anchor="__RefHeading___Toc2793110_105122903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2793112_1051229030">
            <w:r>
              <w:rPr>
                <w:webHidden/>
                <w:rStyle w:val="IndexLink"/>
                <w:rtl w:val="true"/>
              </w:rPr>
              <w:t>المبحث الأول</w:t>
            </w:r>
            <w:r>
              <w:rPr>
                <w:rStyle w:val="IndexLink"/>
                <w:rtl w:val="true"/>
              </w:rPr>
              <w:t xml:space="preserve">: </w:t>
            </w:r>
            <w:r>
              <w:rPr>
                <w:rStyle w:val="IndexLink"/>
                <w:rtl w:val="true"/>
              </w:rPr>
              <w:t>الحاكميّة المطلقة</w:t>
            </w:r>
            <w:r>
              <w:rPr>
                <w:rStyle w:val="IndexLink"/>
                <w:rtl w:val="true"/>
              </w:rPr>
              <w:tab/>
            </w:r>
            <w:r>
              <w:rPr>
                <w:rStyle w:val="IndexLink"/>
              </w:rPr>
              <w:t>302</w:t>
            </w:r>
          </w:hyperlink>
        </w:p>
        <w:p>
          <w:pPr>
            <w:pStyle w:val="Contents5"/>
            <w:tabs>
              <w:tab w:val="clear" w:pos="7892"/>
              <w:tab w:val="right" w:pos="9026" w:leader="dot"/>
            </w:tabs>
            <w:rPr/>
          </w:pPr>
          <w:hyperlink w:anchor="__RefHeading___Toc2793114_1051229030">
            <w:r>
              <w:rPr>
                <w:webHidden/>
                <w:rStyle w:val="IndexLink"/>
                <w:rtl w:val="true"/>
              </w:rPr>
              <w:t>الحاكمية والعدل في القرآن</w:t>
            </w:r>
            <w:r>
              <w:rPr>
                <w:rStyle w:val="IndexLink"/>
                <w:rtl w:val="true"/>
              </w:rPr>
              <w:tab/>
            </w:r>
            <w:r>
              <w:rPr>
                <w:rStyle w:val="IndexLink"/>
              </w:rPr>
              <w:t>303</w:t>
            </w:r>
          </w:hyperlink>
        </w:p>
        <w:p>
          <w:pPr>
            <w:pStyle w:val="Contents6"/>
            <w:tabs>
              <w:tab w:val="clear" w:pos="7609"/>
              <w:tab w:val="right" w:pos="9026" w:leader="dot"/>
            </w:tabs>
            <w:rPr/>
          </w:pPr>
          <w:hyperlink w:anchor="__RefHeading___Toc2793116_1051229030">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2793118_1051229030">
            <w:r>
              <w:rPr>
                <w:webHidden/>
                <w:rStyle w:val="IndexLink"/>
                <w:rtl w:val="true"/>
              </w:rPr>
              <w:t>الأمر الأول</w:t>
            </w:r>
            <w:r>
              <w:rPr>
                <w:rStyle w:val="IndexLink"/>
                <w:rtl w:val="true"/>
              </w:rPr>
              <w:t xml:space="preserve">: </w:t>
            </w:r>
            <w:r>
              <w:rPr>
                <w:rStyle w:val="IndexLink"/>
                <w:rtl w:val="true"/>
              </w:rPr>
              <w:t>الإطلاق والشمولية في العلم الإلهي</w:t>
            </w:r>
            <w:r>
              <w:rPr>
                <w:rStyle w:val="IndexLink"/>
                <w:rtl w:val="true"/>
              </w:rPr>
              <w:tab/>
            </w:r>
            <w:r>
              <w:rPr>
                <w:rStyle w:val="IndexLink"/>
              </w:rPr>
              <w:t>304</w:t>
            </w:r>
          </w:hyperlink>
        </w:p>
        <w:p>
          <w:pPr>
            <w:pStyle w:val="Contents6"/>
            <w:tabs>
              <w:tab w:val="clear" w:pos="7609"/>
              <w:tab w:val="right" w:pos="9026" w:leader="dot"/>
            </w:tabs>
            <w:rPr/>
          </w:pPr>
          <w:hyperlink w:anchor="__RefHeading___Toc2793120_1051229030">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2793122_1051229030">
            <w:r>
              <w:rPr>
                <w:webHidden/>
                <w:rStyle w:val="IndexLink"/>
                <w:rtl w:val="true"/>
              </w:rPr>
              <w:t>الشق الأول</w:t>
            </w:r>
            <w:r>
              <w:rPr>
                <w:rStyle w:val="IndexLink"/>
                <w:rtl w:val="true"/>
              </w:rPr>
              <w:t xml:space="preserve">: </w:t>
            </w:r>
            <w:r>
              <w:rPr>
                <w:rStyle w:val="IndexLink"/>
                <w:rtl w:val="true"/>
              </w:rPr>
              <w:t>الغاية من التكاليف وإرسال الرُّسُل</w:t>
            </w:r>
            <w:r>
              <w:rPr>
                <w:rStyle w:val="IndexLink"/>
                <w:rtl w:val="true"/>
              </w:rPr>
              <w:tab/>
            </w:r>
            <w:r>
              <w:rPr>
                <w:rStyle w:val="IndexLink"/>
              </w:rPr>
              <w:t>304</w:t>
            </w:r>
          </w:hyperlink>
        </w:p>
        <w:p>
          <w:pPr>
            <w:pStyle w:val="Contents6"/>
            <w:tabs>
              <w:tab w:val="clear" w:pos="7609"/>
              <w:tab w:val="right" w:pos="9026" w:leader="dot"/>
            </w:tabs>
            <w:rPr/>
          </w:pPr>
          <w:hyperlink w:anchor="__RefHeading___Toc2793124_1051229030">
            <w:r>
              <w:rPr>
                <w:webHidden/>
                <w:rStyle w:val="IndexLink"/>
                <w:rtl w:val="true"/>
              </w:rPr>
              <w:t>الشق الثاني</w:t>
            </w:r>
            <w:r>
              <w:rPr>
                <w:rStyle w:val="IndexLink"/>
                <w:rtl w:val="true"/>
              </w:rPr>
              <w:t xml:space="preserve">: </w:t>
            </w:r>
            <w:r>
              <w:rPr>
                <w:rStyle w:val="IndexLink"/>
                <w:rtl w:val="true"/>
              </w:rPr>
              <w:t>الشقاء والسعادة في علم الله وبإرادة الإنسان</w:t>
            </w:r>
            <w:r>
              <w:rPr>
                <w:rStyle w:val="IndexLink"/>
                <w:rtl w:val="true"/>
              </w:rPr>
              <w:tab/>
            </w:r>
            <w:r>
              <w:rPr>
                <w:rStyle w:val="IndexLink"/>
              </w:rPr>
              <w:t>305</w:t>
            </w:r>
          </w:hyperlink>
        </w:p>
        <w:p>
          <w:pPr>
            <w:pStyle w:val="Contents6"/>
            <w:tabs>
              <w:tab w:val="clear" w:pos="7609"/>
              <w:tab w:val="right" w:pos="9026" w:leader="dot"/>
            </w:tabs>
            <w:rPr/>
          </w:pPr>
          <w:hyperlink w:anchor="__RefHeading___Toc2793126_1051229030">
            <w:r>
              <w:rPr>
                <w:webHidden/>
                <w:rStyle w:val="IndexLink"/>
                <w:rtl w:val="true"/>
              </w:rPr>
              <w:t>الأمر الثاني</w:t>
            </w:r>
            <w:r>
              <w:rPr>
                <w:rStyle w:val="IndexLink"/>
                <w:rtl w:val="true"/>
              </w:rPr>
              <w:t xml:space="preserve">: </w:t>
            </w:r>
            <w:r>
              <w:rPr>
                <w:rStyle w:val="IndexLink"/>
                <w:rtl w:val="true"/>
              </w:rPr>
              <w:t>الأشقياء والسعداء في الوعد الإلهي</w:t>
            </w:r>
            <w:r>
              <w:rPr>
                <w:rStyle w:val="IndexLink"/>
                <w:rtl w:val="true"/>
              </w:rPr>
              <w:tab/>
            </w:r>
            <w:r>
              <w:rPr>
                <w:rStyle w:val="IndexLink"/>
              </w:rPr>
              <w:t>305</w:t>
            </w:r>
          </w:hyperlink>
        </w:p>
        <w:p>
          <w:pPr>
            <w:pStyle w:val="Contents6"/>
            <w:tabs>
              <w:tab w:val="clear" w:pos="7609"/>
              <w:tab w:val="right" w:pos="9026" w:leader="dot"/>
            </w:tabs>
            <w:rPr/>
          </w:pPr>
          <w:hyperlink w:anchor="__RefHeading___Toc2793128_1051229030">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2793130_1051229030">
            <w:r>
              <w:rPr>
                <w:webHidden/>
                <w:rStyle w:val="IndexLink"/>
                <w:rtl w:val="true"/>
              </w:rPr>
              <w:t>الشق الأول</w:t>
            </w:r>
            <w:r>
              <w:rPr>
                <w:rStyle w:val="IndexLink"/>
                <w:rtl w:val="true"/>
              </w:rPr>
              <w:t xml:space="preserve">: </w:t>
            </w:r>
            <w:r>
              <w:rPr>
                <w:rStyle w:val="IndexLink"/>
                <w:rtl w:val="true"/>
              </w:rPr>
              <w:t>لماذا السيئة بواحدة والحسنة بعشر أمثالها؟</w:t>
            </w:r>
            <w:r>
              <w:rPr>
                <w:rStyle w:val="IndexLink"/>
                <w:rtl w:val="true"/>
              </w:rPr>
              <w:tab/>
            </w:r>
            <w:r>
              <w:rPr>
                <w:rStyle w:val="IndexLink"/>
              </w:rPr>
              <w:t>305</w:t>
            </w:r>
          </w:hyperlink>
        </w:p>
        <w:p>
          <w:pPr>
            <w:pStyle w:val="Contents6"/>
            <w:tabs>
              <w:tab w:val="clear" w:pos="7609"/>
              <w:tab w:val="right" w:pos="9026" w:leader="dot"/>
            </w:tabs>
            <w:rPr/>
          </w:pPr>
          <w:hyperlink w:anchor="__RefHeading___Toc2793132_1051229030">
            <w:r>
              <w:rPr>
                <w:webHidden/>
                <w:rStyle w:val="IndexLink"/>
                <w:rtl w:val="true"/>
              </w:rPr>
              <w:t>الشق الثاني</w:t>
            </w:r>
            <w:r>
              <w:rPr>
                <w:rStyle w:val="IndexLink"/>
                <w:rtl w:val="true"/>
              </w:rPr>
              <w:t xml:space="preserve">: </w:t>
            </w:r>
            <w:r>
              <w:rPr>
                <w:rStyle w:val="IndexLink"/>
                <w:rtl w:val="true"/>
              </w:rPr>
              <w:t>ما هو دور الشفاعة؟</w:t>
            </w:r>
            <w:r>
              <w:rPr>
                <w:rStyle w:val="IndexLink"/>
                <w:rtl w:val="true"/>
              </w:rPr>
              <w:tab/>
            </w:r>
            <w:r>
              <w:rPr>
                <w:rStyle w:val="IndexLink"/>
              </w:rPr>
              <w:t>306</w:t>
            </w:r>
          </w:hyperlink>
        </w:p>
        <w:p>
          <w:pPr>
            <w:pStyle w:val="Contents6"/>
            <w:tabs>
              <w:tab w:val="clear" w:pos="7609"/>
              <w:tab w:val="right" w:pos="9026" w:leader="dot"/>
            </w:tabs>
            <w:rPr/>
          </w:pPr>
          <w:hyperlink w:anchor="__RefHeading___Toc2793134_1051229030">
            <w:r>
              <w:rPr>
                <w:webHidden/>
                <w:rStyle w:val="IndexLink"/>
                <w:rtl w:val="true"/>
              </w:rPr>
              <w:t xml:space="preserve">النص والحدث </w:t>
            </w:r>
            <w:r>
              <w:rPr>
                <w:rStyle w:val="IndexLink"/>
                <w:rtl w:val="true"/>
              </w:rPr>
              <w:t>(</w:t>
            </w:r>
            <w:r>
              <w:rPr>
                <w:rStyle w:val="IndexLink"/>
                <w:rtl w:val="true"/>
              </w:rPr>
              <w:t>قصة العبد الصالح</w:t>
            </w:r>
            <w:r>
              <w:rPr>
                <w:rStyle w:val="IndexLink"/>
                <w:rtl w:val="true"/>
              </w:rPr>
              <w:t>)</w:t>
              <w:tab/>
            </w:r>
            <w:r>
              <w:rPr>
                <w:rStyle w:val="IndexLink"/>
              </w:rPr>
              <w:t>306</w:t>
            </w:r>
          </w:hyperlink>
        </w:p>
        <w:p>
          <w:pPr>
            <w:pStyle w:val="Contents6"/>
            <w:tabs>
              <w:tab w:val="clear" w:pos="7609"/>
              <w:tab w:val="right" w:pos="9026" w:leader="dot"/>
            </w:tabs>
            <w:rPr/>
          </w:pPr>
          <w:hyperlink w:anchor="__RefHeading___Toc2793136_1051229030">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2793138_1051229030">
            <w:r>
              <w:rPr>
                <w:webHidden/>
                <w:rStyle w:val="IndexLink"/>
                <w:rtl w:val="true"/>
              </w:rPr>
              <w:t>الأمر الأول</w:t>
            </w:r>
            <w:r>
              <w:rPr>
                <w:rStyle w:val="IndexLink"/>
                <w:rtl w:val="true"/>
              </w:rPr>
              <w:t xml:space="preserve">: </w:t>
            </w:r>
            <w:r>
              <w:rPr>
                <w:rStyle w:val="IndexLink"/>
                <w:rtl w:val="true"/>
              </w:rPr>
              <w:t>العوض</w:t>
            </w:r>
            <w:r>
              <w:rPr>
                <w:rStyle w:val="IndexLink"/>
                <w:rtl w:val="true"/>
              </w:rPr>
              <w:tab/>
            </w:r>
            <w:r>
              <w:rPr>
                <w:rStyle w:val="IndexLink"/>
              </w:rPr>
              <w:t>307</w:t>
            </w:r>
          </w:hyperlink>
        </w:p>
        <w:p>
          <w:pPr>
            <w:pStyle w:val="Contents6"/>
            <w:tabs>
              <w:tab w:val="clear" w:pos="7609"/>
              <w:tab w:val="right" w:pos="9026" w:leader="dot"/>
            </w:tabs>
            <w:rPr/>
          </w:pPr>
          <w:hyperlink w:anchor="__RefHeading___Toc2793140_1051229030">
            <w:r>
              <w:rPr>
                <w:webHidden/>
                <w:rStyle w:val="IndexLink"/>
                <w:rtl w:val="true"/>
              </w:rPr>
              <w:t>الأمر الثاني</w:t>
            </w:r>
            <w:r>
              <w:rPr>
                <w:rStyle w:val="IndexLink"/>
                <w:rtl w:val="true"/>
              </w:rPr>
              <w:t xml:space="preserve">: </w:t>
            </w:r>
            <w:r>
              <w:rPr>
                <w:rStyle w:val="IndexLink"/>
                <w:rtl w:val="true"/>
              </w:rPr>
              <w:t>الرحمة</w:t>
            </w:r>
            <w:r>
              <w:rPr>
                <w:rStyle w:val="IndexLink"/>
                <w:rtl w:val="true"/>
              </w:rPr>
              <w:tab/>
            </w:r>
            <w:r>
              <w:rPr>
                <w:rStyle w:val="IndexLink"/>
              </w:rPr>
              <w:t>307</w:t>
            </w:r>
          </w:hyperlink>
        </w:p>
        <w:p>
          <w:pPr>
            <w:pStyle w:val="Contents5"/>
            <w:tabs>
              <w:tab w:val="clear" w:pos="7892"/>
              <w:tab w:val="right" w:pos="9026" w:leader="dot"/>
            </w:tabs>
            <w:rPr/>
          </w:pPr>
          <w:hyperlink w:anchor="__RefHeading___Toc2793142_1051229030">
            <w:r>
              <w:rPr>
                <w:webHidden/>
                <w:rStyle w:val="IndexLink"/>
                <w:rtl w:val="true"/>
              </w:rPr>
              <w:t>المبحث الثاني</w:t>
            </w:r>
            <w:r>
              <w:rPr>
                <w:rStyle w:val="IndexLink"/>
                <w:rtl w:val="true"/>
              </w:rPr>
              <w:t xml:space="preserve">: </w:t>
            </w:r>
            <w:r>
              <w:rPr>
                <w:rStyle w:val="IndexLink"/>
                <w:rtl w:val="true"/>
              </w:rPr>
              <w:t>العدل الإلهي</w:t>
            </w:r>
            <w:r>
              <w:rPr>
                <w:rStyle w:val="IndexLink"/>
                <w:rtl w:val="true"/>
              </w:rPr>
              <w:tab/>
            </w:r>
            <w:r>
              <w:rPr>
                <w:rStyle w:val="IndexLink"/>
              </w:rPr>
              <w:t>310</w:t>
            </w:r>
          </w:hyperlink>
        </w:p>
        <w:p>
          <w:pPr>
            <w:pStyle w:val="Contents6"/>
            <w:tabs>
              <w:tab w:val="clear" w:pos="7609"/>
              <w:tab w:val="right" w:pos="9026" w:leader="dot"/>
            </w:tabs>
            <w:rPr/>
          </w:pPr>
          <w:hyperlink w:anchor="__RefHeading___Toc2793144_105122903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2793146_1051229030">
            <w:r>
              <w:rPr>
                <w:webHidden/>
                <w:rStyle w:val="IndexLink"/>
                <w:rtl w:val="true"/>
              </w:rPr>
              <w:t>العدل ومسألة البحث</w:t>
            </w:r>
            <w:r>
              <w:rPr>
                <w:rStyle w:val="IndexLink"/>
                <w:rtl w:val="true"/>
              </w:rPr>
              <w:tab/>
            </w:r>
            <w:r>
              <w:rPr>
                <w:rStyle w:val="IndexLink"/>
              </w:rPr>
              <w:t>314</w:t>
            </w:r>
          </w:hyperlink>
        </w:p>
        <w:p>
          <w:pPr>
            <w:pStyle w:val="Contents6"/>
            <w:tabs>
              <w:tab w:val="clear" w:pos="7609"/>
              <w:tab w:val="right" w:pos="9026" w:leader="dot"/>
            </w:tabs>
            <w:rPr/>
          </w:pPr>
          <w:hyperlink w:anchor="__RefHeading___Toc2793148_1051229030">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2793150_1051229030">
            <w:r>
              <w:rPr>
                <w:webHidden/>
                <w:rStyle w:val="IndexLink"/>
                <w:rtl w:val="true"/>
              </w:rPr>
              <w:t>العدل والإحسان</w:t>
            </w:r>
            <w:r>
              <w:rPr>
                <w:rStyle w:val="IndexLink"/>
                <w:rtl w:val="true"/>
              </w:rPr>
              <w:t>:</w:t>
              <w:tab/>
            </w:r>
            <w:r>
              <w:rPr>
                <w:rStyle w:val="IndexLink"/>
              </w:rPr>
              <w:t>314</w:t>
            </w:r>
          </w:hyperlink>
        </w:p>
        <w:p>
          <w:pPr>
            <w:pStyle w:val="Contents6"/>
            <w:tabs>
              <w:tab w:val="clear" w:pos="7609"/>
              <w:tab w:val="right" w:pos="9026" w:leader="dot"/>
            </w:tabs>
            <w:rPr/>
          </w:pPr>
          <w:hyperlink w:anchor="__RefHeading___Toc2793152_1051229030">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2793154_1051229030">
            <w:r>
              <w:rPr>
                <w:webHidden/>
                <w:rStyle w:val="IndexLink"/>
                <w:rtl w:val="true"/>
              </w:rPr>
              <w:t>العدل الالهي والإحسان والعوض</w:t>
            </w:r>
            <w:r>
              <w:rPr>
                <w:rStyle w:val="IndexLink"/>
                <w:rtl w:val="true"/>
              </w:rPr>
              <w:t>:</w:t>
              <w:tab/>
            </w:r>
            <w:r>
              <w:rPr>
                <w:rStyle w:val="IndexLink"/>
              </w:rPr>
              <w:t>316</w:t>
            </w:r>
          </w:hyperlink>
        </w:p>
        <w:p>
          <w:pPr>
            <w:pStyle w:val="Contents6"/>
            <w:tabs>
              <w:tab w:val="clear" w:pos="7609"/>
              <w:tab w:val="right" w:pos="9026" w:leader="dot"/>
            </w:tabs>
            <w:rPr/>
          </w:pPr>
          <w:hyperlink w:anchor="__RefHeading___Toc2793156_1051229030">
            <w:r>
              <w:rPr>
                <w:webHidden/>
                <w:rStyle w:val="IndexLink"/>
                <w:rtl w:val="true"/>
              </w:rPr>
              <w:t>الحاكميّة والعدل الإلهي</w:t>
            </w:r>
            <w:r>
              <w:rPr>
                <w:rStyle w:val="IndexLink"/>
                <w:rtl w:val="true"/>
              </w:rPr>
              <w:t>:</w:t>
              <w:tab/>
            </w:r>
            <w:r>
              <w:rPr>
                <w:rStyle w:val="IndexLink"/>
              </w:rPr>
              <w:t>318</w:t>
            </w:r>
          </w:hyperlink>
        </w:p>
        <w:p>
          <w:pPr>
            <w:pStyle w:val="Contents6"/>
            <w:tabs>
              <w:tab w:val="clear" w:pos="7609"/>
              <w:tab w:val="right" w:pos="9026" w:leader="dot"/>
            </w:tabs>
            <w:rPr/>
          </w:pPr>
          <w:hyperlink w:anchor="__RefHeading___Toc2793158_1051229030">
            <w:r>
              <w:rPr>
                <w:webHidden/>
                <w:rStyle w:val="IndexLink"/>
                <w:rtl w:val="true"/>
              </w:rPr>
              <w:t>الخاتمة</w:t>
            </w:r>
            <w:r>
              <w:rPr>
                <w:rStyle w:val="IndexLink"/>
                <w:rtl w:val="true"/>
              </w:rPr>
              <w:tab/>
            </w:r>
            <w:r>
              <w:rPr>
                <w:rStyle w:val="IndexLink"/>
              </w:rPr>
              <w:t>318</w:t>
            </w:r>
          </w:hyperlink>
        </w:p>
        <w:p>
          <w:pPr>
            <w:pStyle w:val="Contents3"/>
            <w:tabs>
              <w:tab w:val="clear" w:pos="8459"/>
              <w:tab w:val="right" w:pos="9026" w:leader="dot"/>
            </w:tabs>
            <w:rPr/>
          </w:pPr>
          <w:hyperlink w:anchor="__RefHeading___Toc2793160_1051229030">
            <w:r>
              <w:rPr>
                <w:webHidden/>
                <w:rStyle w:val="IndexLink"/>
                <w:rtl w:val="true"/>
              </w:rPr>
              <w:t>مَرقَدُ وَ مَزار عُبَیدُاللهِ بن عَلي بن أَبي طَالِب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2793162_1051229030">
            <w:r>
              <w:rPr>
                <w:webHidden/>
                <w:rStyle w:val="IndexLink"/>
                <w:rtl w:val="true"/>
              </w:rPr>
              <w:t>دِرَاسَةٌ تَاریخیَةٌ تحلِیلِیَّة الشيخ أحمد عبد السادة الساعدي</w:t>
            </w:r>
            <w:r>
              <w:rPr>
                <w:rStyle w:val="IndexLink"/>
                <w:rtl w:val="true"/>
              </w:rPr>
              <w:tab/>
            </w:r>
            <w:r>
              <w:rPr>
                <w:rStyle w:val="IndexLink"/>
              </w:rPr>
              <w:t>321</w:t>
            </w:r>
          </w:hyperlink>
        </w:p>
        <w:p>
          <w:pPr>
            <w:pStyle w:val="Contents5"/>
            <w:tabs>
              <w:tab w:val="clear" w:pos="7892"/>
              <w:tab w:val="right" w:pos="9026" w:leader="dot"/>
            </w:tabs>
            <w:rPr/>
          </w:pPr>
          <w:hyperlink w:anchor="__RefHeading___Toc2793164_105122903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2793166_1051229030">
            <w:r>
              <w:rPr>
                <w:webHidden/>
                <w:rStyle w:val="IndexLink"/>
                <w:rtl w:val="true"/>
              </w:rPr>
              <w:t>القسم الأول</w:t>
            </w:r>
            <w:r>
              <w:rPr>
                <w:rStyle w:val="IndexLink"/>
                <w:rtl w:val="true"/>
              </w:rPr>
              <w:t xml:space="preserve">: </w:t>
            </w:r>
            <w:r>
              <w:rPr>
                <w:rStyle w:val="IndexLink"/>
                <w:rtl w:val="true"/>
              </w:rPr>
              <w:t>هوية صاحب المرقد ونسبه وكيفية وفاته</w:t>
            </w:r>
            <w:r>
              <w:rPr>
                <w:rStyle w:val="IndexLink"/>
                <w:rtl w:val="true"/>
              </w:rPr>
              <w:tab/>
            </w:r>
            <w:r>
              <w:rPr>
                <w:rStyle w:val="IndexLink"/>
              </w:rPr>
              <w:t>321</w:t>
            </w:r>
          </w:hyperlink>
        </w:p>
        <w:p>
          <w:pPr>
            <w:pStyle w:val="Contents6"/>
            <w:tabs>
              <w:tab w:val="clear" w:pos="7609"/>
              <w:tab w:val="right" w:pos="9026" w:leader="dot"/>
            </w:tabs>
            <w:rPr/>
          </w:pPr>
          <w:hyperlink w:anchor="__RefHeading___Toc2793168_1051229030">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2793170_1051229030">
            <w:r>
              <w:rPr>
                <w:webHidden/>
                <w:rStyle w:val="IndexLink"/>
                <w:rtl w:val="true"/>
              </w:rPr>
              <w:t>الأول</w:t>
            </w:r>
            <w:r>
              <w:rPr>
                <w:rStyle w:val="IndexLink"/>
                <w:rtl w:val="true"/>
              </w:rPr>
              <w:t xml:space="preserve">: </w:t>
            </w:r>
            <w:r>
              <w:rPr>
                <w:rStyle w:val="IndexLink"/>
                <w:rtl w:val="true"/>
              </w:rPr>
              <w:t>عبيد الله بن علي عَلیه السَلام</w:t>
            </w:r>
            <w:r>
              <w:rPr>
                <w:rStyle w:val="IndexLink"/>
                <w:rtl w:val="true"/>
              </w:rPr>
              <w:tab/>
            </w:r>
            <w:r>
              <w:rPr>
                <w:rStyle w:val="IndexLink"/>
              </w:rPr>
              <w:t>322</w:t>
            </w:r>
          </w:hyperlink>
        </w:p>
        <w:p>
          <w:pPr>
            <w:pStyle w:val="Contents6"/>
            <w:tabs>
              <w:tab w:val="clear" w:pos="7609"/>
              <w:tab w:val="right" w:pos="9026" w:leader="dot"/>
            </w:tabs>
            <w:rPr/>
          </w:pPr>
          <w:hyperlink w:anchor="__RefHeading___Toc2793172_1051229030">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2793174_1051229030">
            <w:r>
              <w:rPr>
                <w:webHidden/>
                <w:rStyle w:val="IndexLink"/>
                <w:rtl w:val="true"/>
              </w:rPr>
              <w:t>أُمُّه وولادته</w:t>
            </w:r>
            <w:r>
              <w:rPr>
                <w:rStyle w:val="IndexLink"/>
                <w:rtl w:val="true"/>
              </w:rPr>
              <w:tab/>
            </w:r>
            <w:r>
              <w:rPr>
                <w:rStyle w:val="IndexLink"/>
              </w:rPr>
              <w:t>323</w:t>
            </w:r>
          </w:hyperlink>
        </w:p>
        <w:p>
          <w:pPr>
            <w:pStyle w:val="Contents6"/>
            <w:tabs>
              <w:tab w:val="clear" w:pos="7609"/>
              <w:tab w:val="right" w:pos="9026" w:leader="dot"/>
            </w:tabs>
            <w:rPr/>
          </w:pPr>
          <w:hyperlink w:anchor="__RefHeading___Toc2793176_1051229030">
            <w:r>
              <w:rPr>
                <w:webHidden/>
                <w:rStyle w:val="IndexLink"/>
                <w:rtl w:val="true"/>
              </w:rPr>
              <w:t>حياته ونشأته</w:t>
            </w:r>
            <w:r>
              <w:rPr>
                <w:rStyle w:val="IndexLink"/>
                <w:rtl w:val="true"/>
              </w:rPr>
              <w:tab/>
            </w:r>
            <w:r>
              <w:rPr>
                <w:rStyle w:val="IndexLink"/>
              </w:rPr>
              <w:t>325</w:t>
            </w:r>
          </w:hyperlink>
        </w:p>
        <w:p>
          <w:pPr>
            <w:pStyle w:val="Contents6"/>
            <w:tabs>
              <w:tab w:val="clear" w:pos="7609"/>
              <w:tab w:val="right" w:pos="9026" w:leader="dot"/>
            </w:tabs>
            <w:rPr/>
          </w:pPr>
          <w:hyperlink w:anchor="__RefHeading___Toc2793178_1051229030">
            <w:r>
              <w:rPr>
                <w:webHidden/>
                <w:rStyle w:val="IndexLink"/>
                <w:rtl w:val="true"/>
              </w:rPr>
              <w:t>مجيؤه إلى الكوفة والبصرة</w:t>
            </w:r>
            <w:r>
              <w:rPr>
                <w:rStyle w:val="IndexLink"/>
                <w:rtl w:val="true"/>
              </w:rPr>
              <w:tab/>
            </w:r>
            <w:r>
              <w:rPr>
                <w:rStyle w:val="IndexLink"/>
              </w:rPr>
              <w:t>326</w:t>
            </w:r>
          </w:hyperlink>
        </w:p>
        <w:p>
          <w:pPr>
            <w:pStyle w:val="Contents6"/>
            <w:tabs>
              <w:tab w:val="clear" w:pos="7609"/>
              <w:tab w:val="right" w:pos="9026" w:leader="dot"/>
            </w:tabs>
            <w:rPr/>
          </w:pPr>
          <w:hyperlink w:anchor="__RefHeading___Toc2793180_1051229030">
            <w:r>
              <w:rPr>
                <w:webHidden/>
                <w:rStyle w:val="IndexLink"/>
                <w:rtl w:val="true"/>
              </w:rPr>
              <w:t>كيفية وسبب مقتله في المذار</w:t>
            </w:r>
            <w:r>
              <w:rPr>
                <w:rStyle w:val="IndexLink"/>
                <w:rtl w:val="true"/>
              </w:rPr>
              <w:tab/>
            </w:r>
            <w:r>
              <w:rPr>
                <w:rStyle w:val="IndexLink"/>
              </w:rPr>
              <w:t>328</w:t>
            </w:r>
          </w:hyperlink>
        </w:p>
        <w:p>
          <w:pPr>
            <w:pStyle w:val="Contents6"/>
            <w:tabs>
              <w:tab w:val="clear" w:pos="7609"/>
              <w:tab w:val="right" w:pos="9026" w:leader="dot"/>
            </w:tabs>
            <w:rPr/>
          </w:pPr>
          <w:hyperlink w:anchor="__RefHeading___Toc2793182_1051229030">
            <w:r>
              <w:rPr>
                <w:webHidden/>
                <w:rStyle w:val="IndexLink"/>
                <w:rtl w:val="true"/>
              </w:rPr>
              <w:t>عبيد الله بن علي وواقعة الطف</w:t>
            </w:r>
            <w:r>
              <w:rPr>
                <w:rStyle w:val="IndexLink"/>
                <w:rtl w:val="true"/>
              </w:rPr>
              <w:tab/>
            </w:r>
            <w:r>
              <w:rPr>
                <w:rStyle w:val="IndexLink"/>
              </w:rPr>
              <w:t>331</w:t>
            </w:r>
          </w:hyperlink>
        </w:p>
        <w:p>
          <w:pPr>
            <w:pStyle w:val="Contents6"/>
            <w:tabs>
              <w:tab w:val="clear" w:pos="7609"/>
              <w:tab w:val="right" w:pos="9026" w:leader="dot"/>
            </w:tabs>
            <w:rPr/>
          </w:pPr>
          <w:hyperlink w:anchor="__RefHeading___Toc2793184_1051229030">
            <w:r>
              <w:rPr>
                <w:webHidden/>
                <w:rStyle w:val="IndexLink"/>
                <w:rtl w:val="true"/>
              </w:rPr>
              <w:t>هل اسمه عبيد الله أم عبد الله؟</w:t>
            </w:r>
            <w:r>
              <w:rPr>
                <w:rStyle w:val="IndexLink"/>
                <w:rtl w:val="true"/>
              </w:rPr>
              <w:tab/>
            </w:r>
            <w:r>
              <w:rPr>
                <w:rStyle w:val="IndexLink"/>
              </w:rPr>
              <w:t>333</w:t>
            </w:r>
          </w:hyperlink>
        </w:p>
        <w:p>
          <w:pPr>
            <w:pStyle w:val="Contents6"/>
            <w:tabs>
              <w:tab w:val="clear" w:pos="7609"/>
              <w:tab w:val="right" w:pos="9026" w:leader="dot"/>
            </w:tabs>
            <w:rPr/>
          </w:pPr>
          <w:hyperlink w:anchor="__RefHeading___Toc2793186_1051229030">
            <w:r>
              <w:rPr>
                <w:webHidden/>
                <w:rStyle w:val="IndexLink"/>
                <w:rtl w:val="true"/>
              </w:rPr>
              <w:t>الثاني</w:t>
            </w:r>
            <w:r>
              <w:rPr>
                <w:rStyle w:val="IndexLink"/>
                <w:rtl w:val="true"/>
              </w:rPr>
              <w:t xml:space="preserve">: </w:t>
            </w:r>
            <w:r>
              <w:rPr>
                <w:rStyle w:val="IndexLink"/>
                <w:rtl w:val="true"/>
              </w:rPr>
              <w:t>عمر بن علي بن أبي طالب عَلیه السَلام</w:t>
            </w:r>
            <w:r>
              <w:rPr>
                <w:rStyle w:val="IndexLink"/>
                <w:rtl w:val="true"/>
              </w:rPr>
              <w:tab/>
            </w:r>
            <w:r>
              <w:rPr>
                <w:rStyle w:val="IndexLink"/>
              </w:rPr>
              <w:t>336</w:t>
            </w:r>
          </w:hyperlink>
        </w:p>
        <w:p>
          <w:pPr>
            <w:pStyle w:val="Contents6"/>
            <w:tabs>
              <w:tab w:val="clear" w:pos="7609"/>
              <w:tab w:val="right" w:pos="9026" w:leader="dot"/>
            </w:tabs>
            <w:rPr/>
          </w:pPr>
          <w:hyperlink w:anchor="__RefHeading___Toc2793188_105122903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2793190_1051229030">
            <w:r>
              <w:rPr>
                <w:webHidden/>
                <w:rStyle w:val="IndexLink"/>
                <w:rtl w:val="true"/>
              </w:rPr>
              <w:t>مدينة المذار</w:t>
            </w:r>
            <w:r>
              <w:rPr>
                <w:rStyle w:val="IndexLink"/>
                <w:rtl w:val="true"/>
              </w:rPr>
              <w:tab/>
            </w:r>
            <w:r>
              <w:rPr>
                <w:rStyle w:val="IndexLink"/>
              </w:rPr>
              <w:t>344</w:t>
            </w:r>
          </w:hyperlink>
        </w:p>
        <w:p>
          <w:pPr>
            <w:pStyle w:val="Contents5"/>
            <w:tabs>
              <w:tab w:val="clear" w:pos="7892"/>
              <w:tab w:val="right" w:pos="9026" w:leader="dot"/>
            </w:tabs>
            <w:rPr/>
          </w:pPr>
          <w:hyperlink w:anchor="__RefHeading___Toc2793192_1051229030">
            <w:r>
              <w:rPr>
                <w:webHidden/>
                <w:rStyle w:val="IndexLink"/>
                <w:rtl w:val="true"/>
              </w:rPr>
              <w:t>القسم الثاني</w:t>
            </w:r>
            <w:r>
              <w:rPr>
                <w:rStyle w:val="IndexLink"/>
                <w:rtl w:val="true"/>
              </w:rPr>
              <w:t xml:space="preserve">: </w:t>
            </w:r>
            <w:r>
              <w:rPr>
                <w:rStyle w:val="IndexLink"/>
                <w:rtl w:val="true"/>
              </w:rPr>
              <w:t>مرقد عبيد الله</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40_66538"/>
      <w:bookmarkStart w:id="1" w:name="pg7540_66538"/>
      <w:bookmarkEnd w:id="1"/>
    </w:p>
    <w:p>
      <w:pPr>
        <w:pStyle w:val="Heading2"/>
        <w:numPr>
          <w:ilvl w:val="1"/>
          <w:numId w:val="1"/>
        </w:numPr>
        <w:rPr/>
      </w:pPr>
      <w:bookmarkStart w:id="2" w:name="pg7540_66538"/>
      <w:bookmarkStart w:id="3" w:name="__RefHeading___Toc2792690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اِنَّما خَرَجْتُ لِطَلَبِ الاِصْلاحِ في اُمّهِ جَدّي</w:t>
      </w:r>
    </w:p>
    <w:p>
      <w:pPr>
        <w:pStyle w:val="BookText"/>
        <w:rPr/>
      </w:pPr>
      <w:r>
        <w:rPr>
          <w:rFonts w:ascii="Amiri" w:hAnsi="Amiri" w:eastAsia="Amiri" w:cs="Amiri"/>
          <w:color w:val="111111"/>
          <w:sz w:val="28"/>
          <w:sz w:val="28"/>
          <w:szCs w:val="28"/>
          <w:rtl w:val="true"/>
          <w:lang w:bidi="ar-SA"/>
        </w:rPr>
        <w:t>الاِصلَاحُ الحُسَینيُّ</w:t>
      </w:r>
    </w:p>
    <w:p>
      <w:pPr>
        <w:pStyle w:val="BookText"/>
        <w:rPr/>
      </w:pPr>
      <w:r>
        <w:rPr>
          <w:rFonts w:ascii="Amiri" w:hAnsi="Amiri" w:eastAsia="Amiri" w:cs="Amiri"/>
          <w:color w:val="111111"/>
          <w:sz w:val="28"/>
          <w:sz w:val="28"/>
          <w:szCs w:val="28"/>
          <w:rtl w:val="true"/>
          <w:lang w:bidi="ar-SA"/>
        </w:rPr>
        <w:t>مَجَلةٌ فَصلِیّةُ مُتخَصِّصَةُ في النّهضَةِ وَ تُعنیَ بالدِّرَاسَّاتِ الدِّینِیَّةِ</w:t>
      </w:r>
    </w:p>
    <w:p>
      <w:pPr>
        <w:pStyle w:val="BookText"/>
        <w:rPr/>
      </w:pPr>
      <w:r>
        <w:rPr>
          <w:rFonts w:ascii="Amiri" w:hAnsi="Amiri" w:eastAsia="Amiri" w:cs="Amiri"/>
          <w:color w:val="111111"/>
          <w:sz w:val="28"/>
          <w:sz w:val="28"/>
          <w:szCs w:val="28"/>
          <w:rtl w:val="true"/>
          <w:lang w:bidi="ar-SA"/>
        </w:rPr>
        <w:t>تصدر عن مركز الدراسات التخصصية</w:t>
      </w:r>
    </w:p>
    <w:p>
      <w:pPr>
        <w:pStyle w:val="BookText"/>
        <w:rPr/>
      </w:pPr>
      <w:r>
        <w:rPr>
          <w:rFonts w:ascii="Amiri" w:hAnsi="Amiri" w:eastAsia="Amiri" w:cs="Amiri"/>
          <w:color w:val="111111"/>
          <w:sz w:val="28"/>
          <w:sz w:val="28"/>
          <w:szCs w:val="28"/>
          <w:rtl w:val="true"/>
          <w:lang w:bidi="ar-SA"/>
        </w:rPr>
        <w:t>في النهضة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قسم الشؤون الفكرية</w:t>
      </w:r>
    </w:p>
    <w:p>
      <w:pPr>
        <w:pStyle w:val="BookText"/>
        <w:rPr/>
      </w:pPr>
      <w:r>
        <w:rPr>
          <w:rFonts w:ascii="Amiri" w:hAnsi="Amiri" w:eastAsia="Amiri" w:cs="Amiri"/>
          <w:color w:val="111111"/>
          <w:sz w:val="28"/>
          <w:sz w:val="28"/>
          <w:szCs w:val="28"/>
          <w:rtl w:val="true"/>
          <w:lang w:bidi="ar-SA"/>
        </w:rPr>
        <w:t>العتبة الحسينية</w:t>
      </w:r>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الأولی</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269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الاِصلَاحُ الحُسَینيُّ</w:t>
      </w:r>
    </w:p>
    <w:p>
      <w:pPr>
        <w:pStyle w:val="BookText"/>
        <w:rPr/>
      </w:pPr>
      <w:r>
        <w:rPr>
          <w:rFonts w:ascii="Amiri" w:hAnsi="Amiri" w:eastAsia="Amiri" w:cs="Amiri"/>
          <w:color w:val="111111"/>
          <w:sz w:val="28"/>
          <w:sz w:val="28"/>
          <w:szCs w:val="28"/>
          <w:rtl w:val="true"/>
          <w:lang w:bidi="ar-SA"/>
        </w:rPr>
        <w:t>تصدر عن مركز الدراسات التخصصية</w:t>
      </w:r>
    </w:p>
    <w:p>
      <w:pPr>
        <w:pStyle w:val="BookText"/>
        <w:rPr/>
      </w:pPr>
      <w:r>
        <w:rPr>
          <w:rFonts w:ascii="Amiri" w:hAnsi="Amiri" w:eastAsia="Amiri" w:cs="Amiri"/>
          <w:color w:val="111111"/>
          <w:sz w:val="28"/>
          <w:sz w:val="28"/>
          <w:szCs w:val="28"/>
          <w:rtl w:val="true"/>
          <w:lang w:bidi="ar-SA"/>
        </w:rPr>
        <w:t>في النهضة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قسم الشؤون الفكرية</w:t>
      </w:r>
    </w:p>
    <w:p>
      <w:pPr>
        <w:pStyle w:val="BookText"/>
        <w:rPr/>
      </w:pPr>
      <w:r>
        <w:rPr>
          <w:rFonts w:ascii="Amiri" w:hAnsi="Amiri" w:eastAsia="Amiri" w:cs="Amiri"/>
          <w:color w:val="111111"/>
          <w:sz w:val="28"/>
          <w:sz w:val="28"/>
          <w:szCs w:val="28"/>
          <w:rtl w:val="true"/>
          <w:lang w:bidi="ar-SA"/>
        </w:rPr>
        <w:t>العتبة الحسينية</w:t>
      </w:r>
    </w:p>
    <w:p>
      <w:pPr>
        <w:pStyle w:val="BookText"/>
        <w:rPr/>
      </w:pPr>
      <w:r>
        <w:rPr>
          <w:rFonts w:ascii="Amiri" w:hAnsi="Amiri" w:eastAsia="Amiri" w:cs="Amiri"/>
          <w:color w:val="111111"/>
          <w:sz w:val="28"/>
          <w:sz w:val="28"/>
          <w:szCs w:val="28"/>
          <w:rtl w:val="true"/>
          <w:lang w:bidi="ar-SA"/>
        </w:rPr>
        <w:t xml:space="preserve">رئيس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قيصر التميمي</w:t>
      </w:r>
    </w:p>
    <w:p>
      <w:pPr>
        <w:pStyle w:val="BookText"/>
        <w:rPr/>
      </w:pPr>
      <w:r>
        <w:rPr>
          <w:rFonts w:ascii="Amiri" w:hAnsi="Amiri" w:eastAsia="Amiri" w:cs="Amiri"/>
          <w:color w:val="111111"/>
          <w:sz w:val="28"/>
          <w:sz w:val="28"/>
          <w:szCs w:val="28"/>
          <w:rtl w:val="true"/>
          <w:lang w:bidi="ar-SA"/>
        </w:rPr>
        <w:t>مدير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صباح عباس الساعدي</w:t>
      </w:r>
    </w:p>
    <w:p>
      <w:pPr>
        <w:pStyle w:val="BookText"/>
        <w:rPr/>
      </w:pPr>
      <w:r>
        <w:rPr>
          <w:rFonts w:ascii="Amiri" w:hAnsi="Amiri" w:eastAsia="Amiri" w:cs="Amiri"/>
          <w:color w:val="111111"/>
          <w:sz w:val="28"/>
          <w:sz w:val="28"/>
          <w:szCs w:val="28"/>
          <w:rtl w:val="true"/>
          <w:lang w:bidi="ar-SA"/>
        </w:rPr>
        <w:t>هيئة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حاتم البخاتي</w:t>
      </w:r>
    </w:p>
    <w:p>
      <w:pPr>
        <w:pStyle w:val="BookText"/>
        <w:rPr/>
      </w:pPr>
      <w:r>
        <w:rPr>
          <w:rFonts w:ascii="Amiri" w:hAnsi="Amiri" w:eastAsia="Amiri" w:cs="Amiri"/>
          <w:color w:val="111111"/>
          <w:sz w:val="28"/>
          <w:sz w:val="28"/>
          <w:szCs w:val="28"/>
          <w:rtl w:val="true"/>
          <w:lang w:bidi="ar-SA"/>
        </w:rPr>
        <w:t>الشيخ مشتاق الساعدي</w:t>
      </w:r>
    </w:p>
    <w:p>
      <w:pPr>
        <w:pStyle w:val="BookText"/>
        <w:rPr/>
      </w:pPr>
      <w:r>
        <w:rPr>
          <w:rFonts w:ascii="Amiri" w:hAnsi="Amiri" w:eastAsia="Amiri" w:cs="Amiri"/>
          <w:color w:val="111111"/>
          <w:sz w:val="28"/>
          <w:sz w:val="28"/>
          <w:szCs w:val="28"/>
          <w:rtl w:val="true"/>
          <w:lang w:bidi="ar-SA"/>
        </w:rPr>
        <w:t>الشيخ رافد عساف التميمي</w:t>
      </w:r>
    </w:p>
    <w:p>
      <w:pPr>
        <w:pStyle w:val="BookText"/>
        <w:rPr/>
      </w:pPr>
      <w:r>
        <w:rPr>
          <w:rFonts w:ascii="Amiri" w:hAnsi="Amiri" w:eastAsia="Amiri" w:cs="Amiri"/>
          <w:color w:val="111111"/>
          <w:sz w:val="28"/>
          <w:sz w:val="28"/>
          <w:szCs w:val="28"/>
          <w:rtl w:val="true"/>
          <w:lang w:bidi="ar-SA"/>
        </w:rPr>
        <w:t>المقابلة وتقويم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عدنان الطائي</w:t>
      </w:r>
    </w:p>
    <w:p>
      <w:pPr>
        <w:pStyle w:val="BookText"/>
        <w:rPr/>
      </w:pPr>
      <w:r>
        <w:rPr>
          <w:rFonts w:ascii="Amiri" w:hAnsi="Amiri" w:eastAsia="Amiri" w:cs="Amiri"/>
          <w:color w:val="111111"/>
          <w:sz w:val="28"/>
          <w:sz w:val="28"/>
          <w:szCs w:val="28"/>
          <w:rtl w:val="true"/>
          <w:lang w:bidi="ar-SA"/>
        </w:rPr>
        <w:t>الشيخ عصام السعيد</w:t>
      </w:r>
    </w:p>
    <w:p>
      <w:pPr>
        <w:pStyle w:val="BookText"/>
        <w:rPr/>
      </w:pPr>
      <w:r>
        <w:rPr>
          <w:rFonts w:ascii="Amiri" w:hAnsi="Amiri" w:eastAsia="Amiri" w:cs="Amiri"/>
          <w:color w:val="111111"/>
          <w:sz w:val="28"/>
          <w:sz w:val="28"/>
          <w:szCs w:val="28"/>
          <w:rtl w:val="true"/>
          <w:lang w:bidi="ar-SA"/>
        </w:rPr>
        <w:t>الشيخ مصطفى الدالي</w:t>
      </w:r>
    </w:p>
    <w:p>
      <w:pPr>
        <w:pStyle w:val="BookText"/>
        <w:rPr/>
      </w:pPr>
      <w:r>
        <w:rPr>
          <w:rFonts w:ascii="Amiri" w:hAnsi="Amiri" w:eastAsia="Amiri" w:cs="Amiri"/>
          <w:color w:val="111111"/>
          <w:sz w:val="28"/>
          <w:sz w:val="28"/>
          <w:szCs w:val="28"/>
          <w:rtl w:val="true"/>
          <w:lang w:bidi="ar-SA"/>
        </w:rPr>
        <w:t>التصميم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الزهرة الطائي</w:t>
      </w:r>
    </w:p>
    <w:p>
      <w:pPr>
        <w:pStyle w:val="BookText"/>
        <w:rPr/>
      </w:pPr>
      <w:r>
        <w:rPr>
          <w:rFonts w:ascii="IRNazanin" w:hAnsi="IRNazanin" w:eastAsia="IRNazanin"/>
          <w:color w:val="111111"/>
          <w:sz w:val="28"/>
          <w:sz w:val="28"/>
          <w:szCs w:val="28"/>
          <w:rtl w:val="true"/>
          <w:lang w:bidi="fa-IR"/>
        </w:rPr>
        <w:t>الإشراف العام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سماحة الشيخ علي الفتلاوي</w:t>
      </w:r>
    </w:p>
    <w:p>
      <w:pPr>
        <w:pStyle w:val="BookText"/>
        <w:rPr/>
      </w:pPr>
      <w:r>
        <w:rPr>
          <w:rFonts w:ascii="Amiri" w:hAnsi="Amiri" w:eastAsia="Amiri" w:cs="Amiri"/>
          <w:color w:val="111111"/>
          <w:sz w:val="28"/>
          <w:sz w:val="28"/>
          <w:szCs w:val="28"/>
          <w:rtl w:val="true"/>
          <w:lang w:bidi="ar-SA"/>
        </w:rPr>
        <w:t>إدارة المركز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الشيخ باقر الساعدي</w:t>
      </w:r>
    </w:p>
    <w:p>
      <w:pPr>
        <w:pStyle w:val="BookText"/>
        <w:rPr/>
      </w:pPr>
      <w:r>
        <w:rPr>
          <w:rFonts w:ascii="Amiri" w:hAnsi="Amiri" w:eastAsia="Amiri" w:cs="Amiri"/>
          <w:color w:val="111111"/>
          <w:sz w:val="28"/>
          <w:sz w:val="28"/>
          <w:szCs w:val="28"/>
          <w:rtl w:val="true"/>
          <w:lang w:bidi="ar-SA"/>
        </w:rPr>
        <w:t>معاونية المركز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الشيخ عباس الحمداوي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الهاشمي للإبداع </w:t>
      </w:r>
      <w:bookmarkStart w:id="7" w:name="pg7540_66540"/>
    </w:p>
    <w:p>
      <w:pPr>
        <w:pStyle w:val="Heading2"/>
        <w:numPr>
          <w:ilvl w:val="1"/>
          <w:numId w:val="1"/>
        </w:numPr>
        <w:rPr/>
      </w:pPr>
      <w:bookmarkStart w:id="8" w:name="__RefHeading___Toc2792694_1051229030"/>
      <w:bookmarkStart w:id="9" w:name="_Toc3"/>
      <w:bookmarkEnd w:id="7"/>
      <w:bookmarkEnd w:id="8"/>
      <w:r>
        <w:rPr>
          <w:rtl w:val="true"/>
        </w:rPr>
        <w:t>هوية المجلّة</w:t>
      </w:r>
      <w:r>
        <w:rPr>
          <w:rtl w:val="true"/>
        </w:rPr>
        <w:t>:</w:t>
      </w:r>
      <w:bookmarkEnd w:id="9"/>
    </w:p>
    <w:p>
      <w:pPr>
        <w:pStyle w:val="BookText"/>
        <w:rPr/>
      </w:pPr>
      <w:r>
        <w:rPr>
          <w:rFonts w:ascii="Amiri" w:hAnsi="Amiri" w:eastAsia="Amiri" w:cs="Amiri"/>
          <w:color w:val="111111"/>
          <w:sz w:val="28"/>
          <w:sz w:val="28"/>
          <w:szCs w:val="28"/>
          <w:rtl w:val="true"/>
          <w:lang w:bidi="ar-SA"/>
        </w:rPr>
        <w:t>مجلّة علمية فصلية تخصصيّة تعنى بالبحوث المتخصّصة في مجال النهضة الحسينيّة، وكذا الدراسات العلمية في حقول المعرفة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عن مركز الدراسات التخصصيّة في النهضة الحسينيّة في النجف الأشرف، التابع لقسم الشؤون الفكريّة في العتبة الحسينيّة المقدّسة</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2792696_1051229030"/>
      <w:bookmarkStart w:id="11" w:name="_Toc4"/>
      <w:bookmarkEnd w:id="10"/>
      <w:r>
        <w:rPr>
          <w:rtl w:val="true"/>
        </w:rPr>
        <w:t>اهتمام المجلّة</w:t>
      </w:r>
      <w:r>
        <w:rPr>
          <w:rtl w:val="true"/>
        </w:rPr>
        <w:t>:</w:t>
      </w:r>
      <w:bookmarkEnd w:id="11"/>
    </w:p>
    <w:p>
      <w:pPr>
        <w:pStyle w:val="BookText"/>
        <w:rPr/>
      </w:pPr>
      <w:r>
        <w:rPr>
          <w:rFonts w:ascii="Amiri" w:hAnsi="Amiri" w:eastAsia="Amiri" w:cs="Amiri"/>
          <w:color w:val="111111"/>
          <w:sz w:val="28"/>
          <w:sz w:val="28"/>
          <w:szCs w:val="28"/>
          <w:rtl w:val="true"/>
          <w:lang w:bidi="ar-SA"/>
        </w:rPr>
        <w:t>تهتمّ المجلّة بنشر معالم وآفاق الفكر الحسيني وتسليط الضوء على تاريخ النهضة الحسينيّة وتراثها، وكذا إبراز الجوانب الإنسانية والاجتماعية والفقهية والأدبية في تلك النهضة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تهتمّ المجلّة أيضاً باستقطاب ونشر البحوث والدراسات الدينيّة التخصّصية ذات الجوانب التجديديّة والإبداعيّة، وذلك في كافّة الحقول والمجالات، فتمتدّ لتشمل الدراسات القرآنية والعقديّة والفكريّة والتاريخيّة والفقهيّة، وكذا ما يرتبط بالتراث الديني، من الأدعية والزيارات والنصوص الدينيّة بشكل عام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فالمجلّة تتطلّع لاستيعاب جميع المجالات المهمّة والحسّاسة في أبواب العلوم والمعارف الدينيّة، شريطة أن تكون البحوث والدراسات متضمّنة لجوانب من الإبداع والحداثة والتجديد، مع حفظ روح الأصالة والتأسيس</w:t>
      </w:r>
      <w:r>
        <w:rPr>
          <w:rFonts w:eastAsia="Amiri" w:cs="Amiri" w:ascii="Amiri" w:hAnsi="Amiri"/>
          <w:color w:val="111111"/>
          <w:sz w:val="28"/>
          <w:szCs w:val="28"/>
          <w:rtl w:val="true"/>
          <w:lang w:bidi="ar-SA"/>
        </w:rPr>
        <w:t xml:space="preserve">. </w:t>
      </w:r>
      <w:bookmarkStart w:id="12" w:name="pg7540_66541"/>
    </w:p>
    <w:p>
      <w:pPr>
        <w:pStyle w:val="Heading2"/>
        <w:numPr>
          <w:ilvl w:val="1"/>
          <w:numId w:val="1"/>
        </w:numPr>
        <w:rPr/>
      </w:pPr>
      <w:bookmarkStart w:id="13" w:name="__RefHeading___Toc2792698_1051229030"/>
      <w:bookmarkStart w:id="14" w:name="_Toc5"/>
      <w:bookmarkEnd w:id="12"/>
      <w:bookmarkEnd w:id="13"/>
      <w:r>
        <w:rPr>
          <w:rtl w:val="true"/>
        </w:rPr>
        <w:t>أهداف المجلّة</w:t>
      </w:r>
      <w:r>
        <w:rPr>
          <w:rtl w:val="true"/>
        </w:rPr>
        <w:t>:</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إعطاء رؤية واضحة حول معالم النهضة الحسينيّة من خلال البحوث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أهداف وثقافة النهضة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التراث الديني والحسيني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نافذة علميّة لتفعيل جانب الإبداع والتجديد والتأصيل الفكري في كافة حقول المعرفة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الانفتاح على الواقع العلمي والفكري لدى العلماء والأساتذة والمفكرين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 الأقلام الرائدة، وتطوير الطاقات العلمية الواعدة، واستقطاب البحوث والدراسات والمقالات العلميّة القيّمة لنشرها تعميماً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فسح المجال أمام الباحثين والمفكرين لنشر بحوثهم ودراساتهم، لتكون المجلّة رافداً من روافد تزكية العلم والمعرفة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التصدّي للإجابة عن الشبهات والإشكاليات والقراءات غير الموزونة حول الدين بصورة عامّة والنهضة الحسينيّة بصورة خاصّة</w:t>
      </w:r>
      <w:r>
        <w:rPr>
          <w:rFonts w:eastAsia="Amiri" w:cs="Amiri" w:ascii="Amiri" w:hAnsi="Amiri"/>
          <w:color w:val="111111"/>
          <w:sz w:val="28"/>
          <w:szCs w:val="28"/>
          <w:rtl w:val="true"/>
          <w:lang w:bidi="ar-SA"/>
        </w:rPr>
        <w:t xml:space="preserve">. </w:t>
      </w:r>
      <w:bookmarkStart w:id="15" w:name="pg7540_66542"/>
    </w:p>
    <w:p>
      <w:pPr>
        <w:pStyle w:val="Heading2"/>
        <w:numPr>
          <w:ilvl w:val="1"/>
          <w:numId w:val="1"/>
        </w:numPr>
        <w:rPr/>
      </w:pPr>
      <w:bookmarkStart w:id="16" w:name="__RefHeading___Toc2792700_1051229030"/>
      <w:bookmarkStart w:id="17" w:name="_Toc6"/>
      <w:bookmarkEnd w:id="15"/>
      <w:bookmarkEnd w:id="16"/>
      <w:r>
        <w:rPr>
          <w:rtl w:val="true"/>
        </w:rPr>
        <w:t>ضوابط النشر</w:t>
      </w:r>
      <w:bookmarkEnd w:id="17"/>
    </w:p>
    <w:p>
      <w:pPr>
        <w:pStyle w:val="BookText"/>
        <w:rPr/>
      </w:pPr>
      <w:r>
        <w:rPr>
          <w:rFonts w:ascii="Amiri" w:hAnsi="Amiri" w:eastAsia="Amiri" w:cs="Amiri"/>
          <w:color w:val="111111"/>
          <w:sz w:val="28"/>
          <w:sz w:val="28"/>
          <w:szCs w:val="28"/>
          <w:rtl w:val="true"/>
          <w:lang w:bidi="ar-SA"/>
        </w:rPr>
        <w:t>تدعو المجلة العلماء والأساتذة والباحثين وكل من لديه اهتمام في مجال الكتابة والتحقيق إلى رفدها بنتاجاتهم القيّمة، على أمل ملاحظة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البحوث مرتبطة باختصاص المجلّة وأركانها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تكون منشورة أو بصدد النشر في كتاب أو 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ضمن المناهج العلمية المتبعة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بحوثاً مبتكرة وبلغة 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البحث على قرص ليزري فيما لو كان منضداًً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النشر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الأفكار المطروحة لا تعبر بالضرورة عن رأي المجلّة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تعاد البحوث لأصحابها نشرت أم لم تنشر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يخضع ترتيب البحوث لاعتبارات 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إجراء التعديلات والتلخيصات اللازمة من صلاحيات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للمجلة حق إعادة نشر البحث أو المقال في كتاب أو ضمن كتاب منفصل، مع الحفاظ على نصه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تحسب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المجلة تتبع نظام المكافآت لأصحاب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الأولويّة في المجلّة للمقالات والبحوث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المجلة غير ملزمة بنشر ما يقل عن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أو يزيد عن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للمجلة فرع في مدينة قم المقدسة</w:t>
      </w:r>
      <w:r>
        <w:rPr>
          <w:rFonts w:eastAsia="Amiri" w:cs="Amiri" w:ascii="Amiri" w:hAnsi="Amiri"/>
          <w:color w:val="111111"/>
          <w:sz w:val="28"/>
          <w:szCs w:val="28"/>
          <w:rtl w:val="true"/>
          <w:lang w:bidi="ar-SA"/>
        </w:rPr>
        <w:t xml:space="preserve">. </w:t>
      </w:r>
      <w:bookmarkStart w:id="18" w:name="pg7540_66543"/>
    </w:p>
    <w:p>
      <w:pPr>
        <w:pStyle w:val="Heading2"/>
        <w:numPr>
          <w:ilvl w:val="1"/>
          <w:numId w:val="1"/>
        </w:numPr>
        <w:rPr/>
      </w:pPr>
      <w:bookmarkStart w:id="19" w:name="__RefHeading___Toc2792702_1051229030"/>
      <w:bookmarkStart w:id="20" w:name="_Toc7"/>
      <w:bookmarkEnd w:id="18"/>
      <w:bookmarkEnd w:id="19"/>
      <w:r>
        <w:rPr>
          <w:rtl w:val="true"/>
        </w:rPr>
        <w:t>مراكز النشر</w:t>
      </w:r>
      <w:r>
        <w:rPr>
          <w:rtl w:val="true"/>
        </w:rPr>
        <w:t>:</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المعرض الدائم للروضة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الدائم في العتبة الحسينية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الهادي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فدك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كذرخان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الهاشمي</w:t>
      </w:r>
      <w:r>
        <w:rPr>
          <w:rFonts w:eastAsia="Amiri" w:cs="Amiri" w:ascii="Amiri" w:hAnsi="Amiri"/>
          <w:color w:val="111111"/>
          <w:sz w:val="28"/>
          <w:szCs w:val="28"/>
          <w:rtl w:val="true"/>
          <w:lang w:bidi="ar-SA"/>
        </w:rPr>
        <w:t xml:space="preserve">. </w:t>
      </w:r>
      <w:bookmarkStart w:id="21" w:name="pg7540_66544"/>
    </w:p>
    <w:p>
      <w:pPr>
        <w:pStyle w:val="Heading2"/>
        <w:numPr>
          <w:ilvl w:val="1"/>
          <w:numId w:val="1"/>
        </w:numPr>
        <w:rPr/>
      </w:pPr>
      <w:bookmarkStart w:id="22" w:name="__RefHeading___Toc2792704_1051229030"/>
      <w:bookmarkStart w:id="23" w:name="_Toc8"/>
      <w:bookmarkEnd w:id="21"/>
      <w:bookmarkEnd w:id="22"/>
      <w:r>
        <w:rPr>
          <w:rtl w:val="true"/>
        </w:rPr>
        <w:t>المحتویات</w:t>
      </w:r>
      <w:bookmarkEnd w:id="23"/>
    </w:p>
    <w:p>
      <w:pPr>
        <w:pStyle w:val="BookText"/>
        <w:rPr/>
      </w:pPr>
      <w:r>
        <w:rPr>
          <w:rFonts w:ascii="Amiri" w:hAnsi="Amiri" w:eastAsia="Amiri" w:cs="Amiri"/>
          <w:color w:val="111111"/>
          <w:sz w:val="28"/>
          <w:sz w:val="28"/>
          <w:szCs w:val="28"/>
          <w:rtl w:val="true"/>
          <w:lang w:bidi="ar-SA"/>
        </w:rPr>
        <w:t>مقال التحرير</w:t>
      </w:r>
    </w:p>
    <w:p>
      <w:pPr>
        <w:pStyle w:val="BookText"/>
        <w:rPr/>
      </w:pPr>
      <w:r>
        <w:rPr>
          <w:rFonts w:ascii="Amiri" w:hAnsi="Amiri" w:eastAsia="Amiri" w:cs="Amiri"/>
          <w:color w:val="111111"/>
          <w:sz w:val="28"/>
          <w:sz w:val="28"/>
          <w:szCs w:val="28"/>
          <w:rtl w:val="true"/>
          <w:lang w:bidi="ar-SA"/>
        </w:rPr>
        <w:t xml:space="preserve">التفريط في الأهداف والمبادئ السياسية للنهضة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الأسباب والمبررات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التحرير</w:t>
      </w:r>
    </w:p>
    <w:p>
      <w:pPr>
        <w:pStyle w:val="BookText"/>
        <w:rPr/>
      </w:pPr>
      <w:r>
        <w:rPr>
          <w:rFonts w:ascii="Amiri" w:hAnsi="Amiri" w:eastAsia="Amiri" w:cs="Amiri"/>
          <w:color w:val="111111"/>
          <w:sz w:val="28"/>
          <w:sz w:val="28"/>
          <w:szCs w:val="28"/>
          <w:rtl w:val="true"/>
          <w:lang w:bidi="ar-SA"/>
        </w:rPr>
        <w:t xml:space="preserve">التفريط في الأهداف والمبادئ السياسية للنهضة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الأسباب والمبررات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قيصر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دراسات في آفاق النهضة الحسينية</w:t>
      </w:r>
    </w:p>
    <w:p>
      <w:pPr>
        <w:pStyle w:val="BookText"/>
        <w:rPr/>
      </w:pPr>
      <w:r>
        <w:rPr>
          <w:rFonts w:ascii="Amiri" w:hAnsi="Amiri" w:eastAsia="Amiri" w:cs="Amiri"/>
          <w:color w:val="111111"/>
          <w:sz w:val="28"/>
          <w:sz w:val="28"/>
          <w:szCs w:val="28"/>
          <w:rtl w:val="true"/>
          <w:lang w:bidi="ar-SA"/>
        </w:rPr>
        <w:t xml:space="preserve">خصائص الخطاب العاشورائي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 الخطاب والمزاوجة بين العاطفة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العلامة الشيخ معين دقيق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النهضة الحسينية بين انتكاسة الأمة وإيقاظها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حاتم البخاتي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شهداء الطف وتفدية المعصوم لهم</w:t>
      </w:r>
    </w:p>
    <w:p>
      <w:pPr>
        <w:pStyle w:val="BookText"/>
        <w:rPr/>
      </w:pPr>
      <w:r>
        <w:rPr>
          <w:rFonts w:ascii="Amiri" w:hAnsi="Amiri" w:eastAsia="Amiri" w:cs="Amiri"/>
          <w:color w:val="111111"/>
          <w:sz w:val="28"/>
          <w:sz w:val="28"/>
          <w:szCs w:val="28"/>
          <w:rtl w:val="true"/>
          <w:lang w:bidi="ar-SA"/>
        </w:rPr>
        <w:t xml:space="preserve">الشيخ صباح عباس الساعدي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نصوص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في السند وصراحة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لؤي المنصوري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دراسات في تاريخ وتراث النهضة الحسينية</w:t>
      </w:r>
    </w:p>
    <w:p>
      <w:pPr>
        <w:pStyle w:val="BookText"/>
        <w:rPr/>
      </w:pPr>
      <w:r>
        <w:rPr>
          <w:rFonts w:ascii="Amiri" w:hAnsi="Amiri" w:eastAsia="Amiri" w:cs="Amiri"/>
          <w:color w:val="111111"/>
          <w:sz w:val="28"/>
          <w:sz w:val="28"/>
          <w:szCs w:val="28"/>
          <w:rtl w:val="true"/>
          <w:lang w:bidi="ar-SA"/>
        </w:rPr>
        <w:t xml:space="preserve">مراسيم العزاء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نقدية في مذكرات الأجانب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رسول جعفريان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مسلسل الحسن والحسين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التشويه المتعمد للحقائق التاريخية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حازم الميالي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فقه النهضة الحسينية</w:t>
      </w:r>
    </w:p>
    <w:p>
      <w:pPr>
        <w:pStyle w:val="BookText"/>
        <w:rPr/>
      </w:pPr>
      <w:r>
        <w:rPr>
          <w:rFonts w:ascii="Amiri" w:hAnsi="Amiri" w:eastAsia="Amiri" w:cs="Amiri"/>
          <w:color w:val="111111"/>
          <w:sz w:val="28"/>
          <w:sz w:val="28"/>
          <w:szCs w:val="28"/>
          <w:rtl w:val="true"/>
          <w:lang w:bidi="ar-SA"/>
        </w:rPr>
        <w:t>لسان الحال في أدب الطف بين المشروعية والمنع</w:t>
      </w:r>
    </w:p>
    <w:p>
      <w:pPr>
        <w:pStyle w:val="BookText"/>
        <w:rPr/>
      </w:pPr>
      <w:r>
        <w:rPr>
          <w:rFonts w:ascii="Amiri" w:hAnsi="Amiri" w:eastAsia="Amiri" w:cs="Amiri"/>
          <w:color w:val="111111"/>
          <w:sz w:val="28"/>
          <w:sz w:val="28"/>
          <w:szCs w:val="28"/>
          <w:rtl w:val="true"/>
          <w:lang w:bidi="ar-SA"/>
        </w:rPr>
        <w:t xml:space="preserve">الشيخ مشتاق طالب الساعدي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وجوب زيارة الإمام الحسين عَلیه السَلام</w:t>
      </w:r>
    </w:p>
    <w:p>
      <w:pPr>
        <w:pStyle w:val="BookText"/>
        <w:rPr/>
      </w:pPr>
      <w:r>
        <w:rPr>
          <w:rFonts w:ascii="Amiri" w:hAnsi="Amiri" w:eastAsia="Amiri" w:cs="Amiri"/>
          <w:color w:val="111111"/>
          <w:sz w:val="28"/>
          <w:sz w:val="28"/>
          <w:szCs w:val="28"/>
          <w:rtl w:val="true"/>
          <w:lang w:bidi="ar-SA"/>
        </w:rPr>
        <w:t xml:space="preserve">الشيخ رافد عساف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دراسات دينية</w:t>
      </w:r>
    </w:p>
    <w:p>
      <w:pPr>
        <w:pStyle w:val="BookText"/>
        <w:rPr/>
      </w:pPr>
      <w:r>
        <w:rPr>
          <w:rFonts w:ascii="Amiri" w:hAnsi="Amiri" w:eastAsia="Amiri" w:cs="Amiri"/>
          <w:color w:val="111111"/>
          <w:sz w:val="28"/>
          <w:sz w:val="28"/>
          <w:szCs w:val="28"/>
          <w:rtl w:val="true"/>
          <w:lang w:bidi="ar-SA"/>
        </w:rPr>
        <w:t xml:space="preserve">حديث أنا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لآراء ابن تيمية والمعلمي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عبد الحسن الدوخي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تجليات الحاكمية والعدل الإلهي في قصة العبد الصالح</w:t>
      </w:r>
    </w:p>
    <w:p>
      <w:pPr>
        <w:pStyle w:val="BookText"/>
        <w:rPr/>
      </w:pPr>
      <w:r>
        <w:rPr>
          <w:rFonts w:ascii="Amiri" w:hAnsi="Amiri" w:eastAsia="Amiri" w:cs="Amiri"/>
          <w:color w:val="111111"/>
          <w:sz w:val="28"/>
          <w:sz w:val="28"/>
          <w:szCs w:val="28"/>
          <w:rtl w:val="true"/>
          <w:lang w:bidi="ar-SA"/>
        </w:rPr>
        <w:t xml:space="preserve">الأستاذ سعد عطية حسوني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مرقد ومزار عبيد الله بن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تاريخية تحليلية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أحمد عبد السادة الساعدي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24" w:name="pg7540_66546"/>
    </w:p>
    <w:p>
      <w:pPr>
        <w:pStyle w:val="Heading2"/>
        <w:numPr>
          <w:ilvl w:val="1"/>
          <w:numId w:val="1"/>
        </w:numPr>
        <w:rPr/>
      </w:pPr>
      <w:bookmarkStart w:id="25" w:name="__RefHeading___Toc2792706_1051229030"/>
      <w:bookmarkStart w:id="26" w:name="_Toc9"/>
      <w:bookmarkEnd w:id="24"/>
      <w:bookmarkEnd w:id="25"/>
      <w:r>
        <w:rPr>
          <w:rtl w:val="true"/>
        </w:rPr>
        <w:t>مَقَالُ التَحريِر</w:t>
      </w:r>
      <w:bookmarkEnd w:id="26"/>
    </w:p>
    <w:p>
      <w:pPr>
        <w:pStyle w:val="Heading3"/>
        <w:numPr>
          <w:ilvl w:val="2"/>
          <w:numId w:val="1"/>
        </w:numPr>
        <w:rPr/>
      </w:pPr>
      <w:bookmarkStart w:id="27" w:name="__RefHeading___Toc2792708_1051229030"/>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التَفرِیطُ في الَاهدَافِ وَ المَبَادِیَ السِیَاسِیَّة لِلنَهضَة الحُسَینیَه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في الاسبَابِ وَ المُبَّرراتِ الشيخ قيصر التميمي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7540_66548"/>
      <w:bookmarkStart w:id="30" w:name="pg7540_66548"/>
      <w:bookmarkEnd w:id="30"/>
    </w:p>
    <w:p>
      <w:pPr>
        <w:pStyle w:val="Heading3"/>
        <w:numPr>
          <w:ilvl w:val="2"/>
          <w:numId w:val="1"/>
        </w:numPr>
        <w:rPr/>
      </w:pPr>
      <w:bookmarkStart w:id="31" w:name="pg7540_66548"/>
      <w:bookmarkStart w:id="32" w:name="__RefHeading___Toc2792710_1051229030"/>
      <w:bookmarkStart w:id="33" w:name="_Toc11"/>
      <w:bookmarkEnd w:id="31"/>
      <w:bookmarkEnd w:id="32"/>
      <w:r>
        <w:rPr>
          <w:rtl w:val="true"/>
        </w:rPr>
        <w:t>التَفرِیطُ في الَاهدَافِ وَ المَبَادِیَ السِیَاسِیَّة لِلنَهضَة الحُسَینیَه قِراءَةٌ في الاسبَابِ وَ المُبَّرراتِ الشيخ قيصر التميمي</w:t>
      </w:r>
      <w:bookmarkEnd w:id="33"/>
    </w:p>
    <w:p>
      <w:pPr>
        <w:pStyle w:val="Heading4"/>
        <w:numPr>
          <w:ilvl w:val="3"/>
          <w:numId w:val="1"/>
        </w:numPr>
        <w:rPr/>
      </w:pPr>
      <w:bookmarkStart w:id="34" w:name="__RefHeading___Toc2792712_1051229030"/>
      <w:bookmarkStart w:id="35" w:name="_Toc12"/>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كثيرة هي الغايات والأهداف والأسباب التي دعت الإمام الحسين عَلیه السَلام للقيام بوجه الطغاة والخروج على واقع المسلمين المنحدر والمتدهور آنذاك، وقد كُتبت جملة وافرة من البحوث والمقالات لإحصاء واستقصاء تلك الدوافع والغايات، وأُحصيت في هذا المجال أهداف غيبية ورساليّة واجتماعيّة وسياسيّة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لكننا نلمس في الوقت ذاته تفريطاً وإهمالاً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قصد أو من دون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دراسة وتحليل الدوافع السياسيّة في المشروع الحسيني، فلا نرى الضوء مسلّطاً عليها في البحوث والدراسات العلمية والتخصّصية، مع أنها تشغل حيّزاً كبيراً في نصوص وتراث النهضة الحسينيّة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والنقطة التي نهتمّ بدراستها في هذا المقال هي معرفة أسباب إهمال أو ضمور البحوث التحليليّة والكتابات العلميّة حول الدوافع السياسيّة في حركة الإمام الحسين عَلیه السَلام ، وليس غرضنا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الولوج مفصلاً في تحديد تلك الدوافع أو تفسيرها أو الاستدلال عليها، ولكننا مع ذلك سنعرض للقارئ الكريم في هذا المقال، لقطات سريعة وموجزة عن الأهداف والمبادئ الحسينيّة السياسيّة مع </w:t>
      </w:r>
      <w:bookmarkStart w:id="36" w:name="pg7540_66549"/>
    </w:p>
    <w:p>
      <w:pPr>
        <w:pStyle w:val="BookText"/>
        <w:rPr/>
      </w:pPr>
      <w:bookmarkEnd w:id="36"/>
      <w:r>
        <w:rPr>
          <w:rFonts w:ascii="Amiri" w:hAnsi="Amiri" w:eastAsia="Amiri" w:cs="Amiri"/>
          <w:color w:val="111111"/>
          <w:sz w:val="28"/>
          <w:sz w:val="28"/>
          <w:szCs w:val="28"/>
          <w:rtl w:val="true"/>
          <w:lang w:bidi="ar-SA"/>
        </w:rPr>
        <w:t>بعض شواهدها، لتشكيل صورة إجماليّة ننطلق من خلالها لمعرفة أسباب التغافل والإعراض عن الدراسات التحليليّة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792714_1051229030"/>
      <w:bookmarkStart w:id="38" w:name="_Toc13"/>
      <w:bookmarkEnd w:id="37"/>
      <w:r>
        <w:rPr>
          <w:rtl w:val="true"/>
        </w:rPr>
        <w:t xml:space="preserve">الأهداف السياسيّة لنهضة الإمام الحسين عَلیه السَلام </w:t>
      </w:r>
      <w:r>
        <w:rPr>
          <w:rtl w:val="true"/>
        </w:rPr>
        <w:t>:</w:t>
      </w:r>
      <w:bookmarkEnd w:id="38"/>
    </w:p>
    <w:p>
      <w:pPr>
        <w:pStyle w:val="Heading5"/>
        <w:numPr>
          <w:ilvl w:val="4"/>
          <w:numId w:val="1"/>
        </w:numPr>
        <w:rPr/>
      </w:pPr>
      <w:bookmarkStart w:id="39" w:name="__RefHeading___Toc2792716_1051229030"/>
      <w:bookmarkStart w:id="40" w:name="_Toc14"/>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 xml:space="preserve">الذي نعتقده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الأهداف الأساسّية والمحوريّة لخروج الإمام الحسين عَلیه السَلام هي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الإطاحة بالنظام الحاكم وإسقاط الحكومة الأمويّة الظالمة؛ لعدم شرعيتها، ولخروجها وانحرافها عن جادّة الدين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إعلاء معالم الدين، والتصدّي للظلم والجور والفساد، ونصرة المظلومين، والأمر بالمعروف والنهي عن المنكر، والعمل في إطار التغيير والإصلاح الاجتماعي، وتطبيق الشريعة الإسلامية، وإجراء الحدود الإلهية، والالتزام بالقوانين والأحكام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حكم الله في الأرض، وتشكيل حكومة الإسلام الشرعيّة بقيادة خليفة الله في خلقه، الواجد لجميع شرائط الإمامة والقيادة،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بدافع من أداء المسؤولية المُلقاة على عاتق المعصومين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الخلافة واستلام الحكم والسطلة حقّهم المشروع،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الطريق الشرعي بالنسبة للمعصوم لإقامة حكم الله في الأرض</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الأهداف السياسية الكبيرة والخطيرة والحسّاسة، التي كُتبت شعاراً بارزاً ونصّاً واضحاً على لوحات ولافتات النهضة الحسينيّة، وهي التي أثارت حفيظة الدولة الأموية وأقضّت مضاجع الساسة والحُكّام على مرّ الزمان</w:t>
      </w:r>
      <w:r>
        <w:rPr>
          <w:rFonts w:eastAsia="Amiri" w:cs="Amiri" w:ascii="Amiri" w:hAnsi="Amiri"/>
          <w:color w:val="111111"/>
          <w:sz w:val="28"/>
          <w:szCs w:val="28"/>
          <w:rtl w:val="true"/>
          <w:lang w:bidi="ar-SA"/>
        </w:rPr>
        <w:t xml:space="preserve">. </w:t>
      </w:r>
      <w:bookmarkStart w:id="41" w:name="pg7540_66550"/>
    </w:p>
    <w:p>
      <w:pPr>
        <w:pStyle w:val="BookText"/>
        <w:rPr/>
      </w:pPr>
      <w:bookmarkEnd w:id="41"/>
      <w:r>
        <w:rPr>
          <w:rFonts w:ascii="Amiri" w:hAnsi="Amiri" w:eastAsia="Amiri" w:cs="Amiri"/>
          <w:color w:val="111111"/>
          <w:sz w:val="28"/>
          <w:sz w:val="28"/>
          <w:szCs w:val="28"/>
          <w:rtl w:val="true"/>
          <w:lang w:bidi="ar-SA"/>
        </w:rPr>
        <w:t>وتندرج أيضاً تحت تلك الأهداف الكلّية أهداف سياسية ثانوية وتفصيلية، سنشير إلى أهمّها في ثنايا ما يأتي من بحوث وعناوين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والأدلة على تلك الأهداف السياسية كثيرة جدّاً، ذَكر جانباً منها بعض الباحثين</w:t>
      </w:r>
      <w:r>
        <w:rPr>
          <w:rStyle w:val="FootnoteAnchor"/>
          <w:rtl w:val="true"/>
        </w:rPr>
        <w:footnoteReference w:id="3"/>
      </w:r>
      <w:r>
        <w:rPr>
          <w:rFonts w:ascii="Amiri" w:hAnsi="Amiri" w:eastAsia="Amiri" w:cs="Amiri"/>
          <w:color w:val="111111"/>
          <w:sz w:val="28"/>
          <w:sz w:val="28"/>
          <w:szCs w:val="28"/>
          <w:rtl w:val="true"/>
          <w:lang w:bidi="ar-SA"/>
        </w:rPr>
        <w:t>، ونستعرض فيما يلي بعضها بنحو الإجمال</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2792718_1051229030"/>
      <w:bookmarkStart w:id="43" w:name="_Toc15"/>
      <w:bookmarkEnd w:id="42"/>
      <w:r>
        <w:rPr/>
        <w:t>1</w:t>
      </w:r>
      <w:r>
        <w:rPr>
          <w:rtl w:val="true"/>
        </w:rPr>
        <w:t xml:space="preserve">- </w:t>
      </w:r>
      <w:r>
        <w:rPr>
          <w:rtl w:val="true"/>
        </w:rPr>
        <w:t>نصوص الإصلاح</w:t>
      </w:r>
      <w:bookmarkEnd w:id="43"/>
    </w:p>
    <w:p>
      <w:pPr>
        <w:pStyle w:val="BookText"/>
        <w:rPr/>
      </w:pPr>
      <w:r>
        <w:rPr>
          <w:rFonts w:ascii="IRNazanin" w:hAnsi="IRNazanin" w:eastAsia="IRNazanin"/>
          <w:color w:val="111111"/>
          <w:sz w:val="28"/>
          <w:sz w:val="28"/>
          <w:szCs w:val="28"/>
          <w:rtl w:val="true"/>
          <w:lang w:bidi="fa-IR"/>
        </w:rPr>
        <w:t xml:space="preserve">لقد بيَّن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مطلع نهضته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أهدافها إصلاح الأُمّة وتوعيتها، وإرجاعها إلى صوابها واستقامتها، بعد أن انحرفت وشطّ بها حُكّامها عن طريق الهداية، وكذا رفع الظلم والجور عنها، وإشاعة العدل والقسط فيها، وإلزامها بالحدود والأحكام والفرائض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كلّها مبادئ وأهداف سياسية، لا يمكن إنجازها والقيام بها من دون التصادم والمواجهة مع السلطات الحاكمة والظالمة آنذاك، ولا يمكن اختزالها بكونها أهدافاً اجتماعية ودينية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المُصرّحة بذلك كثيرة ومتنوّعة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النهضة الخالد الذي رفعه الإمام عَلیه السَلام في منطلق نهضته، حينما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وَأَنّي لَمْ أَخْرُجْ أشِراً وَلا بَطِراً، وَلا مُفْسِداً وَلا ظالِماً، وَإِنَّما خَرَجْتُ لِطَلَبِ الإصْلاحِ في أُمَّةِ جَدّي صلّى الله عليه و آله و سلّم ، أُريدُ أَنْ آمُرَ بِالمَعْرُوفِ وَأَنْهى عَنِ المُنْكَرِ، وَأَسيرَ بِسيرَةِ جَدّي‘ وَأبي عَليِّ بْنِ أَبي طالِب عَلیه السَلام ، فَمَنْ قَبِلَني بِقَبُولِ الحَقِّ فَاللهُ أَوْلى بِالحَقِّ، وَمَنْ رَدَّ عَلَيَّ هذا أَصْبِرُ، حَتّى يَقْضِيَ اللهُ بَيْني وَبَيْنَ القَومِ بِالحَقِّ، وَهُوَ خَيْرُ الحاكِمينَ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شك أن من سيرتهما عَلیهِماالسَّلام التصدّي للأُمور السياسية، وتشييد وبناء معالم الحكومة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الإصلاح في الأُمّة والأمر بالمعروف والنهي عن المنكر بشكل مطلق، لا يتيسّر من دون القيام بأعباء السلطة والحكم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ما كانَ مِنّا تَنافُساً في سُلْطان، وَلاَ الِتماساً مِنْ فُضُولِ الحُطامِ؛ وَلكِنْ لِنُرِيَ المَعالِمَ مِنْ دينِكَ، وَنُظْهِرَ الإصْلاحَ في بِلادِكَ، وَيَأمَنَ المَظْلُومُونَ مِنْ عِبادِكَ، وَيُعْمَلَ بِفَرائِضِكَ وَسُنَنِكَ وَأَحْكامِكَ، فَإِنْ لَمْ تَنْصُرُونا وَتُنْصِفُونا قَوِيَ الظَّلَمَةُ عَلَيْكُمْ، وَعَمِلُوا في إِطْفاءِ نُورِ نَبِيِّكُمْ، وَحَسْبُنَا اللهُ وَعَلَيْهِ تَوَكَّلْنا وَإِلَيْهِ أَنَبْنَا وَإِلَيْهِ المَصيرُ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يُعدّ هذا النص من غرر النصوص المنسوبة إليه عَلیه السَلام ، وقد تضمّن مجموعة من الأهداف السياسية للنهضة المباركة،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النهضة لم تكن من أجل التنافس الشخصي على السلطة والحكم، ولا لأجل نيل المنافع الدنيوية والفئوية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أهداف النهضة إعلاء معالم الدين وشعائره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الإصلاح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الظلم ونصرة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الأُمّة نحو الالتزام بالشريعة الإسلامية، والعمل بالفرائض والسنن والأحكام الإلهية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مطالبة الأُمَّة بالإنصاف من نفسها لنصرة أهل البيت علیهم السلام ، وشدّ أزرهم، وإضعاف جانب أعدائهم؛ لئلا يعمل الأعداء على إطفاء نور الله تعالى ونور </w:t>
      </w:r>
      <w:bookmarkStart w:id="44" w:name="pg7540_66552"/>
    </w:p>
    <w:p>
      <w:pPr>
        <w:pStyle w:val="BookText"/>
        <w:rPr/>
      </w:pPr>
      <w:bookmarkEnd w:id="44"/>
      <w:r>
        <w:rPr>
          <w:rFonts w:ascii="Amiri" w:hAnsi="Amiri" w:eastAsia="Amiri" w:cs="Amiri"/>
          <w:color w:val="111111"/>
          <w:sz w:val="28"/>
          <w:sz w:val="28"/>
          <w:szCs w:val="28"/>
          <w:rtl w:val="true"/>
          <w:lang w:bidi="ar-SA"/>
        </w:rPr>
        <w:t xml:space="preserve">نبيّه الأكرم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من أبرز المبادئ السياسية للنهضة، كما هو واضح</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2792720_1051229030"/>
      <w:bookmarkStart w:id="46" w:name="_Toc16"/>
      <w:bookmarkEnd w:id="45"/>
      <w:r>
        <w:rPr/>
        <w:t>2</w:t>
      </w:r>
      <w:r>
        <w:rPr>
          <w:rtl w:val="true"/>
        </w:rPr>
        <w:t xml:space="preserve">- </w:t>
      </w:r>
      <w:r>
        <w:rPr>
          <w:rtl w:val="true"/>
        </w:rPr>
        <w:t>إرسال مسلم بن عقيل إلى الكوفة</w:t>
      </w:r>
      <w:bookmarkEnd w:id="46"/>
    </w:p>
    <w:p>
      <w:pPr>
        <w:pStyle w:val="BookText"/>
        <w:rPr/>
      </w:pPr>
      <w:r>
        <w:rPr>
          <w:rFonts w:ascii="Amiri" w:hAnsi="Amiri" w:eastAsia="Amiri" w:cs="Amiri"/>
          <w:color w:val="111111"/>
          <w:sz w:val="28"/>
          <w:sz w:val="28"/>
          <w:szCs w:val="28"/>
          <w:rtl w:val="true"/>
          <w:lang w:bidi="ar-SA"/>
        </w:rPr>
        <w:t xml:space="preserve">لقد أرسل الإمام الحسين عَلیه السَلام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أيام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وثقته من أهل بيته مسلم بن عقيل، للتفاوض مع أهلها وأخذ البيعة منهم، حاملاً إليهم كتاب الحسين عَلیه السَلام الذي تضمّن كل مبادئ الثورة والتغيير السياسي والاجتماعي؛ حيث كتب فيه عَلیه السَلام إلى أهل الكوفة بعد مراسلتهم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حُسَيْنِ بْنِ عَليّ إِلىَ المَلأ مِنَ المُؤْمنينَ وَالمُسْلِمينَ، أَمّا بَعْدُ، فَإِنَّ هانِئاً وَسَعيداً قَدِما عَلَيَّ بِكُتُبِكُمْ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آخِرَ مَنْ قَدِمَ عَلَيَّ مِنْ رُسُلِكُمْ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فَهِمْتُ كُلَّ الَّذي اقْتَصَصْتُمْ وَذَكَرْتُم، وَمَقالَةَ 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عَلَيْنا إِمامٌ فَأَقْبِلْ؛ لَعَلَّ الله أَنْ يَجْمَعَنا بِكَ عَلَى الهُدى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بَعَثْتُ إِلَيْكُمْ أَخي وَابْنَ عَمّي وَثِقَتي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وَأَمَرْتُهُ أَنْ يَكْتُبَ إِلَيَّ بِحالِكُمْ وَأَمْرِكُمْ وَرَأيِكُمْ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أَجْمَعَ رَأْيُ مَلَئِكُمْ، وَذَوِي الفَضْلِ وَالحِجى مِنْكُمْ، عَلى مِثْلِ ما قَدِمَتْ عَلَيَّ بِهِ رُسُلُكُمْ، وَقَرَأْتُ في كُتُبِكُمْ؛ أَقْدِمُ عَلَيْكُمْ وَشيكاً إِنْ شاءَ اللهُ، فَلَعَمْري، مَا الإْمامُ إِلاَّ العامِلُ بِالكِتابِ، وَالآخِذُ بِالقِسْطِ، وَالدّائِنُ بِالحَقِّ، وَالحابِسُ نَفْسَهُ عَلى ذاتِ الله، وَالسَّلامُ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أمره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بتقوى الله، وكتمان أمره واللطف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أن نزل مسلم بن عقيل الكوفة، وقرأ على أهلها كتاب الحسين عَلیه السَلام وهم يبكون، بايعه ثمانية عشر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مسلم إلى الحسين بن علي عَلیه السَلام يخبره ببيعة ثمانية عشر ألفاً</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ويحثُّه على القدوم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 أن هذه كلها خطوات سياسية وعسكرية مهمّة لنيل السلطة وإقامة الحكم الإلهي بقيادة خليفة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الإمام عَلیه السَلام واضح في أنه إنما أرسل مسلم بن عقيل لتلبية طلب أهل الكوفة، وأخذ البيعة منهم؛ ليكون خليفة هدىً لهم وإماماً عليهم، وقد أكّد عَلیه السَلام هذا المطلب الكوفي بقوله 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الإْمامُ إِلاَّ العامِلُ بِالكِتابِ، وَالآخِذُ بِالقِسْطِ، وَالدّائِنُ بِالحَقِّ، وَالحابِسُ نَفْسَهُ عَلى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ويتمثّل ذلك بشخصه المبارك؛ لأنه الإمام المعصوم، الحائز على جميع الكمالات، والعامل بكل تلك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تضمّنت كتب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استجاب لها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الثورة والتغيير ولغة السلاح وعسكرة المجتمع للخروج بوجه النظام الأُموي الفاسد؛ حيث كتبوا إليه عَلیه السَلام بعد هلاك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قصم عدوك الجبار العنيد، الذي انتزى على هذه الأُمَّة؛ فابتزَّها أمرها، وغصبها فيئها، وتأمّر عليها بغير رضًى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علينا إمام، فأقبِلْ لعل الله أن يجمعنا بك على الحق، والنعمان بن بشير في قصر الإمارة لسنا نجمع معه في جمعة، ولا نخرج معه إلى عيد، ولو قد بلغنا أنك أقبلت إلينا أخرجناه حتى نُلحِقه بالشام</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رسالة أُخرى كتبوا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ينتظرونك لا رأي لهم غيرك</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فأقدِمْ على جند لك مجنّدة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هذا التحرّك وحالة التجاوب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المتبادل، يُعدّ في لغة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أبجديّاتها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شروعاً في الانقلاب على السلطة الحاكمة؛ حيث تضمّنت خطوات ومشاهد ساخنة، وخطابات سياسية بالغة الخطورة وحساسّة </w:t>
      </w:r>
      <w:bookmarkStart w:id="47" w:name="pg7540_66554"/>
    </w:p>
    <w:p>
      <w:pPr>
        <w:pStyle w:val="BookText"/>
        <w:rPr/>
      </w:pPr>
      <w:bookmarkEnd w:id="47"/>
      <w:r>
        <w:rPr>
          <w:rFonts w:ascii="Amiri" w:hAnsi="Amiri" w:eastAsia="Amiri" w:cs="Amiri"/>
          <w:color w:val="111111"/>
          <w:sz w:val="28"/>
          <w:sz w:val="28"/>
          <w:szCs w:val="28"/>
          <w:rtl w:val="true"/>
          <w:lang w:bidi="ar-SA"/>
        </w:rPr>
        <w:t>للغاية، وقد سجّلها التاريخ وثيقة للثورة، وشاهداً كبيراً على الحركة السياسية الواسعة والأُسلوب العسكري المنظّم والمدروس في مفاصل وآفاق النهضة الحسينية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2792722_1051229030"/>
      <w:bookmarkStart w:id="49" w:name="_Toc17"/>
      <w:bookmarkEnd w:id="48"/>
      <w:r>
        <w:rPr/>
        <w:t>3</w:t>
      </w:r>
      <w:r>
        <w:rPr>
          <w:rtl w:val="true"/>
        </w:rPr>
        <w:t xml:space="preserve">- </w:t>
      </w:r>
      <w:r>
        <w:rPr>
          <w:rtl w:val="true"/>
        </w:rPr>
        <w:t>أقوال الإمام الحسين عَلیه السَلام وتصريحاته ومكاتباته ورسائله السياسية</w:t>
      </w:r>
      <w:bookmarkEnd w:id="49"/>
    </w:p>
    <w:p>
      <w:pPr>
        <w:pStyle w:val="Heading6"/>
        <w:numPr>
          <w:ilvl w:val="5"/>
          <w:numId w:val="1"/>
        </w:numPr>
        <w:rPr/>
      </w:pPr>
      <w:bookmarkStart w:id="50" w:name="__RefHeading___Toc2792724_1051229030"/>
      <w:bookmarkStart w:id="51" w:name="_Toc18"/>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لقد احتوت نصوص النهضة وتراثها أقوالاً للإمام عَلیه السَلام ، وتصريحات ومكاتبات ورسائل سياسية مناهضة للحكم الأُموي الفاسد، وداعية الأُمّة لدعم ومساندة مشروع الخلافة والإمامة الإلهية، المتمثّل بشخصه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كثيرة ومتنوّعة المضامين، وجديرة بالدراسة والتحقيق</w:t>
      </w:r>
      <w:r>
        <w:rPr>
          <w:rFonts w:eastAsia="IRNazanin" w:cs="IRNazanin"/>
          <w:color w:val="111111"/>
          <w:sz w:val="28"/>
          <w:szCs w:val="28"/>
          <w:rtl w:val="true"/>
          <w:lang w:bidi="fa-IR"/>
        </w:rPr>
        <w:t>:</w:t>
      </w:r>
    </w:p>
    <w:p>
      <w:pPr>
        <w:pStyle w:val="Heading6"/>
        <w:numPr>
          <w:ilvl w:val="5"/>
          <w:numId w:val="1"/>
        </w:numPr>
        <w:rPr/>
      </w:pPr>
      <w:bookmarkStart w:id="52" w:name="__RefHeading___Toc2792726_1051229030"/>
      <w:bookmarkStart w:id="53" w:name="_Toc19"/>
      <w:bookmarkEnd w:id="52"/>
      <w:r>
        <w:rPr>
          <w:rtl w:val="true"/>
        </w:rPr>
        <w:t>منها</w:t>
      </w:r>
      <w:r>
        <w:rPr>
          <w:rtl w:val="true"/>
        </w:rPr>
        <w:t xml:space="preserve">: </w:t>
      </w:r>
      <w:r>
        <w:rPr>
          <w:rtl w:val="true"/>
        </w:rPr>
        <w:t>رسائله عَلیه السَلام إلى أهل الكوفة</w:t>
      </w:r>
      <w:bookmarkEnd w:id="53"/>
    </w:p>
    <w:p>
      <w:pPr>
        <w:pStyle w:val="BookText"/>
        <w:rPr/>
      </w:pPr>
      <w:r>
        <w:rPr>
          <w:rFonts w:ascii="Amiri" w:hAnsi="Amiri" w:eastAsia="Amiri" w:cs="Amiri"/>
          <w:color w:val="111111"/>
          <w:sz w:val="28"/>
          <w:sz w:val="28"/>
          <w:szCs w:val="28"/>
          <w:rtl w:val="true"/>
          <w:lang w:bidi="ar-SA"/>
        </w:rPr>
        <w:t xml:space="preserve">وهي رسائل عديدة، قد أشرنا إلى بعضها في نصّ سابق، ومن تلك الرسائل أيضاً ما كتبه عَلیه السَلام إلى أهل الكوفة، بعد أن حثّه مسلم بن عقيل على القدوم والمجيء إليها؛ حيث كتب فيها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كِتابَ مُسْلِم بْنِ عَقيل جاءَني يُخْبِرُني فيهِ بِحُسْنِ رَأْيِكُمْ، وَاجْتِماعِ مَلَئِكُمْ عَلى نَصْرِنا، وَالطَّلَبِ بِحَقِّنا، فَسَأَلْتُ اللهَ أَنْ يُحْسِنَ لَنَا الصُّنْعَ، وَأَنْ يُثيبَكُمْ عَلى ذلِكَ أَعْظَمَ الأجْرِ، وَقَدْ شَخَصْتُ إِلَيْكُمْ مِنْ مَكَّةَ يَومَ الثُّلاثاءِ لِثمان مَضَيْنَ مِنْ ذِي الحَجَّةِ يَوْمَ التَّرْوِيَةِ، فَإِذا قَدِمَ عَلَيْكُمْ رَسُولي فَاكْمِشُوا</w:t>
      </w:r>
      <w:r>
        <w:rPr>
          <w:rStyle w:val="FootnoteAnchor"/>
          <w:rtl w:val="true"/>
        </w:rPr>
        <w:footnoteReference w:id="11"/>
      </w:r>
      <w:r>
        <w:rPr>
          <w:rFonts w:ascii="Amiri" w:hAnsi="Amiri" w:eastAsia="Amiri" w:cs="Amiri"/>
          <w:color w:val="111111"/>
          <w:sz w:val="28"/>
          <w:sz w:val="28"/>
          <w:szCs w:val="28"/>
          <w:rtl w:val="true"/>
          <w:lang w:bidi="ar-SA"/>
        </w:rPr>
        <w:t>أَمْرَكُمْ وَجِدُّوا؛ فَإِنّي قادِمٌ عَلَيْكُمْ في أَيّامي هذِهِ إِنْ شاءَ اللهُ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بكتابه هذا قد حيّى في أهل الكوفة حسن رأيهم واجتماع سادتهم وكبرائهم على نصرة أهل البيت علیهم السلام ، والمطالبة بحقّهم الشرعي في الخلافة الإلهية وقيادة الأُمَّة وإدارة شؤونها بالقسط والعدل والمساواة</w:t>
      </w:r>
      <w:r>
        <w:rPr>
          <w:rFonts w:eastAsia="IRNazanin" w:cs="IRNazanin"/>
          <w:color w:val="111111"/>
          <w:sz w:val="28"/>
          <w:szCs w:val="28"/>
          <w:rtl w:val="true"/>
          <w:lang w:bidi="fa-IR"/>
        </w:rPr>
        <w:t xml:space="preserve">. </w:t>
      </w:r>
      <w:bookmarkStart w:id="54" w:name="pg7540_66555"/>
    </w:p>
    <w:p>
      <w:pPr>
        <w:pStyle w:val="BookText"/>
        <w:rPr/>
      </w:pPr>
      <w:bookmarkEnd w:id="54"/>
      <w:r>
        <w:rPr>
          <w:rFonts w:ascii="IRNazanin" w:hAnsi="IRNazanin" w:eastAsia="IRNazanin"/>
          <w:color w:val="111111"/>
          <w:sz w:val="28"/>
          <w:sz w:val="28"/>
          <w:szCs w:val="28"/>
          <w:rtl w:val="true"/>
          <w:lang w:bidi="fa-IR"/>
        </w:rPr>
        <w:t>ثم حثّهم عَلیه السَلام أيضاً على أن يُهيّئوا الأرضية الصالحة والظروف المناسبة لذلك التحرّك، وأن يمضوا في أمرهم هذا، ويُسرعوا في إتمامه وإنجازه بعزم وجدّ واجتهاد، وأخبرهم بأنه سيُلبّي دعوتهم، وأنه قادم إليهم في الأيام القليلة المقبلة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نفهمه من هذا النص هو أن الإمام عَلیه السَلام يستنهض أهل الكوفة، ويُشجّعهم ويحثّهم على الشروع في تنظيم وتشكيل معالم الحكومة المقبلة، وأن يمضوا في أمرهم بعزم، وأمرهم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طرد واليَ الكوفة وحاكمها من قِبَل الأُمويين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والبيعة له عَلیه السَلام حاكماً وإماماً وقائداً لحركتهم ومسيرتهم، وتشكيل قوّة عسكرية وجنود مجنّدة لمواجهة قادة الشام وجيوشها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يكشف عن طبيعة التحرّك السياسي المنظّم الذي بدأه الإمام عَلیه السَلام مع أهل الكوفة، والذي اتسع وظهر حتى بلغ صداه الشام</w:t>
      </w:r>
      <w:r>
        <w:rPr>
          <w:rFonts w:eastAsia="IRNazanin" w:cs="IRNazanin"/>
          <w:color w:val="111111"/>
          <w:sz w:val="28"/>
          <w:szCs w:val="28"/>
          <w:rtl w:val="true"/>
          <w:lang w:bidi="fa-IR"/>
        </w:rPr>
        <w:t>.</w:t>
      </w:r>
    </w:p>
    <w:p>
      <w:pPr>
        <w:pStyle w:val="Heading6"/>
        <w:numPr>
          <w:ilvl w:val="5"/>
          <w:numId w:val="1"/>
        </w:numPr>
        <w:rPr/>
      </w:pPr>
      <w:bookmarkStart w:id="55" w:name="__RefHeading___Toc2792728_1051229030"/>
      <w:bookmarkStart w:id="56" w:name="_Toc20"/>
      <w:bookmarkEnd w:id="55"/>
      <w:r>
        <w:rPr>
          <w:rtl w:val="true"/>
        </w:rPr>
        <w:t>ومنها</w:t>
      </w:r>
      <w:r>
        <w:rPr>
          <w:rtl w:val="true"/>
        </w:rPr>
        <w:t xml:space="preserve">: </w:t>
      </w:r>
      <w:r>
        <w:rPr>
          <w:rtl w:val="true"/>
        </w:rPr>
        <w:t>مكاتباته عَلیه السَلام إلى أشراف البصرة ووجهائها</w:t>
      </w:r>
      <w:bookmarkEnd w:id="56"/>
    </w:p>
    <w:p>
      <w:pPr>
        <w:pStyle w:val="BookText"/>
        <w:rPr/>
      </w:pPr>
      <w:r>
        <w:rPr>
          <w:rFonts w:ascii="Amiri" w:hAnsi="Amiri" w:eastAsia="Amiri" w:cs="Amiri"/>
          <w:color w:val="111111"/>
          <w:sz w:val="28"/>
          <w:sz w:val="28"/>
          <w:szCs w:val="28"/>
          <w:rtl w:val="true"/>
          <w:lang w:bidi="ar-SA"/>
        </w:rPr>
        <w:t>بعث الإمام عَلیه السَلام في إطار حركته ونهضته مجموعة من الكتب إلى أشراف البصرة ووجهائها، يحثّهم على طاعته وامتثال أوامره؛ حيث كتب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أَدْعُوكُمْ إِلى كِتابِ اللهِ وَسُنَّةِ نَبيِّهِ صلّى الله عليه و آله و سلّم ؛ فَإِنَّ السُنَّةَ قَدْ أُميتَتْ، وَإِنَّ البِدْعَةَ قَدْ أُحيِيَتْ، وَإِنْ تَسْمَعُوا قَوْلي وَتُطيعُوا أَمْري أَهْدِكُمْ سَبيلَ الرَّشادِ</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دعوة صريحة منه عَلیه السَلام إلى إطاعة أوامره، والعمل على إقامة حكم الله في الأرض، في ضوء الكتاب والسنَّة، بقيادة الخليفة الشرعي المنصوب من قِبَل الله تعالى</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فهمه يزيد بن مسعود النهشلي حينما قرأ كتاب الإمام الحسين عَلیه السَلام ؛ فخاطب قومه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الحسين بن عليّ، ابن بنت رسول الله صلّى الله عليه و آله و سلّم ، ذو الشرف </w:t>
      </w:r>
    </w:p>
    <w:p>
      <w:pPr>
        <w:pStyle w:val="BookText"/>
        <w:rPr/>
      </w:pPr>
      <w:r>
        <w:rPr>
          <w:rFonts w:ascii="Amiri" w:hAnsi="Amiri" w:eastAsia="Amiri" w:cs="Amiri"/>
          <w:color w:val="111111"/>
          <w:sz w:val="28"/>
          <w:sz w:val="28"/>
          <w:szCs w:val="28"/>
          <w:rtl w:val="true"/>
          <w:lang w:bidi="ar-SA"/>
        </w:rPr>
        <w:t xml:space="preserve">الأصيل، والرأي الأثيل، له فضل لا يوصف، وعلم لا يُنزف، وهو أوْلى بهذا الأمر؛ لسابقته وسنّه وقِدَمِه وقرابته، يعطف على الصغير، ويحنو على الكبير؛ فأكرمْ به راعي رعيَّة، وإمام قوم وجبت للّه به الحجّة، وبلغت به الموعظة، فلا تعشوا عن نور الحقّ، ولا تسكعوا في وهدة الباطل، فقد كان صخر بن قيس انخذل بكم يوم الجمل؛ فاغسلوها بخروجكم إلى ابن رسول الله ونصرته، والله، لا يقصّر أحد عن نصرته إلّا أورثه الله الذلّ في ولده، والقلّة في عشيرته، وها أنا ذا قد لبست للحرب لامَتَها، وادّرعت لها بدرعها، مَن لم يُقتل يمت، ومَن يهرب لم يفت، فأحسنوا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الجواب</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كلامه هذا نفهم بوضوح أن الكتاب الذي بعثه الإمام عَلیه السَلام إلى أهل البصرة، كان يدعوهم فيه إلى نصرة ولي الأمر، والدفاع عن حريم الإمامة الإلهية، وإقامة حكم الله في الأرض بقيادته عَلیه السَلام ؛ لأنه الأحقّ والأجدر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كتب النهشلي إلى الإمام الحسين عَلیه السَلام في جواب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أمّا بعد، فقد وصل إليّ كتابك، وفهمت ما ندبتني إليه ودعوتني له، من الأخذ بحظّي من طاعتك والفوز بنصيبي من نصرتك، وإنّ الله لم يُخلِ الأرض قطّ من عامل عليها بخير، أو دليل على سبيل نجاة، وأنتم حجّة الله على خلقه، ووديعته في أرضه، تفرّعتم من زيتونة أحمديّة هو أصلها، وأنتم فرعها، فأقْدِمْ سعدت بأسعد طائر؛ فقد ذلّلت لك أعناق بني تميم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الكلام من النهشلي يكشف عن أفقه الواسع، وقراءته السياسية الدقيقة للأحداث، وفهمه العميق لمضامين الكتاب الذي بعثه له الإمام الحسين عَلیه السَلام ؛ حيث فهم منه وجوب البيعة والطاعة والنصرة لحجة الله على خلقه؛ فأبدى استعداده </w:t>
      </w:r>
      <w:bookmarkStart w:id="57" w:name="pg7540_66557"/>
    </w:p>
    <w:p>
      <w:pPr>
        <w:pStyle w:val="BookText"/>
        <w:rPr/>
      </w:pPr>
      <w:bookmarkEnd w:id="57"/>
      <w:r>
        <w:rPr>
          <w:rFonts w:ascii="IRNazanin" w:hAnsi="IRNazanin" w:eastAsia="IRNazanin"/>
          <w:color w:val="111111"/>
          <w:sz w:val="28"/>
          <w:sz w:val="28"/>
          <w:szCs w:val="28"/>
          <w:rtl w:val="true"/>
          <w:lang w:bidi="fa-IR"/>
        </w:rPr>
        <w:t>لذلك، وهيّأ الناس وجيّش الجيوش، ثم دعا الإمام عَلیه السَلام للقدوم وتولّي الأمر</w:t>
      </w:r>
      <w:r>
        <w:rPr>
          <w:rFonts w:eastAsia="IRNazanin" w:cs="IRNazanin"/>
          <w:color w:val="111111"/>
          <w:sz w:val="28"/>
          <w:szCs w:val="28"/>
          <w:rtl w:val="true"/>
          <w:lang w:bidi="fa-IR"/>
        </w:rPr>
        <w:t>.</w:t>
      </w:r>
    </w:p>
    <w:p>
      <w:pPr>
        <w:pStyle w:val="Heading6"/>
        <w:numPr>
          <w:ilvl w:val="5"/>
          <w:numId w:val="1"/>
        </w:numPr>
        <w:rPr/>
      </w:pPr>
      <w:bookmarkStart w:id="58" w:name="__RefHeading___Toc2792730_1051229030"/>
      <w:bookmarkStart w:id="59" w:name="_Toc21"/>
      <w:bookmarkEnd w:id="58"/>
      <w:r>
        <w:rPr>
          <w:rtl w:val="true"/>
        </w:rPr>
        <w:t>ومنها</w:t>
      </w:r>
      <w:r>
        <w:rPr>
          <w:rtl w:val="true"/>
        </w:rPr>
        <w:t xml:space="preserve">: </w:t>
      </w:r>
      <w:r>
        <w:rPr>
          <w:rtl w:val="true"/>
        </w:rPr>
        <w:t>أقواله وأحاديثه عَلیه السَلام في طريقه إلى الكوفة</w:t>
      </w:r>
      <w:bookmarkEnd w:id="59"/>
    </w:p>
    <w:p>
      <w:pPr>
        <w:pStyle w:val="BookText"/>
        <w:rPr/>
      </w:pPr>
      <w:r>
        <w:rPr>
          <w:rFonts w:ascii="Amiri" w:hAnsi="Amiri" w:eastAsia="Amiri" w:cs="Amiri"/>
          <w:color w:val="111111"/>
          <w:sz w:val="28"/>
          <w:sz w:val="28"/>
          <w:szCs w:val="28"/>
          <w:rtl w:val="true"/>
          <w:lang w:bidi="ar-SA"/>
        </w:rPr>
        <w:t>وهي كثيرة جدّاً، نذكر منها للاستشهاد على سبيل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 لعبد الله بن مطيع العدوي حينما سأله عن سبب قدومه إلى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الكُوفَةِ كَتَبُوا إِلَيَّ يَسْأَلُونَني أَنْ أَقْدِمَ عَلَيْهِمْ؛ لِما رَجَوا مِنْ إِحْياءِ مَعالِمِ الحَقِّ وَإِماتَةِ البِدَعِ</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صريح أيضاً في كون تولّي الخلافة والقيادة لإدارة شؤون البلاد، وإحياء معالم الحقّ فيها، والقضاء على الباطل وإماتة البدع، من أهم الأهداف التي دعت الإمام عَلیه السَلام للقيام بنهضته الإصلاحية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أيضاً قوله عَلیه السَلام مخاطباً جيش الحرّ بن يزيد الرياحي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فَإِنَّكُمْ إِنْ تَتَّقُوا وَتَعْرِفُوا الحَقَّ لأَهْلِهِ يَكُنْ أَرْضى لِلهِ، وَنَحْنُ أَهْلُ البَيْتِ وَأَوْلى بِوِلايَةِ هذَا الأَمْرِ عَلَيْكُمْ مِنْ هؤُلاءِ المُدَّعينَ ما لَيْسَ لَهُمْ، وَالسّائِرينَ فيكُمْ بِالجَوْرِ وَالعُدْوانِ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وخاطبهم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هؤُلاءِ قَدْ لَزِمُوا طاعَةَ الشَّيْطانِ، وَتَرَكُوا طاعَةَ الرَّحْمنِ، وَأَظْهَرُوا الفَسادَ، وَعَطَّلُوا الحُدُودَ، وَاسْتَأْثَرُوا بِالفَيءِ، وَأَحَلّوُا حَرامَ اللهِ، وَحَرَّمُوا حَلالَهُ، وَأَنَا أَحَقُّ 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أَتَتْني كُتُبُكُمْ، وَقَدِمَتْ عَلَيَّ رُسُلُكُمْ بِبَيْعَتِكُمْ أَنَّكُمْ لا تُسْلِمُوني وَلا تَخْذُلُوني؛ فَإِنْ تَمَّمْتُمْ عَلىِّ بَيْعَتَكُمْ تُصيبُوا رُشْدَكُمْ، فَأَنَا الحُسَيْنُ بْنُ عَلِيٍّ، وَابْنُ فاطِمَةَ بِنْتِ رَسُولِ اللهِ صلّى الله عليه و آله و سلّم ، نَفْسي مَعَ أَنْفُسِكُمْ، وَأَهْلي مَعْ أَهْليكُمْ، فَلَكُمْ </w:t>
      </w:r>
    </w:p>
    <w:p>
      <w:pPr>
        <w:pStyle w:val="BookText"/>
        <w:rPr/>
      </w:pPr>
      <w:r>
        <w:rPr>
          <w:rFonts w:ascii="Amiri" w:hAnsi="Amiri" w:eastAsia="Amiri" w:cs="Amiri"/>
          <w:color w:val="111111"/>
          <w:sz w:val="28"/>
          <w:sz w:val="28"/>
          <w:szCs w:val="28"/>
          <w:rtl w:val="true"/>
          <w:lang w:bidi="ar-SA"/>
        </w:rPr>
        <w:t>فِيَّ أُسْوَةٌ، وَإِنْ لَمْ تَفْعَلُوا وَنَقَضْتُمْ عَهْدَكُمْ، وَخَلَعْتُمْ بَيْعَتي مِنْ أَعْناقِكُمْ، فَلَعَمْري، ما هِيَ لَكُمْ بِنُكْر</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أَحَقُّ مِنْ غَيْري بِهذاَ الأَمْرِ؛ لِقَرابَتي مِنْ رَسُولِ اللهِ صلّى الله عليه و آله و سلّم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النصوص الشريفة قد استوعبت مجموعة من المبادئ والأهداف السياسية المهمّة، التي ابتنت عليها النهضة الحسينية المباركة، نؤشّر فيما يلي بعضها بنحو الإجمال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البيت علیهم السلام هم الأحقّ والأوْلى بالخلافة والولاية على الناس من ولاة الجور الحاليين، وهم بنو أُميّة وولاتهم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معرفة هذا الحق، والدفاع عنه، وانتزاعه من أيدي الطغاة، والعمل على وضعه في أهله ومحلّه، وهم أهل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 عَلیه السَلام هو الأحقّ بالعمل على تغيير الحكم، وإقامة الحكومة الإلهية العادلة، ورفع الظلم والجور والفساد، وتطبيق الشريعة الإسلامية، وإجراء الحدود والأحكام الشرعية، وتحسين الظروف المعيشية والاقتصادية، بتقسيم الفيء والموازنة المالية بالقسط بين الناس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تذكير أهل الكوفة بكتبهم، وبيعتهم له عَلیه السَلام ، وحثّهم على الاستمرار والثبات عليها، وأن في ذلك رشدهم وصلاح أمرهم، كما حذّرهم أيضاً من نقض البيعة والتنصّل عنها</w:t>
      </w:r>
      <w:r>
        <w:rPr>
          <w:rFonts w:eastAsia="IRNazanin" w:cs="IRNazanin"/>
          <w:color w:val="111111"/>
          <w:sz w:val="28"/>
          <w:szCs w:val="28"/>
          <w:rtl w:val="true"/>
          <w:lang w:bidi="fa-IR"/>
        </w:rPr>
        <w:t xml:space="preserve">. </w:t>
      </w:r>
      <w:bookmarkStart w:id="60" w:name="pg7540_66559"/>
    </w:p>
    <w:p>
      <w:pPr>
        <w:pStyle w:val="BookText"/>
        <w:rPr/>
      </w:pPr>
      <w:bookmarkEnd w:id="6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القائمة المتمثّلة بيزيد بن معاوية، ليست شرعية، وهي خلافة جور وعدوان، ينبغي الخروج عليها لإسقاطها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الأُمور وغيرها كلّها أُسس ومبادئ مهمّة ساهمت في رسم خارطة التغيير السياسي آنذاك؛ ينبغي بحثها ودراستها والتدقيق فيها</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2792732_1051229030"/>
      <w:bookmarkStart w:id="62" w:name="_Toc22"/>
      <w:bookmarkEnd w:id="61"/>
      <w:r>
        <w:rPr>
          <w:rtl w:val="true"/>
        </w:rPr>
        <w:t>ومنها</w:t>
      </w:r>
      <w:r>
        <w:rPr>
          <w:rtl w:val="true"/>
        </w:rPr>
        <w:t xml:space="preserve">: </w:t>
      </w:r>
      <w:r>
        <w:rPr>
          <w:rtl w:val="true"/>
        </w:rPr>
        <w:t>أقواله وأحاديثه عَلیه السَلام في كربلاء</w:t>
      </w:r>
      <w:bookmarkEnd w:id="62"/>
    </w:p>
    <w:p>
      <w:pPr>
        <w:pStyle w:val="BookText"/>
        <w:rPr/>
      </w:pPr>
      <w:r>
        <w:rPr>
          <w:rFonts w:ascii="Amiri" w:hAnsi="Amiri" w:eastAsia="Amiri" w:cs="Amiri"/>
          <w:color w:val="111111"/>
          <w:sz w:val="28"/>
          <w:sz w:val="28"/>
          <w:szCs w:val="28"/>
          <w:rtl w:val="true"/>
          <w:lang w:bidi="ar-SA"/>
        </w:rPr>
        <w:t>وهي أقوال وأحاديث كثيرة أيضاً، من جملتها قوله عَلیه السَلام لعمر بن سعد، قائد الجيش الأُموي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فاتْرُك هؤُلاءِ وَكُنْ مَعي؛ فَإِنَّي أقْرّبُك إلى اللهِ عزّ وجلّ</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إطار التفاوض مع ابن سعد؛ لكي يثنيه عن الحرب والقتال، بل يدعوه هو وجيشه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النصوص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للانضواء تحت راية الإصلاح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تتصور النتائج وما سيحدث لو أن ذلك الجيش الكبير بقادته وجنوده قد سمع الموعظة، وعاد إلى رُشده وصوابه، وانضمّ إلى حركة الإمام الحسين ونهضته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قوله عَلیه السَلام لجيش 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أَتَيْتُكُمْ حَتّى أتَتْني كُتُبُ أَماثِلِكُمْ بِأَنَّ السُّنَّةَ قَدْ أُميتَتْ، وَالنِّفاقَ قَدْ نَجِمَ، وَالحُدُودَ قَدْ عُطِّلَتْ؛ فَأَقْدِمْ لَعَلَّ اللهَ يُصْلِحُ بِكَ الأُمَّةَ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بموجب هذا النص يكون الحسين عَلیه السَلام قد خرج لإقامة حكم الله في الأرض، وقيادة الأُمَّة الإسلامية إلى ما فيه رشدها وصلاحها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قوله عَلیه السَلام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لَكُمْ أَيَتُهَا الجَماعَةُ وَتَرْحاً وَبُؤُساً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اسْتَصْرَخْتُمُونا </w:t>
      </w:r>
    </w:p>
    <w:p>
      <w:pPr>
        <w:pStyle w:val="BookText"/>
        <w:rPr/>
      </w:pPr>
      <w:r>
        <w:rPr>
          <w:rFonts w:ascii="Amiri" w:hAnsi="Amiri" w:eastAsia="Amiri" w:cs="Amiri"/>
          <w:color w:val="111111"/>
          <w:sz w:val="28"/>
          <w:sz w:val="28"/>
          <w:szCs w:val="28"/>
          <w:rtl w:val="true"/>
          <w:lang w:bidi="ar-SA"/>
        </w:rPr>
        <w:t>وَلهينَ، فَأَصْرَخْناكُمْ مُوْجِفينَ، فَشَحِذْتُمْ عَلَيْنا سَيْفاً كانَ في أَيْدينا، وَحَمَشْتُمْ عَلَيْنا ناراً أَضْرَمْناها عَلى عَدُوِّكُمْ وَعَدُوِّنا، فَأَصْبَحْتُمْ إِلْباً عَلى أَوْلِيائِكُمْ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المواقف والنصوص المتضافرة وغيرها الكثير، قد صدرت كلّها في إطار البُعد السياسي للنهضة، وهي تكشف بوضوح عن كون الأهداف السياسية من أهم الدوافع التي دعت الإمام الحسين عَلیه السَلام لأن يخرج وينتفض بوجه الطغاة من بني أُميَّة وأعوانهم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من هذا المنبر المبارك ندعوا العلماء والكتَّاب والباحثين والمفكّرين للتوجّه إلى هذا التراث الشريف، والنظر إليه بجدّية وموضوعية، والعمل على جمعه وتنظيمه وفهرسته ودراسته والتدقيق في مضامينه ومحتوياته، للخروج بأبحاث ونتائج وتوصيات تُناسب تراث تلك النهضة المباركة، وترسم لنا خارطة طريق في سبيل الثورة والتغيير والانقلاب على الحكومات الفاسدة والظالمة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ونحن اليوم بحاجة ماسّة إلى مثل هذا التراث، لما نعيشه من متغيرات وتحوّلات سياسية في أغلب البلدان العربية والإسلامية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في علل وأسباب الإهمال والإعراض عن مثل هذا التراث الحسيني، المرتبط بالدوافع والأهداف السياسية للنهضة الحسينية، وضمور البحوث العلمية والتحليلية في هذا المجال، فقد كان هو الباعث الأساس لكتابة هذا المقال، وسنترك الحديث عنه إلى عدد مقبل من أعداد هذه المجلّة المباركة</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7540_66562"/>
      <w:bookmarkStart w:id="64" w:name="pg7540_66562"/>
      <w:bookmarkEnd w:id="64"/>
    </w:p>
    <w:p>
      <w:pPr>
        <w:pStyle w:val="Heading2"/>
        <w:numPr>
          <w:ilvl w:val="1"/>
          <w:numId w:val="1"/>
        </w:numPr>
        <w:rPr/>
      </w:pPr>
      <w:bookmarkStart w:id="65" w:name="pg7540_66562"/>
      <w:bookmarkStart w:id="66" w:name="__RefHeading___Toc2792734_1051229030"/>
      <w:bookmarkStart w:id="67" w:name="_Toc23"/>
      <w:bookmarkEnd w:id="65"/>
      <w:bookmarkEnd w:id="66"/>
      <w:r>
        <w:rPr>
          <w:rtl w:val="true"/>
        </w:rPr>
        <w:t>دِرَاسَّاتٌ في آفَاقِ النَهضَةِ الحُسَينِيَّة</w:t>
      </w:r>
      <w:bookmarkEnd w:id="67"/>
    </w:p>
    <w:p>
      <w:pPr>
        <w:pStyle w:val="Heading3"/>
        <w:numPr>
          <w:ilvl w:val="2"/>
          <w:numId w:val="1"/>
        </w:numPr>
        <w:rPr/>
      </w:pPr>
      <w:bookmarkStart w:id="68" w:name="__RefHeading___Toc2792736_1051229030"/>
      <w:bookmarkStart w:id="69" w:name="_Toc24"/>
      <w:bookmarkEnd w:id="68"/>
      <w:r>
        <w:rPr>
          <w:rtl w:val="true"/>
        </w:rPr>
        <w:t>اشارة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الخطاب العاشورائي</w:t>
      </w:r>
    </w:p>
    <w:p>
      <w:pPr>
        <w:pStyle w:val="BookText"/>
        <w:rPr/>
      </w:pPr>
      <w:r>
        <w:rPr>
          <w:rFonts w:ascii="Amiri" w:hAnsi="Amiri" w:eastAsia="Amiri" w:cs="Amiri"/>
          <w:color w:val="111111"/>
          <w:sz w:val="28"/>
          <w:sz w:val="28"/>
          <w:szCs w:val="28"/>
          <w:rtl w:val="true"/>
          <w:lang w:bidi="ar-SA"/>
        </w:rPr>
        <w:t>تجرد الخطاب والمزاوجة بين العاطفة والعقل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 الحسينية بين انتكاسة الأمة وإيقاظها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الطف وتفدية المعصوم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البكاء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قوة في السند وصراحة في المتن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7540_66564"/>
      <w:bookmarkStart w:id="71" w:name="pg7540_66564"/>
      <w:bookmarkEnd w:id="71"/>
    </w:p>
    <w:p>
      <w:pPr>
        <w:pStyle w:val="Heading3"/>
        <w:numPr>
          <w:ilvl w:val="2"/>
          <w:numId w:val="1"/>
        </w:numPr>
        <w:rPr/>
      </w:pPr>
      <w:bookmarkStart w:id="72" w:name="pg7540_66564"/>
      <w:bookmarkStart w:id="73" w:name="__RefHeading___Toc2792738_1051229030"/>
      <w:bookmarkStart w:id="74" w:name="_Toc25"/>
      <w:bookmarkEnd w:id="72"/>
      <w:bookmarkEnd w:id="73"/>
      <w:r>
        <w:rPr>
          <w:rtl w:val="true"/>
        </w:rPr>
        <w:t>خَصَائصُ الخَطابِ العَاشُورَائي تَجَرُدُ الخِطابُ وَ المُزاوَجَةُ بَینَ الَعَاطِفةِ وَ العَقل سماحة العلامة الشيخ</w:t>
      </w:r>
      <w:r>
        <w:rPr>
          <w:rtl w:val="true"/>
        </w:rPr>
        <w:t>-</w:t>
      </w:r>
      <w:r>
        <w:rPr>
          <w:rtl w:val="true"/>
        </w:rPr>
        <w:t>معين دقيق العاملي</w:t>
      </w:r>
      <w:bookmarkEnd w:id="74"/>
    </w:p>
    <w:p>
      <w:pPr>
        <w:pStyle w:val="Heading4"/>
        <w:numPr>
          <w:ilvl w:val="3"/>
          <w:numId w:val="1"/>
        </w:numPr>
        <w:rPr/>
      </w:pPr>
      <w:bookmarkStart w:id="75" w:name="__RefHeading___Toc2792740_1051229030"/>
      <w:bookmarkStart w:id="76" w:name="_Toc26"/>
      <w:bookmarkEnd w:id="75"/>
      <w:r>
        <w:rPr>
          <w:rtl w:val="true"/>
        </w:rPr>
        <w:t>تمهيد</w:t>
      </w:r>
      <w:bookmarkEnd w:id="76"/>
    </w:p>
    <w:p>
      <w:pPr>
        <w:pStyle w:val="BookText"/>
        <w:rPr/>
      </w:pPr>
      <w:r>
        <w:rPr>
          <w:rFonts w:ascii="IRNazanin" w:hAnsi="IRNazanin" w:eastAsia="IRNazanin"/>
          <w:color w:val="111111"/>
          <w:sz w:val="28"/>
          <w:sz w:val="28"/>
          <w:szCs w:val="28"/>
          <w:rtl w:val="true"/>
          <w:lang w:bidi="fa-IR"/>
        </w:rPr>
        <w:t xml:space="preserve">الكثير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بنسيانٍ تارةً، وتناسٍ أُخرى، وجهلٍ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واقعة كربلاء وما وقع على حاشيتي الزمان قبل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على أنَّه مجرّد تراجيديا أليمة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تراجيدية كربلاء المؤكّد عليها في النصوص الواردة عن أهل البيت علیهم السلام وإنْ كانت محلاً للتركيز في حدّ ذاتها بلا إنكار، ولكن لا تمنع نفسيتها لذلك، وللثواب الجزيل المترتّب عليها أنْ نسلّط الضوء عليها من أبعادها المختلفة، ولا يمنع ما تقدّم أنْ تكون تلك التراجيدية مقدّمة مهمّة للوصول إلى أهداف 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ولتقريب الفكرة نتأمّل في نظير لذلك، أعني مسألة النوافل؛ فإنّها من المستحبات النفسية التي يترتّب عليها الثواب في حدّ ذاتها، ولكن ثوابها النفسي واستحبابها الذاتي لم يمنع من أن تكون مقدّمة لهدف أهم، وقد أُشير إلى ذلك في بعض النُّصوص</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الصدوق بإسنادٍ صحيح إلى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لَيُرْفَعُ لَهُ مِنْ صَلاتِهِ نِصْفُهَا أَوْ ثُلُثُهَا أَوْ رُبُعُهَا أَوْ خُمُسُهَا، وَمَا يُرْفَعُ لَهُ إِلاَّ مَا أَقْبَلَ </w:t>
      </w:r>
    </w:p>
    <w:p>
      <w:pPr>
        <w:pStyle w:val="BookText"/>
        <w:rPr/>
      </w:pPr>
      <w:r>
        <w:rPr>
          <w:rFonts w:ascii="Amiri" w:hAnsi="Amiri" w:eastAsia="Amiri" w:cs="Amiri"/>
          <w:color w:val="111111"/>
          <w:sz w:val="28"/>
          <w:sz w:val="28"/>
          <w:szCs w:val="28"/>
          <w:rtl w:val="true"/>
          <w:lang w:bidi="ar-SA"/>
        </w:rPr>
        <w:t>عَلَيْهِ مِنْهَا بِقَلْبِه،ِ وَإِنَّمَا أُمِرُوا بِالنَّوَافِلِ لِتَتِمَّ لَهُمْ بِهَا مَا نَقَصُوا مِنَ الفَرِيضَةِ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بإسناده إلى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لأَيِّ عِلَّةٍ أَوْجَبَ رَسُولُ الله صلّى الله عليه و آله و سلّم صَلاةَ الزَّوَالِ ثَمَانٍ قَبْلَ الظُّهْرِ وَثَمَانٍ قَبْلَ العَصْرِ؟ وَلأَيِّ عِلَّةٍ رَغَّبَ فِي وُضُوءِ المَغْرِبِ كُلَّ الرَّغْبَةِ؟ وَلأَيِّ عِلَّةٍ أَوْجَبَ الأَرْبَعَ رَكَعَاتٍ مِنْ بَعْدِ المَغْرِبِ؟ وَلأَيِّ عِلَّةٍ كَانَ يُصَلِّي صَلاةَ اللَّيْلِ فِي آخِرِ اللَّيْلِ؟ وَلا يُصَلِّي فِي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الفَرَائِضِ؛ لأَنَّ النَّاسَ لَوْ لَمْ تَكُنْ صَلاتُهُمْ إِلاَّ أَرْبَعَ رَكَعَاتِ الظُّهْرِ لَكَانُوا مُسْتَخِفِّينَ بِهَا حَتَّى كَادَ يَفُوتُهُمُ الوَقْتُ، فَلَمَّا كَانَ شَيْئاً غَيْرَ الفَرِيضَةِ أَسْرَعُوا إلى ذَلِكَ لِكَثْرَتِهِ، وَكَذَلِكَ الَّتِي مِنْ قِبَلِ العَصْرِ لِيُسْرِعُوا إلى ذَلِكَ لِكَثْرَتِهِ؛ وَذَلِكَ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سَوَّفْنَا وَنُرِيدُ أَنْ نُصَلِّيَ الزَّوَالَ يَفُوتُنَا الوَقْتُ</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هذين الخبرين دلالة واضحة على أنَّ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كونها من المستحبات النفسية، والتي يكون ثوابها على مجرّد إتيانها بشروطها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شُرّعت لتأكيد الفرائض التي هي أهمّ من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مسألة البكاء، وسكب العبرات، والتباكي، والنَّدْب، وغير ذلك من المفردات المرتبطة بتراجيدية كربلاء؛ فإنّ ذلك كلّه وإنْ كان مهمّاً في حدّ ذاته، ومطلوباً في نفسه، لكنّه مع كلّ ذلك تكمن أهمّيته القصوى في كونه مقدّمة ليبقى المجتمع في كلّ عصر ومصر متفاعلاً مع أهداف الثورة وغايات القيام بوجه الظالمين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الهدف الأقصى لاستحضار فاجعة كربلاء هو الوصول إلى الأهداف التي أرادها صاحب النهضة؛ لكي تسير الأُمم والشعوب في جميع الأزمنة والأمكنة </w:t>
      </w:r>
      <w:bookmarkStart w:id="77" w:name="pg7540_66566"/>
    </w:p>
    <w:p>
      <w:pPr>
        <w:pStyle w:val="BookText"/>
        <w:rPr/>
      </w:pPr>
      <w:bookmarkEnd w:id="77"/>
      <w:r>
        <w:rPr>
          <w:rFonts w:ascii="Amiri" w:hAnsi="Amiri" w:eastAsia="Amiri" w:cs="Amiri"/>
          <w:color w:val="111111"/>
          <w:sz w:val="28"/>
          <w:sz w:val="28"/>
          <w:szCs w:val="28"/>
          <w:rtl w:val="true"/>
          <w:lang w:bidi="ar-SA"/>
        </w:rPr>
        <w:t>على هذا النهج القويم في مقارعة الظلم ومحاربة الفساد، فدراسة الخطاب العاشورائي يحظى بأهمية كبرى في فهم واقعة عاشوراء على حقيقتها؛ لكونه هو المبرز المباشر لأهداف تلك النهضة وغاياتها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792742_1051229030"/>
      <w:bookmarkStart w:id="79" w:name="_Toc27"/>
      <w:bookmarkEnd w:id="78"/>
      <w:r>
        <w:rPr>
          <w:rtl w:val="true"/>
        </w:rPr>
        <w:t>إشكالية البحث</w:t>
      </w:r>
      <w:r>
        <w:rPr>
          <w:rtl w:val="true"/>
        </w:rPr>
        <w:t>:</w:t>
      </w:r>
      <w:bookmarkEnd w:id="79"/>
    </w:p>
    <w:p>
      <w:pPr>
        <w:pStyle w:val="BookText"/>
        <w:rPr/>
      </w:pPr>
      <w:r>
        <w:rPr>
          <w:rFonts w:ascii="Amiri" w:hAnsi="Amiri" w:eastAsia="Amiri" w:cs="Amiri"/>
          <w:color w:val="111111"/>
          <w:sz w:val="28"/>
          <w:sz w:val="28"/>
          <w:szCs w:val="28"/>
          <w:rtl w:val="true"/>
          <w:lang w:bidi="ar-SA"/>
        </w:rPr>
        <w:t>هذا، وبعد وضوح أهمّية موضوع المقال، نسلّط الضوء على أسئلته التي تتكوّن منها إشكالية البحث،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خصائص الخطاب العاشورائي؟</w:t>
      </w:r>
    </w:p>
    <w:p>
      <w:pPr>
        <w:pStyle w:val="BookText"/>
        <w:rPr/>
      </w:pPr>
      <w:r>
        <w:rPr>
          <w:rFonts w:ascii="Amiri" w:hAnsi="Amiri" w:eastAsia="Amiri" w:cs="Amiri"/>
          <w:color w:val="111111"/>
          <w:sz w:val="28"/>
          <w:sz w:val="28"/>
          <w:szCs w:val="28"/>
          <w:rtl w:val="true"/>
          <w:lang w:bidi="ar-SA"/>
        </w:rPr>
        <w:t>الأسئلة الفرعية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المقصود من الخطاب العاشورائي؟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دور الزمان في الحدث العاشورائي وتأثيره على الخطاب؟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المنحى الذي اتّجه إليه الخطاب العاشورائي من ناحية العقلانية والعاطفة؟</w:t>
      </w:r>
    </w:p>
    <w:p>
      <w:pPr>
        <w:pStyle w:val="Heading4"/>
        <w:numPr>
          <w:ilvl w:val="3"/>
          <w:numId w:val="1"/>
        </w:numPr>
        <w:rPr/>
      </w:pPr>
      <w:bookmarkStart w:id="80" w:name="__RefHeading___Toc2792744_1051229030"/>
      <w:bookmarkStart w:id="81" w:name="_Toc28"/>
      <w:bookmarkEnd w:id="80"/>
      <w:r>
        <w:rPr>
          <w:rtl w:val="true"/>
        </w:rPr>
        <w:t>المقصود من الخطاب العاشورائي</w:t>
      </w:r>
      <w:r>
        <w:rPr>
          <w:rtl w:val="true"/>
        </w:rPr>
        <w:t>:</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نقصد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العاشورائي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المقال خصوص ما صدر على لسان الإِمام الحسين عَلیه السَلام ، وفي اليوم العاشر من المحرّم، ولا نقصد به كلّ ما صدر مِمّن يرتبط بواقعة عاشوراء، سواء كان إلى طرف معسكر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يمثّله البيت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إلى معسكر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يمثّله البيت الأُموي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نقصد بهذا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خطاب صدر من الإِمام الحسين عَلیه السَلام ومَن كان في خطّه، سواء كان زمن الخطاب ومكانه عاشوراء وكربلاء، أم كان قبل ذلك، لكن في سياق السيرورة نحو النهضة الحسينية</w:t>
      </w:r>
      <w:r>
        <w:rPr>
          <w:rFonts w:eastAsia="IRNazanin" w:cs="IRNazanin"/>
          <w:color w:val="111111"/>
          <w:sz w:val="28"/>
          <w:szCs w:val="28"/>
          <w:rtl w:val="true"/>
          <w:lang w:bidi="fa-IR"/>
        </w:rPr>
        <w:t xml:space="preserve">. </w:t>
      </w:r>
      <w:bookmarkStart w:id="82" w:name="pg7540_66567"/>
    </w:p>
    <w:p>
      <w:pPr>
        <w:pStyle w:val="BookText"/>
        <w:rPr/>
      </w:pPr>
      <w:bookmarkEnd w:id="82"/>
      <w:r>
        <w:rPr>
          <w:rFonts w:ascii="IRNazanin" w:hAnsi="IRNazanin" w:eastAsia="IRNazanin"/>
          <w:color w:val="111111"/>
          <w:sz w:val="28"/>
          <w:sz w:val="28"/>
          <w:szCs w:val="28"/>
          <w:rtl w:val="true"/>
          <w:lang w:bidi="fa-IR"/>
        </w:rPr>
        <w:t xml:space="preserve">وعلى هذا الأساس؛ فكلّ خطاب صدر من الحسين عَلیه السَلام وأهل بيته، وصحبه الذين بذلوا مهجهم دونه، في إطار الوصول إلى نقطة الحسم زماناً ومكاناً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العاشر من محرّم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موضوعاً لهذه الدراسة المختصرة، ويكون البحث عن خصائصه ومقوماته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وخصائص الخطاب العاشورائي وإنْ كانت كثيرة، إِلاَّ أنَّ التركيز في هذا المقال على خصيصتين قد أُغفلتا في كثيرٍ من الكتابات حول النّهضة العاشورائية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792746_1051229030"/>
      <w:bookmarkStart w:id="84" w:name="_Toc29"/>
      <w:bookmarkEnd w:id="83"/>
      <w:r>
        <w:rPr>
          <w:rtl w:val="true"/>
        </w:rPr>
        <w:t>الخصيصة الأُولى</w:t>
      </w:r>
      <w:r>
        <w:rPr>
          <w:rtl w:val="true"/>
        </w:rPr>
        <w:t xml:space="preserve">: </w:t>
      </w:r>
      <w:r>
        <w:rPr>
          <w:rtl w:val="true"/>
        </w:rPr>
        <w:t>التجرُّد عن الزمان والمكان</w:t>
      </w:r>
      <w:bookmarkEnd w:id="84"/>
    </w:p>
    <w:p>
      <w:pPr>
        <w:pStyle w:val="BookText"/>
        <w:rPr/>
      </w:pPr>
      <w:r>
        <w:rPr>
          <w:rFonts w:ascii="Amiri" w:hAnsi="Amiri" w:eastAsia="Amiri" w:cs="Amiri"/>
          <w:color w:val="111111"/>
          <w:sz w:val="28"/>
          <w:sz w:val="28"/>
          <w:szCs w:val="28"/>
          <w:rtl w:val="true"/>
          <w:lang w:bidi="ar-SA"/>
        </w:rPr>
        <w:t xml:space="preserve">يأتي على رأس الخصائص التي يتميّز بها الخطاب الحسيني أنَّه مجرّدٌ عن الزمان والمكان، فالزمان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بدّ منه في كلّ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ظرفٍ لذلك الخطاب، من دون أنْ يغرق الخطاب في ظرفه الزماني والمكاني ويذوب فيه، بحيث لو جرّد الخطاب عن ظرفه لما كان له مدلوله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خصيصة مشتركة في كلّ كلام يصدر من متكلّم مرتبطٍ بالوحي، يخاطب الذات الإنسانية مع قطع النظر عن امتيازاتها الفردية والشخصية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فالخطاب العاشورائي نظير الخطاب الصادر من الطبيب الذي يصف الدواء لكلّ داء، من دون أنْ يكون فردية الفرد لها دخالة في وصفة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صار الخطاب العاشورائي خطاباً خالداً، ويبقى حيّاً يتجدّد على مرّ العصور واختلاف الأزمنة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 الموتُ 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مخلّدُ كلّما أخلق الزمانُ تجدّد </w:t>
      </w:r>
    </w:p>
    <w:p>
      <w:pPr>
        <w:pStyle w:val="BookText"/>
        <w:rPr/>
      </w:pPr>
      <w:r>
        <w:rPr>
          <w:rFonts w:ascii="Amiri" w:hAnsi="Amiri" w:eastAsia="Amiri" w:cs="Amiri"/>
          <w:color w:val="111111"/>
          <w:sz w:val="28"/>
          <w:sz w:val="28"/>
          <w:szCs w:val="28"/>
          <w:rtl w:val="true"/>
          <w:lang w:bidi="ar-SA"/>
        </w:rPr>
        <w:t>فالحسين وخطاباته ستبقى مناراً لكلّ حرّ في كلّ مكانٍ ليوم الحساب وقيام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الحسينُ ليوم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مناراً به 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الكائن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p>
    <w:p>
      <w:pPr>
        <w:pStyle w:val="BookText"/>
        <w:rPr/>
      </w:pPr>
      <w:r>
        <w:rPr>
          <w:rFonts w:ascii="Amiri" w:hAnsi="Amiri" w:eastAsia="Amiri" w:cs="Amiri"/>
          <w:color w:val="111111"/>
          <w:sz w:val="28"/>
          <w:sz w:val="28"/>
          <w:szCs w:val="28"/>
          <w:rtl w:val="true"/>
          <w:lang w:bidi="ar-SA"/>
        </w:rPr>
        <w:t xml:space="preserve">ويبقى الحسينُ ليوم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ديثاً 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p>
    <w:p>
      <w:pPr>
        <w:pStyle w:val="BookText"/>
        <w:rPr/>
      </w:pPr>
      <w:r>
        <w:rPr>
          <w:rFonts w:ascii="Amiri" w:hAnsi="Amiri" w:eastAsia="Amiri" w:cs="Amiri"/>
          <w:color w:val="111111"/>
          <w:sz w:val="28"/>
          <w:sz w:val="28"/>
          <w:szCs w:val="28"/>
          <w:rtl w:val="true"/>
          <w:lang w:bidi="ar-SA"/>
        </w:rPr>
        <w:t>ويبقى الحسينُ ليوم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نشيداً على الألسن الناطقات</w:t>
      </w:r>
    </w:p>
    <w:p>
      <w:pPr>
        <w:pStyle w:val="BookText"/>
        <w:rPr/>
      </w:pPr>
      <w:r>
        <w:rPr>
          <w:rFonts w:ascii="Amiri" w:hAnsi="Amiri" w:eastAsia="Amiri" w:cs="Amiri"/>
          <w:color w:val="111111"/>
          <w:sz w:val="28"/>
          <w:sz w:val="28"/>
          <w:szCs w:val="28"/>
          <w:rtl w:val="true"/>
          <w:lang w:bidi="ar-SA"/>
        </w:rPr>
        <w:t>وبحسب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الحسيني خطابٌ على نهج القضية الحقيقية، التي وإنْ كان لها شأنُ نزول، إِلاَّ أنَّه لا يجعل الخطاب خاصاً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فالخطاب الحسيني كانت غايته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الحجّة على المباشر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 قنطرة للعبور إلى المعدوم والذي سيولد على امتداد زمان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لأنّنا رُوّينا عن رسول الله صلّى الله عليه و آله و سلّم ، حيث صحّ عنه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أُمتي كلّ ما كان في بني إسرائيل حذو النعل بالنعل والقذة بالقذة، حتى لو أنَّ أحدهم دخل في جحر ضبّ لدخلتموه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فالأحداث الصادرة من بني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كان لها بعدٌ جمعيٌّ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تخضع للكوامن النفسية التي تتنوّع بتنوّع الجِبلَّة، والناس معادن كمعادن الذهب والفضة،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مشتركات بين كلّ الشعوب والأُمم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فاحتاج مَن كان في موقع الطبيب المعالج للنُّفوس أنْ يُطلق خطابات ناجعة </w:t>
      </w:r>
    </w:p>
    <w:p>
      <w:pPr>
        <w:pStyle w:val="BookText"/>
        <w:rPr/>
      </w:pPr>
      <w:r>
        <w:rPr>
          <w:rFonts w:ascii="Amiri" w:hAnsi="Amiri" w:eastAsia="Amiri" w:cs="Amiri"/>
          <w:color w:val="111111"/>
          <w:sz w:val="28"/>
          <w:sz w:val="28"/>
          <w:szCs w:val="28"/>
          <w:rtl w:val="true"/>
          <w:lang w:bidi="ar-SA"/>
        </w:rPr>
        <w:t>لكلّ تلك الشرائح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بالتدليل على ذلك بشاهد في ضمن الأركان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ديدن المكابرين على مرّ العصور أنْ يسدُّوا آذانهم بوجه الحقّ والحقيقة، مهما كانت الدلائل عليها بيّنة والشواهد فيها 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المخاطب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الشريحة المباشرة للخطاب الحسيني تتميّز بهذه المزية، ومع ذلك صدر الخطاب مع علم المتكلّم بأنّ المخاطَب مِمّن ينطبق عليه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لأجل أنْ يستفيد من الخطاب المتردّد والجاهل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النموذج للخطاب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اصطفّ المعسكران للقتال في كربلاء، خرج بعض أصحاب الإِمام الحسين عَلیه السَلام واستأذنوه ليكلّموا القوم ويعظوهم، وكان منهم برير بن خضير الهمداني؛ حيث يحدثّنا التاريخ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 الله، أتأذن لي فأخرج إليهم فأكلمهم؟ فأذن له فخرج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إِنَّ الله عزّ وجل بعث محمداً بالحق بشيراً ونذيراً، وداعياً إلى الله بإذنه وسراجاً منيرا، وهذا ماء الفرات تقع فيه خنازير السواد وكلابها، وقد حيل بينه وبين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برير، قد أكثرت الكلام فاكففْ، فوالله، ليعطش الحسين كما عطش مَن كان قبله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ورد عن زهير بن القين؛ حيث خرج على فرس له ذنوب شاك في السلاح،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نذار لكم من عذاب الله 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حقاً على المسلم نصيحة المسلم، ونحن حتى الآن إخوة على دين واحد ما لم يقع بيننا وبينكم السيف، فإذا وقع السيف انقطعت العصمة وكنّا نحن أُمة وأنتم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ابتلانا وإياكم </w:t>
      </w:r>
    </w:p>
    <w:p>
      <w:pPr>
        <w:pStyle w:val="BookText"/>
        <w:rPr/>
      </w:pPr>
      <w:r>
        <w:rPr>
          <w:rFonts w:ascii="IRNazanin" w:hAnsi="IRNazanin" w:eastAsia="IRNazanin"/>
          <w:color w:val="111111"/>
          <w:sz w:val="28"/>
          <w:sz w:val="28"/>
          <w:szCs w:val="28"/>
          <w:rtl w:val="true"/>
          <w:lang w:bidi="fa-IR"/>
        </w:rPr>
        <w:t>بذرية محمد صلّى الله عليه و آله و سلّم ، لينظر ما نحن وأنتم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ندعوكم إلى نصره وخذلان الطاغية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فسبّوه وأثنوا على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إِنَّ ولد فاطمة أحق بالود والنصر من ابن سمية، فإنْ كنتم لم تنصروهم فأُعيذكم بالله أن تقتلوهم، فلعمري، إِنَّ يزيد يرضى من طاعتكم بدون 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شمر بسهم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أسكت الله نامتك، أبرمتنا بكثرة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البوّال على عقبيه ما إيّاك أخاطب، إنما أنت بهيمة، والله، ما أظنك تحكم من كتاب الله آيتين، وأبشر بالخزي يوم القيامة والعذاب الأليم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بعينه حصل مع سيّد الشهداء عَلیه السَلام ، فإنّه عندما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إلى أنفسكم فعاتبوها، هل يحلّ لكم سفك دمي وانتهاك حرمتي؟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ابن بنت نبيكم وابن ابن عمه وابن أوْلى الناس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حمزة سيد الشهداء عم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يبلغكم قول رسول الله صلّى الله عليه و آله و سلّم مستبشراً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سيدا شباب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هذا حاجزٌ لكم عن سفك دمى وانتهاك حرمتي؟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شيئاً مما تقول</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المخاطَب عبر عمود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الحاضر، وفي السنوات الأخيرة، وبالتحديد في بلدنا الحبيب لبنان، قد حصل حدثٌ له تداعياته الكبيرة على لبنان والمنطقة، وهو اغتيال رئيس وزرائها، وبدأ الغرب، في المحاولة لتجيير هذا الحدث لصالحهم عن طريق إيجاد فتنةٍ في لبنان يُعرف أوّلها ولا يعرف آخرها، ففبركت مختبراتهم السوداء قراراً اتّهامياً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صدور هذا القرار الاتهامي وفي أثنائه وبعده، كان الأمين العام لحزب الله يقيم البراهين التي لا تقبل الجدل، الواحد تلو الآخر،</w:t>
      </w:r>
      <w:bookmarkStart w:id="85" w:name="pg7540_66571"/>
    </w:p>
    <w:p>
      <w:pPr>
        <w:pStyle w:val="BookText"/>
        <w:rPr/>
      </w:pPr>
      <w:bookmarkEnd w:id="85"/>
      <w:r>
        <w:rPr>
          <w:rFonts w:ascii="Amiri" w:hAnsi="Amiri" w:eastAsia="Amiri" w:cs="Amiri"/>
          <w:color w:val="111111"/>
          <w:sz w:val="28"/>
          <w:sz w:val="28"/>
          <w:szCs w:val="28"/>
          <w:rtl w:val="true"/>
          <w:lang w:bidi="ar-SA"/>
        </w:rPr>
        <w:t>على أنَّ إسرائيل وراء هذا العمل، أو لا أقل ينبغي وضعها في لائحة الاتهام، وعلى رأس تلك البراهين الصور المسحية لطائرات التجسُّس الإسرائيلي التي استطاعت المقاومة بتقنية عالية أن تحصل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وضوح تلك الأدلة والشواهد، وإقامة البراهين القاطعة على بروز الأيادي الخفية لإسرائيل وراء هذا العمل، على الرغم منْ كلّ ذلك نجد مقاماً رفيعاً مِمّن يُسمّى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مخاطباً سماحة السيد حسن نصر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خطبت آلاف الخُطب لن نرفع اليد عن المحكمة الدولية والقرار الاتهامي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 هذا مشابهاً لقول قتلة الحسين عَلیه السَلام الذي تقدّمت نماذجه بألحان مختلفة؟</w:t>
      </w:r>
      <w:r>
        <w:rPr>
          <w:rFonts w:eastAsia="IRNazanin" w:cs="IRNazanin"/>
          <w:color w:val="111111"/>
          <w:sz w:val="28"/>
          <w:szCs w:val="28"/>
          <w:rtl w:val="true"/>
          <w:lang w:bidi="fa-IR"/>
        </w:rPr>
        <w:t>!</w:t>
      </w:r>
    </w:p>
    <w:p>
      <w:pPr>
        <w:pStyle w:val="Heading4"/>
        <w:numPr>
          <w:ilvl w:val="3"/>
          <w:numId w:val="1"/>
        </w:numPr>
        <w:rPr/>
      </w:pPr>
      <w:bookmarkStart w:id="86" w:name="__RefHeading___Toc2792748_1051229030"/>
      <w:bookmarkStart w:id="87" w:name="_Toc30"/>
      <w:bookmarkEnd w:id="86"/>
      <w:r>
        <w:rPr>
          <w:rtl w:val="true"/>
        </w:rPr>
        <w:t>مناهج البحث التاريخي تؤكِّد على خصيصة التجرُّد</w:t>
      </w:r>
      <w:r>
        <w:rPr>
          <w:rtl w:val="true"/>
        </w:rPr>
        <w:t>:</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علماء المناهج في الموضوع الذي يصلح أنْ يكون محوراً للدراسات التاريخية، هل هو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 في الزمن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أكثر الذين تناولوا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التأريخ لنشأة الكون والأرض، أمثال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المؤرخين المسلمين، ومن غيرهم مشى على هذا المنوال المؤرّخ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هربرت جورج ولز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Herbet George Wells: 1866- 1946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بدأ كتابه في موجز تاريخ العالم بدراسة نشأة الكون والأرض، وما ظهر على سطحها من مظاهر الحياة المختلفة، ثمّ تدرّج في عرض تواريخ الأُمم والشعوب والحضارات المختلفة منذ نشأتها حتى العصر الحديث</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تحقّق في الزمن الماضي؛ لتشمل الدراسات التاريخية تمام ما صدر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على أكثر كتب المؤرخين الإسلاميين، أمْ أنَّ الموضوع </w:t>
      </w:r>
    </w:p>
    <w:p>
      <w:pPr>
        <w:pStyle w:val="BookText"/>
        <w:rPr/>
      </w:pPr>
      <w:r>
        <w:rPr>
          <w:rFonts w:ascii="Amiri" w:hAnsi="Amiri" w:eastAsia="Amiri" w:cs="Amiri"/>
          <w:color w:val="111111"/>
          <w:sz w:val="28"/>
          <w:sz w:val="28"/>
          <w:szCs w:val="28"/>
          <w:rtl w:val="true"/>
          <w:lang w:bidi="ar-SA"/>
        </w:rPr>
        <w:t>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الحدث الإنساني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الكثير من الأحداث الإنسانية غير المهمّة عن دائرة البحث التاريخي؟</w:t>
      </w:r>
    </w:p>
    <w:p>
      <w:pPr>
        <w:pStyle w:val="BookText"/>
        <w:rPr/>
      </w:pPr>
      <w:r>
        <w:rPr>
          <w:rFonts w:ascii="Amiri" w:hAnsi="Amiri" w:eastAsia="Amiri" w:cs="Amiri"/>
          <w:color w:val="111111"/>
          <w:sz w:val="28"/>
          <w:sz w:val="28"/>
          <w:szCs w:val="28"/>
          <w:rtl w:val="true"/>
          <w:lang w:bidi="ar-SA"/>
        </w:rPr>
        <w:t xml:space="preserve">ولو حاولنا تخطّي ثغرة توسّع البحث التاريخي وتضخّمه بشكلٍ لا حاجة إليه، عن طريق إضافة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ذلك يُكسب التعريف غموضاً؛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يمتلك مفاداً دقيقاً موضوعياً يمكن تقييمه</w:t>
      </w:r>
      <w:r>
        <w:rPr>
          <w:rStyle w:val="FootnoteAnchor"/>
          <w:rtl w:val="true"/>
        </w:rPr>
        <w:footnoteReference w:id="31"/>
      </w:r>
      <w:r>
        <w:rPr>
          <w:rFonts w:ascii="Amiri" w:hAnsi="Amiri" w:eastAsia="Amiri" w:cs="Amiri"/>
          <w:color w:val="111111"/>
          <w:sz w:val="28"/>
          <w:sz w:val="28"/>
          <w:szCs w:val="28"/>
          <w:rtl w:val="true"/>
          <w:lang w:bidi="ar-SA"/>
        </w:rPr>
        <w:t>، أمْ أنه غير ذلك</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تقدير، 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الواقع في الزمن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ضروريٌّ في بيان محورية البحث التاريخي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يقع التساؤل عن دور الزمن في الدراسات التاريخية، وعلى أساس الجواب عن هذا التساؤل يتضح لنا مدى تأثير الحدث التاريخي على المستقبل، وكيف يتجرّد الحدث التاريخي عن عنصر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التاريخية حول حدثٍ ما هل تتولّى تجريده عن حاجز الزمان، وتحاول التعرّف عليه كما هو وكما كان يظهر لِمَن عاصره، وذلك من خلال جهد علميّ ينتقل من الحاضر إلى الماضي ويلغي المسافة الزمنية القائمة؟ فهل يستهدف البحث التاريخي تحقيق ذلك، أم أنَّ عنصر الزمن يلعب دوراً مؤثراً في استيعاب الحدث التاريخي؟ هل يتّجه الباحث في عملية القراءة نحو الماضي أم الحاضر؟ هل يقع على عاتق الباحث التاريخي إلغاء الحاجز الزمني، أم يتوجّب عليه بلورة المرآة الزمنية وجانب الحكاية والتعبير في عنصر الزمن؟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يوجد تصوّران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التصوّر الذي يعتبر أنَّ الزّمن يشكّل حاجزاً بين الحدث والباحث التاريخي الذي يكون بصدد معالجته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فالحدث شيءٌ وقع في الزمان الماضي وتصرّم وانقضى، والباحث الحاضر يواجه الآن فاصلاً يحجزه عنه، وهو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فولتير</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من أنصار هذا التصوّر، حيث ينقل عنه قوله ساخراً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التاريخ لونٌ من نبش قبور الأموات</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تتأسس على المفهوم المذكور للحدث التاريخي، وهو مفهوم يرى في الزمن مقبرة لأحداث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المفهوم للحدث التاريخي يستند تصوّر كثير من أولئك الذين يرون أنَّ البحث التاريخي لا يتحلّى بالأهمية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التصوّر؛ سوف يتأطّر الحدث التاريخي بالظرف الزماني الذي حصل فيه، وإنّما الحاجز الذي أُلغي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القطعة الزمنية التي صدر فيها الحدث، وإنّما هو الفاصل الزماني بين المبدأ والباحث التاريخي الذي يقع في منتهى العمود 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ثمّة تصور آخر يتباين جوهرياً مع ما ذكر، فالشيء التاريخي في ضوء الفهم الآخر يمثّل ظاهرة اكتسبت تواصلاً وخلوداً في مجرى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وتنقسم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أفكاراً أم 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أنْ تتحرّك في إطار الزمن وتتواصل فتخلد، أو تظلّ حبيسة زمنها فتدفن فيه وتنتهي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الأوّل هو الحدث التاريخي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ويمثّل الزمان في هذا التصور كذلك مفهوماً أساسياً، غير أنَّه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هذا </w:t>
      </w:r>
    </w:p>
    <w:p>
      <w:pPr>
        <w:pStyle w:val="BookText"/>
        <w:rPr/>
      </w:pPr>
      <w:r>
        <w:rPr>
          <w:rFonts w:ascii="Amiri" w:hAnsi="Amiri" w:eastAsia="Amiri" w:cs="Amiri"/>
          <w:color w:val="111111"/>
          <w:sz w:val="28"/>
          <w:sz w:val="28"/>
          <w:szCs w:val="28"/>
          <w:rtl w:val="true"/>
          <w:lang w:bidi="ar-SA"/>
        </w:rPr>
        <w:t xml:space="preserve">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إكسير الخلود بالنسبة للحدث الذي يكتسب تاريخيته بفضل ذلك الإكسير، وتقوّم الأمر التاريخي بامتلاك الحدث وجوداً تاريخياً بمعنى الحركة في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فالشيء التاريخي بحسب التصوّر الأول أمرٌ احتجز خلف أسوار الماضي، ويحاول الباحث التاريخي إزالة الحاجز الزمني عبر أدوات ومناهج معيّنة، والاقتراب من الحادثة التاريخية كي يراها كما هي، وكلما كان الاقتراب من الحدث ألصق كانت رؤيته أكثر واقعية؛ واستتبع ذلك معرفةً تاريخيّة 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هذا التصوّر يقتصر دور المؤرخ على ممارسة تسجيله للأحداث، لا تنتقل مكانياً بيد أنَّها تتخطّى المسافة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فالمعرفة التاريخية تعني هنا فهم الماضي ودراسة الزمن المنصرم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هذه الرؤية؛ تمّ تعريف الدراسة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 مناهج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الدراسة التي تتضمّن مطالعة أحداث الماضي وشرحها واستيعابها، الهدف منها هو التوصُّل إلى تلك النتائج ذات العلاقة بأسباب الأحداث الماضية وانعكاساتها على الحاضر، وبواسطتها يصبح التنبُّؤ بالأحداث المستقبلية أمراً ممكناً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في ضوء التصوّر الثاني للمعرفة التاريخية يمكن اعتماد اتجاه علمي فيما يتصل بالدراسات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التاريخية في هذا الاتجاه ليست جهداً يستهدف إلغاء الحاجز الزمني، وليست ذلك فحسب، بل هي على العكس من ذلك؛ فهي محاولة لرؤية الأمر التاريخي في مرآة الزمن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حركة المؤرّخ تتَّجه نحو نقطة معاكسة تماماً لتلك التي يتَّجه نحوها المؤرّخ في ضوء التصوّر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أساس هذا المفهوم للمعرفة التاريخية؛ فإنّنا نواجه في واقع الأمر لوناً من الثورة الكوبرنيكية</w:t>
      </w:r>
      <w:r>
        <w:rPr>
          <w:rStyle w:val="FootnoteAnchor"/>
          <w:rtl w:val="true"/>
        </w:rPr>
        <w:footnoteReference w:id="36"/>
      </w:r>
      <w:r>
        <w:rPr>
          <w:rFonts w:ascii="Amiri" w:hAnsi="Amiri" w:eastAsia="Amiri" w:cs="Amiri"/>
          <w:color w:val="111111"/>
          <w:sz w:val="28"/>
          <w:sz w:val="28"/>
          <w:szCs w:val="28"/>
          <w:rtl w:val="true"/>
          <w:lang w:bidi="ar-SA"/>
        </w:rPr>
        <w:t>، تتحوّل فيها الحركة نحو الماضي إلى انتقال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فالدراسة التاريخية هي اكتشاف لحدث أو فكرة تاريخية في تواصلها التاريخي وفي ظلّ آثارها ونتائجها والتحديات التي واجهتها 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 عن معطياتها وتواليها، بدلاً عن ملاحقة تاريخها وأسبابها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هذا التعريف للبحث التاريخي؛ لا تكون أكثر الدراسات اقتراباً من الحدث التاريخي هي الدراسة الأعمق والأدق بالضرورة، بل كلما تصرّم الزمن وأُتيح للحدث مجال أوسع للحركة في المستقبل؛ توفرت لنا إمكانية أكبر للاستيعاب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المسافة الزمنية تُتيح إمكانية لقراءة أعمق وملاحظة لأبعاد متوارية في الموضوع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ينقل جلال آل أحمد عن أستاذه في تاريخ الحضارة عباس إقبال الأشتياني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يُتاح لأيّ شخص أو كتاب أو أثر أنْ يقيّم 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يمرّ عليه قرنٌ من الزمن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تكون الدراسة التاريخية على غرار الدراسة التفسيرية لا نهاية لها؛ ضرورة أنَّ تداعيات المستقبل</w:t>
      </w:r>
      <w:r>
        <w:rPr>
          <w:rStyle w:val="FootnoteAnchor"/>
          <w:rtl w:val="true"/>
        </w:rPr>
        <w:footnoteReference w:id="38"/>
      </w:r>
      <w:r>
        <w:rPr>
          <w:rFonts w:ascii="Amiri" w:hAnsi="Amiri" w:eastAsia="Amiri" w:cs="Amiri"/>
          <w:color w:val="111111"/>
          <w:sz w:val="28"/>
          <w:sz w:val="28"/>
          <w:szCs w:val="28"/>
          <w:rtl w:val="true"/>
          <w:lang w:bidi="ar-SA"/>
        </w:rPr>
        <w:t>لها دورٌ في فهم الحدث التاريخي من زواياه المختلفة</w:t>
      </w:r>
      <w:r>
        <w:rPr>
          <w:rFonts w:eastAsia="Amiri" w:cs="Amiri" w:ascii="Amiri" w:hAnsi="Amiri"/>
          <w:color w:val="111111"/>
          <w:sz w:val="28"/>
          <w:szCs w:val="28"/>
          <w:rtl w:val="true"/>
          <w:lang w:bidi="ar-SA"/>
        </w:rPr>
        <w:t xml:space="preserve">. </w:t>
      </w:r>
      <w:bookmarkStart w:id="88" w:name="pg7540_66576"/>
    </w:p>
    <w:p>
      <w:pPr>
        <w:pStyle w:val="BookText"/>
        <w:rPr/>
      </w:pPr>
      <w:bookmarkEnd w:id="88"/>
      <w:r>
        <w:rPr>
          <w:rFonts w:ascii="IRNazanin" w:hAnsi="IRNazanin" w:eastAsia="IRNazanin"/>
          <w:color w:val="111111"/>
          <w:sz w:val="28"/>
          <w:sz w:val="28"/>
          <w:szCs w:val="28"/>
          <w:rtl w:val="true"/>
          <w:lang w:bidi="fa-IR"/>
        </w:rPr>
        <w:t>إذا تبيّن لنا ذلك؛ أمكن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دراسة حركة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تشكّل خطاباته محوراً رئيسياً في هذه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وصف هوية هذا الحدث العظيم وأبعادها، وتعليلها على أساس مرآة الزمن وفي ظلّ أحداث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فالدراسة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الماضي في إطار نتائجه الحاضرة؛ ومن هذا المنطلق أكّدنا على الخصوصية الأُولى التي مرجعها إلى أنَّ الخطابات العاشورائية ليست خطابات انقرضت واختبأت خلف جدار الزمن، بل هي حيّة متجدّدة ما دامت الشمس تشرق على صراع بين الحقّ والباطل</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792750_1051229030"/>
      <w:bookmarkStart w:id="90" w:name="_Toc31"/>
      <w:bookmarkEnd w:id="89"/>
      <w:r>
        <w:rPr>
          <w:rtl w:val="true"/>
        </w:rPr>
        <w:t>الخصيصة الثانية</w:t>
      </w:r>
      <w:r>
        <w:rPr>
          <w:rtl w:val="true"/>
        </w:rPr>
        <w:t xml:space="preserve">: </w:t>
      </w:r>
      <w:r>
        <w:rPr>
          <w:rtl w:val="true"/>
        </w:rPr>
        <w:t>تزاوج العاطفة والعقل</w:t>
      </w:r>
      <w:bookmarkEnd w:id="90"/>
    </w:p>
    <w:p>
      <w:pPr>
        <w:pStyle w:val="BookText"/>
        <w:rPr/>
      </w:pPr>
      <w:r>
        <w:rPr>
          <w:rFonts w:ascii="Amiri" w:hAnsi="Amiri" w:eastAsia="Amiri" w:cs="Amiri"/>
          <w:color w:val="111111"/>
          <w:sz w:val="28"/>
          <w:sz w:val="28"/>
          <w:szCs w:val="28"/>
          <w:rtl w:val="true"/>
          <w:lang w:bidi="ar-SA"/>
        </w:rPr>
        <w:t>هناك سؤالٌ أُريد أنْ ابتدئ به البحث عن هذه الخصوصية، وهذا السؤال يبدو لي خطيراً ومهمّاً، بل هو من أخطر الأسئلة التي تواجه النُّخب وأصحاب القرارات، ويمكن صياغته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أردنا أنْ نعلو بالإنسان من حضيض المادة إلى سماء المعنى، فمِمّا لا شكّ فيه أنَّنا بحاجةٍ إلى تطويره، ولكنّ السؤال أنَّ ذلك التطوير الموصل إلى السُّمو هل يقتصر على تطوير العقول، أم أنَّه بحاجةٍ إلى تطوير العواطف والميول؟ وأيّ التطوّرين أصعب؟ وأيّهما أسهل وأقرب</w:t>
      </w:r>
      <w:r>
        <w:rPr>
          <w:rStyle w:val="FootnoteAnchor"/>
          <w:rtl w:val="true"/>
        </w:rPr>
        <w:footnoteReference w:id="39"/>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جواب نزعمه سوف يقتضي سلوكاً معيّنا، فإذا زعمت مؤسسات الدولة مثلاً أنَّ التطوّر العقلي هو الأهم؛ فسوف تكون النتيجة هو صرف العناية بالدرجة </w:t>
      </w:r>
    </w:p>
    <w:p>
      <w:pPr>
        <w:pStyle w:val="BookText"/>
        <w:rPr/>
      </w:pPr>
      <w:r>
        <w:rPr>
          <w:rFonts w:ascii="Amiri" w:hAnsi="Amiri" w:eastAsia="Amiri" w:cs="Amiri"/>
          <w:color w:val="111111"/>
          <w:sz w:val="28"/>
          <w:sz w:val="28"/>
          <w:szCs w:val="28"/>
          <w:rtl w:val="true"/>
          <w:lang w:bidi="ar-SA"/>
        </w:rPr>
        <w:t>الأُولى إلى المدارس والجامعات والمعاهد على اختلاف أنواعها، وهذا ما نراه بالفعل في جميع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التطوّر العاطفي هو الأهمّ؛ فيحقّ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قدّمت الدول ومؤسسات القرار في سبيل تطوير الإنسان عاطفياً؟</w:t>
      </w:r>
    </w:p>
    <w:p>
      <w:pPr>
        <w:pStyle w:val="BookText"/>
        <w:rPr/>
      </w:pPr>
      <w:r>
        <w:rPr>
          <w:rFonts w:ascii="Amiri" w:hAnsi="Amiri" w:eastAsia="Amiri" w:cs="Amiri"/>
          <w:color w:val="111111"/>
          <w:sz w:val="28"/>
          <w:sz w:val="28"/>
          <w:szCs w:val="28"/>
          <w:rtl w:val="true"/>
          <w:lang w:bidi="ar-SA"/>
        </w:rPr>
        <w:t xml:space="preserve">ولنضرب لذلك مثالاً واضحاً في داخل حوزاتنا الدينية؛ حيث نلاحظ أنَّ الجواب عن ذلك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نلاحظه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التطوّر العقلي هو الأهم، بل تكاد تنعدم أدنى الأهمية للتطوّر العاطفي، فنرى الاهتمام الكبير بتأسيس المدارس الدينية، وتأليف الكتب الدراسية ونشرها، وتربية الأساتذة الأكفّاء من ناحية الأُسلوب والمادة العلمية، وغير ذلك من الممارسات التي تخدم التطوّر العقلي والنبوغ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ذلك، نرى إغفالاً واضحاً للتطور العاطفي وما يخدم الرّوح، فكلّ أيام الأسبوع صباحها ومساؤها، تكون في خدمة التطور العقلي، وتبقى دقائق معدودة في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خصّصت لخدمة التطوّر العاطفي، وهي مضافاً إلى عدم كفايتها في حدّ ذاتها تأتي في وقت قد استنزف طالب العلم كلّ قدراته التوجّهية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 هذا العلم الجاف الذي ندرسه لا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للكلمة من معنى، بل قد يكون حجاباً يمنع صاحبه عن الوصول إلى مصافّ الإنسانية، ويتنزّل به إلى حضيض البهيمية، وفي هذا المجال يقول السيِّد الإمام الخميني قدس سرّه في بعض تعليقاته على مصباح الأنس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فالفكر حجابٌ، والعلم هو الحجاب الأكبر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ولنعتبر هذا الأمر في مثال عمليّ 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وزارة الداخلية أو المواصلات في كلّ بلدٍ يحترم نفسه تفرض شروطاً صعبة على منح رخصة القيادة، وبعض هذه الشروط يرتبط بسلامة الإنسان، فلا بدّ له من أنْ يأتي بفحوصات طبية ترتبط بحاستي النظر والسمع وما شابه ذلك، وبعضها يرتبط بالمعرفة النظرية والعملية لقيادة السيارات، وتخضعه لامتحان صعبٍ في ذلك، فإذا نجح فيه؛ تمنحه الرخصة المؤقتة ولمدّة سنة وعلى طرقٍ معيّنة، ثمّ بعد ذلك إنْ مرّت السنة من دون مخالفات، يُعطى رخصة إلى مدّة زمنيةٍ أطول، وعندما يصل الشخص إلى سنيّ ضعف الحواس، تكون قد انتهت المدّة؛ ليكون التجديد له مشروطاً بفحصٍ يجريه بشكلٍ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السؤال الذي يطرح نفسه هنا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نجحت هذه الإجراءات المشددة لوحدها في وصول الوزارة المعنية إلى أهدافها من ذلك؟</w:t>
      </w:r>
    </w:p>
    <w:p>
      <w:pPr>
        <w:pStyle w:val="BookText"/>
        <w:rPr/>
      </w:pPr>
      <w:r>
        <w:rPr>
          <w:rFonts w:ascii="Amiri" w:hAnsi="Amiri" w:eastAsia="Amiri" w:cs="Amiri"/>
          <w:color w:val="111111"/>
          <w:sz w:val="28"/>
          <w:sz w:val="28"/>
          <w:szCs w:val="28"/>
          <w:rtl w:val="true"/>
          <w:lang w:bidi="ar-SA"/>
        </w:rPr>
        <w:t>فلو منحت الرخصة لشخصٍ كان من أوائل الناجحين، ومرّ هذا الشخص نفسه في مكان لا يوجد فيه كاميرات مراقبة ولا شرطة مرور، فهل ترى أنَّ علمه العملي والنظري الذي نجح فيهما بحسب الفرض يكفيه للارتداع عن المخالفة؟</w:t>
      </w:r>
    </w:p>
    <w:p>
      <w:pPr>
        <w:pStyle w:val="BookText"/>
        <w:rPr/>
      </w:pPr>
      <w:r>
        <w:rPr>
          <w:rFonts w:ascii="Amiri" w:hAnsi="Amiri" w:eastAsia="Amiri" w:cs="Amiri"/>
          <w:color w:val="111111"/>
          <w:sz w:val="28"/>
          <w:sz w:val="28"/>
          <w:szCs w:val="28"/>
          <w:rtl w:val="true"/>
          <w:lang w:bidi="ar-SA"/>
        </w:rPr>
        <w:t>ولو أنَّه مرّ في طريق وكان هناك رجلٌ أعمى يريد أنْ يعبر الطريق، فهل تراه يقف في انتظاره، أو يخفّف من سرعته، لمجرّد أنَّه قد درس قوانين السير عند أفضل المدرسين، وتدرّب على قيادة السيارات في أحدث المؤسسات؟</w:t>
      </w:r>
    </w:p>
    <w:p>
      <w:pPr>
        <w:pStyle w:val="BookText"/>
        <w:rPr/>
      </w:pPr>
      <w:r>
        <w:rPr>
          <w:rFonts w:ascii="Amiri" w:hAnsi="Amiri" w:eastAsia="Amiri" w:cs="Amiri"/>
          <w:color w:val="111111"/>
          <w:sz w:val="28"/>
          <w:sz w:val="28"/>
          <w:szCs w:val="28"/>
          <w:rtl w:val="true"/>
          <w:lang w:bidi="ar-SA"/>
        </w:rPr>
        <w:t>معلومٌ أنَّ الجواب لن يكون بالإثبات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السّرُّ في ذلك يا ترى؟ </w:t>
      </w:r>
      <w:bookmarkStart w:id="91" w:name="pg7540_66579"/>
    </w:p>
    <w:p>
      <w:pPr>
        <w:pStyle w:val="BookText"/>
        <w:rPr/>
      </w:pPr>
      <w:bookmarkEnd w:id="91"/>
      <w:r>
        <w:rPr>
          <w:rFonts w:ascii="Amiri" w:hAnsi="Amiri" w:eastAsia="Amiri" w:cs="Amiri"/>
          <w:color w:val="111111"/>
          <w:sz w:val="28"/>
          <w:sz w:val="28"/>
          <w:szCs w:val="28"/>
          <w:rtl w:val="true"/>
          <w:lang w:bidi="ar-SA"/>
        </w:rPr>
        <w:t>ليس ذلك إِلاَّ لخوائه العاطفي والأخلاقي، وأنّه لو بذلت الدولة ومؤسساتها المرتبطة بالسير جهداً موازياً للجهد الذي تبذله في مجال التطور العقلي، لو بذلت هذا الجهد في تطويره أخلاقياً وعاطفياً؛ لأمكن أنْ نجيب بالإثبات عن السؤال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القيادة لا تكفي، بل لا بدّ من شهادةٍ في الأخلاق وحسن السلوك وصحو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الطبيب والمهندس، وغير ذلك من المهن والحرف التي تعتمد على التطوير العقلي والعلمي من جهةٍ، وتكون بحاجةٍ إلى بُعدٍ أخلاقيٍّ في مقام الممارسة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نلاحظه أنَّنا نضع أولادنا في المدارس وهم لم يصلوا إلى سنّ الخامسة بعدُ، وتضع الدولة وسائر المؤسسات مع الأهل تمام الإمكانات التي تصبّ في تطوّرهم العلمي والعقلي، وتنتظر اثنتي عشرة سنة ليحصل الولد على الشهادة الثانوية، وتنتظره إحدى عشر سنة أُخرى على الأقلّ ليخرج حاملاً شهادة اختصاصٍ في فرع من فروع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أنَّنا انتظرناه أكثر من عقدين من الزمن، لا لمجرّد أنْ يكون حاملاً لشهادةٍ ومجموعةٍ كبيرةٍ من المعلومات؛ بل لكي يكون عنصراً صالحاً ومفيداً، وهذا بحاجةٍ ماسّةٍ إلى سلوك مناسب، وللأسف لا نعطيه شيئاً مرتبطاً بذلك في تلك السنوات الثلاث والعشرين</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792752_1051229030"/>
      <w:bookmarkStart w:id="93" w:name="_Toc32"/>
      <w:bookmarkEnd w:id="92"/>
      <w:r>
        <w:rPr>
          <w:rtl w:val="true"/>
        </w:rPr>
        <w:t>نماذج التزاوج بين التطوير العقلي والعاطفي في الخطاب العاشورائي</w:t>
      </w:r>
      <w:r>
        <w:rPr>
          <w:rtl w:val="true"/>
        </w:rPr>
        <w:t>:</w:t>
      </w:r>
      <w:bookmarkEnd w:id="93"/>
    </w:p>
    <w:p>
      <w:pPr>
        <w:pStyle w:val="Heading5"/>
        <w:numPr>
          <w:ilvl w:val="4"/>
          <w:numId w:val="1"/>
        </w:numPr>
        <w:rPr/>
      </w:pPr>
      <w:bookmarkStart w:id="94" w:name="__RefHeading___Toc2792754_1051229030"/>
      <w:bookmarkStart w:id="95" w:name="_Toc33"/>
      <w:bookmarkEnd w:id="94"/>
      <w:r>
        <w:rPr>
          <w:rtl w:val="true"/>
        </w:rPr>
        <w:t>اشارة</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أساس ما تقدّم؛ نلاحظ أنَّ الإِمام الحسين عَلیه السَلام في تمام أبعاد مسيرته قد زاوج في خطاباته بين التطوّر العقلي والتطوّر العاطفي، ومع قطع النّظر عن الخطاب العاشورائي نرى أنَّ ذلك قد انعكس بوضوحٍ على جبل عرفة، في دعائه العظيم الذي رواه بشرٌ وبشيرٌ ابنا غالب الأسدي؛ حيث تراه في عين إثباته لوجود الصانع </w:t>
      </w:r>
      <w:bookmarkStart w:id="96" w:name="pg7540_66580"/>
    </w:p>
    <w:p>
      <w:pPr>
        <w:pStyle w:val="BookText"/>
        <w:rPr/>
      </w:pPr>
      <w:bookmarkEnd w:id="96"/>
      <w:r>
        <w:rPr>
          <w:rFonts w:ascii="Amiri" w:hAnsi="Amiri" w:eastAsia="Amiri" w:cs="Amiri"/>
          <w:color w:val="111111"/>
          <w:sz w:val="28"/>
          <w:sz w:val="28"/>
          <w:szCs w:val="28"/>
          <w:rtl w:val="true"/>
          <w:lang w:bidi="ar-SA"/>
        </w:rPr>
        <w:t>بأفضل البراهين يصيغه بصياغةٍ تحرّك الروح، فيشعر سامعه بالخشوع؛ ليظهر أثره على العين، فتذرف الدموع السواكب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تَرَدُّدِي فِي الآثَارِ يُوجِبُ بُعْدَ المَزَارِ، فَاجْمَعْنِي عَلَيْكَ بِخِدْمَةٍ تُوصِلُنِي إِلَيْكَ، 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الكلام الذي يُثبت لك وجود الصانع ببرهان اللمّ، ويسبكه في عبارةٍ تجعل التالي لها يعيش حالة الإحساس بالرقيب في كلّ حركاته وسكناته، ذلك الرقيب الذي لا يخاف منه لقسوته؛ بل لكونه هو المحبوب الأوحد والمعشوق الأمجد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العقلانية في قالب التهذيب نراها بوضوح في جميع خطاباته العاشورائية منذ بدء الثورة في المدينة ومكة إلى سقوطه مشحطاً بدمه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في هذه العجالة بذكر نماذج ثلاثة</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792756_1051229030"/>
      <w:bookmarkStart w:id="98" w:name="_Toc34"/>
      <w:bookmarkEnd w:id="97"/>
      <w:r>
        <w:rPr>
          <w:rtl w:val="true"/>
        </w:rPr>
        <w:t>النموذج الأوّل</w:t>
      </w:r>
      <w:r>
        <w:rPr>
          <w:rtl w:val="true"/>
        </w:rPr>
        <w:t>:</w:t>
      </w:r>
      <w:bookmarkEnd w:id="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طَاووس،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جَمَاعَةٌ، مِنْهُمْ مَنْ أَشَرْتُ إِلَيْهِ، بِإِسْنَادِهِمْ إلى عُمَرَ النَّسَّابَةِ رِضْوَانُ الله عَلَيْهِ، فِيمَا ذَكَرَهُ فِي آخِرِ كِتَابِ الشَّافِي فِي النَّسَبِ، بِإِسْنَادِهِ إلى جَدِّهِ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عُمَرَ بْنَ عَلِيِّ بْنِ أَبِي طَالِبٍ عَلیه السَلام يُحَدِّثُ أَخْوَالِي آلَ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أَخِيَ الحُسَيْنُ عَلیه السَلام عَنِ البَيْعَةِ لِيَزِيدَ بِالمَدِينَةِ دَخَلْتُ عَلَيْهِ فَوَجَدْتُهُ </w:t>
      </w:r>
    </w:p>
    <w:p>
      <w:pPr>
        <w:pStyle w:val="BookText"/>
        <w:rPr/>
      </w:pPr>
      <w:r>
        <w:rPr>
          <w:rFonts w:ascii="Amiri" w:hAnsi="Amiri" w:eastAsia="Amiri" w:cs="Amiri"/>
          <w:color w:val="111111"/>
          <w:sz w:val="28"/>
          <w:sz w:val="28"/>
          <w:szCs w:val="28"/>
          <w:rtl w:val="true"/>
          <w:lang w:bidi="ar-SA"/>
        </w:rPr>
        <w:t>خَالِياً،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عَبْدِ الله، حَدَّثَنِي أَخُوكَ أَبُو مُحَمَّدٍ الحَسَنُ عَنْ أَبِيهِ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سَبَقَنِي الدَّمْعَةُ وَعَلا شَهِيقِي، فَضَمَّنِي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أَنِّي مَقْتُولٌ؟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حُوْشيْتَ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أَبِيكَ بِقَتْلِي خَبَّرَكَ؟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فَلَوْلا نَاوَلْتَ وَبَايَعْتَ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رَسُولَ الله‘ أَخْبَرَهُ بِقَتْلِهِ وَقَتْلِي، وَأَنَّ تُرْبَتِي تَكُونُ بِقُرْبِ تُرْبَتِهِ، فَتَظُنُّ أَنَّكَ عَلِمْتَ مَا لَمْ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أُعْطِي الدَّنِيَّةَ مِنْ نَفْسِي أَبَداً، وَلَتَلْقَيَنَّ فَاطِمَةُ أَبَاهَا شَاكِيَةً مَا لَقِيَتْ ذُرِّيَّتُهَا مِنْ أُمَّتِهِ، وَلاَ يَدْخُلُ الجَنَّةَ أَحَدٌ آذَاهَا فِي ذُرِّيَّتِهَا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الحسين عَلیه السَلام في المقطع الأخير من كلامه مع أخيه عمر عندما طلب منه المبايعة إشفاقاً عليه، قد بيّن عَلیه السَلام له أنَّ ذلك غير ممكن في ضمن برهانٍ مضمرٍ في قالبٍ 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المبايعة ليزيد منْ مثله إعطاء للدنية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المقدمة المذكورة صراحةً في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وإعطاء الدنية لا يرضاه الله لأوليائه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المقدمة المطوية في القياس؛ لكونه من الأقيسة المضمرة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فينتج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المبايعة ليزيد مِمّا لا يرضاه الله لأوليائه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يكتفِ بهذا البرهان، فضمّنه ما يشعر بمقامه من جهةٍ؛ لكونه ابنَ فاطمة عَلیهاالسَلام ، وهي مَنْ نعلَم مِنْ كونها قد فُطِم الخلق عن معرفتها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وأتبعه بما يُحرّك العاطفة، مع كونه في الوقت نفسه يمكن إرجاعه إلى قياس برهاني،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يترتّب من فعلٍ على ترك الإِمام الحسين عَلیه السَلام للبيعة فيه أذيةٌ لأُمّه عَلیهاالسَلام ، وأذيتها أذيّةٌ لرسول الله‘، وأذيته أذيّةٌ للجبار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 يؤذيني ما آذاها</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وبديهيٌّ أنَّ أذية الرسول أذيّةٌ للمرسِل</w:t>
      </w:r>
      <w:r>
        <w:rPr>
          <w:rFonts w:eastAsia="Amiri" w:cs="Amiri" w:ascii="Amiri" w:hAnsi="Amiri"/>
          <w:color w:val="111111"/>
          <w:sz w:val="28"/>
          <w:szCs w:val="28"/>
          <w:rtl w:val="true"/>
          <w:lang w:bidi="ar-SA"/>
        </w:rPr>
        <w:t xml:space="preserve">. </w:t>
      </w:r>
      <w:bookmarkStart w:id="99" w:name="pg7540_66582"/>
    </w:p>
    <w:p>
      <w:pPr>
        <w:pStyle w:val="BookText"/>
        <w:rPr/>
      </w:pPr>
      <w:bookmarkEnd w:id="99"/>
      <w:r>
        <w:rPr>
          <w:rFonts w:ascii="Amiri" w:hAnsi="Amiri" w:eastAsia="Amiri" w:cs="Amiri"/>
          <w:color w:val="111111"/>
          <w:sz w:val="28"/>
          <w:sz w:val="28"/>
          <w:szCs w:val="28"/>
          <w:rtl w:val="true"/>
          <w:lang w:bidi="ar-SA"/>
        </w:rPr>
        <w:t xml:space="preserve">ويمكن الاستغناء عن القضية المتوسطة بما رواه الصدوق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ذَرٍّ يَحْيَى بْنُ زَيْدِ بْنِ العَبَّاسِ بْنِ الوَلِيدِ البَزَّازُ رِضْوَانُ الله عَلَيْهِ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سَالِمٍ، عَنْ حُسَيْنِ بْنِ زَيْدٍ، عَنْ عَلِيِّ بْنِ عُمَرَ بْنِ عَلِيٍّ، عَنِ الصَّادِقِ جَعْفَرِ بْنِ مُحَمَّدٍ، عَنْ أَبِيهِ، عَنْ عَلِيِّ بْنِ الحُسَيْنِ، عَنِ الحُسَيْنِ بْنِ عَلِيٍّ، عَنْ عَلِيِّ بْنِ أَبِي طَالِبٍ عَلیه السَلام ، 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تَبَارَكَ وَتَعَالَى لَيَغْضَبُ لِغَضَبِكِ وَيَرْضَى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صَنْدَلٌ فَقَالَ لِجَعْفَرِ بْنِ مُحَمَّدٍ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هَؤُلاءِ الشَّبَابَ يَجِيئُونَّا عَنْكَ بِأَحَادِيثَ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صَنْدَلُ؟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عَنْكَ أَنَّكَ حَدَّثْتَهُمْ أَنَّ الله يَغْضَبُ لِغَضَبِ فَاطِمَةَ وَيَرْضَى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صَنْدَلُ، أَلَسْتُمْ رَوَيْتُمْ فِيمَا تَرْوُونَ أنَّ الله تَبَارَكَ وَتَعَالَى لَيَغْضَبُ لِغَضَبِ عَبْدِهِ المُؤْمِنِ وَيَرْضَى لِرِضَاهُ؟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تُنْكِرُونَ أَنْ تَكُونَ فَاطِمَةُ عَلیهاالسَلام مُؤْمِنَةً يَغْضَبُ الله لِغَضَبِهَا وَيَرْضَى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2792758_1051229030"/>
      <w:bookmarkStart w:id="101" w:name="_Toc35"/>
      <w:bookmarkEnd w:id="100"/>
      <w:r>
        <w:rPr>
          <w:rtl w:val="true"/>
        </w:rPr>
        <w:t>النموذج الثاني</w:t>
      </w:r>
      <w:r>
        <w:rPr>
          <w:rtl w:val="true"/>
        </w:rPr>
        <w:t>:</w:t>
      </w:r>
      <w:bookmarkEnd w:id="1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تسلية المجالس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 الحُسَيْنُ عَلیه السَلام إلى عُمَرَ بْنِ سَعْدٍ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أُرِيدُ أَنْ أُكَلِّمَكَ، فَالقَنِي اللَّيْلَةَ بَيْنَ عَسْكَرِي وَعَسْكَرِكَ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ابْنُ سَعْدٍ فِي عِشْرِينَ وَخَرَجَ إِلَيْهِ الحُسَيْنُ فِي مِثْلِ ذَلِكَ، فَلَمَّا التَقَيَا أَمَرَ الحُسَيْنُ عَلیه السَلام أَصْحَابَهُ؛ فَتَنَحَّوْا عَنْهُ، وَبَقِيَ مَعَهُ أَخُوهُ العَبَّاسُ وَابْنُهُ عَلِيٌّ الأَكْبَرُ، وَأَمَرَ عُمَرُ بْنُ سَعْدٍ أَصْحَابَهُ؛ فَتَنَحَّوْا عَنْهُ، وَبَقِيَ مَعَهُ ابْنُهُ حَفْصٌ وَغُلامٌ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تَتَّقِي الله الذي إِلَيْهِ مَعَادُكَ؟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أَتُقَاتِلُنِي وَأَنَا ابْنُ مَنْ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هَؤُلاءِ القَوْمَ وَكُنْ مَعِي؛ فَإِنَّهُ أَقْرَبُ لَكَ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يُهْدَمَ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أَبْنِيهَا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تُؤْخَذَ ضَيْعَتِي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102" w:name="pg7540_66583"/>
    </w:p>
    <w:p>
      <w:pPr>
        <w:pStyle w:val="BookText"/>
        <w:rPr/>
      </w:pPr>
      <w:bookmarkEnd w:id="102"/>
      <w:r>
        <w:rPr>
          <w:rFonts w:ascii="Amiri" w:hAnsi="Amiri" w:eastAsia="Amiri" w:cs="Amiri"/>
          <w:color w:val="111111"/>
          <w:sz w:val="28"/>
          <w:sz w:val="28"/>
          <w:szCs w:val="28"/>
          <w:rtl w:val="true"/>
          <w:lang w:bidi="ar-SA"/>
        </w:rPr>
        <w:t>أُخْلِفُ عَلَيْكَ خَيْراً مِنْهَا مِنْ مَالِي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عِيَالٌ وَأَخَافُ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وَلَمْ يُجِبْهُ إلى شيء، فَانْصَرَفَ عَنْهُ الحُسَيْنُ عَلیه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ذَبَحَكَ الله عَلَى فِرَاشِكَ عَاجِلاً، وَلا غَفَرَ لَكَ يَوْمَ حَشْرِكَ، فَوَالله، إِنِّي لأَرْجُو أَنْ لا تَأْكُلَ مِنْ بُرِّ العِرَاقِ إِلاّ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الشَّعِيرِ كِفَايَةٌ عَنِ البُرِّ؛ مُسْتَهْزِئاً بِذَلِكَ القَوْل</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فالحسين عَلیه السَلام في 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معرفته بأنّ عمر بن سعد قد ختم الله على قلبه، ولا تنفعه حجّة ولا موعظة، لكنْ لمّا كان الخطاب الحسيني غير متقيّدٍ بزمانٍ ولا مكان، كما تقدّم في الخصوصية الأُولى، فهو بالتالي على الرغم من كون فائدته المباشرة تأكيد الحجّة، يكون خطاباً سيّالاً لكلّ مَن ألقى السمع وهو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زاوج بين العاطفة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يعرف أنَّ البواعث المحرّكة لمثل هذا الرجل هي البواعث المادية؛ فلذا أراد تغطية هذا البُعد العاطفي عنده، فوعده بتأمينها عن طريق البيت والضيعة، كما أنَّه لمّا لم ينفع ذلك معه انتقل إلى البعد العاطفي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تغطية البُعد العقلي قد سبقت ذلك عن طريق تذكيره بمقامه في هذه الأُمّة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أَتُقَاتِلُنِي وَأَنَا ابْنُ مَنْ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صغرى في قياسٍ مضمرٍ، كما تقدّم في النموذج السابق</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792760_1051229030"/>
      <w:bookmarkStart w:id="104" w:name="_Toc36"/>
      <w:bookmarkEnd w:id="103"/>
      <w:r>
        <w:rPr>
          <w:rtl w:val="true"/>
        </w:rPr>
        <w:t>النموذج الثالث</w:t>
      </w:r>
      <w:r>
        <w:rPr>
          <w:rtl w:val="true"/>
        </w:rPr>
        <w:t>:</w:t>
      </w:r>
      <w:bookmarkEnd w:id="10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عَلیهِماالسَّلام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اشْتَدَّ الأَمْرُ بِالحُسَيْنِ بْنِ عَلِيِّ بْنِ أَبِي طَالِبٍ عَلیهِماالسَّلام نَظَرَ إِلَيْهِ مَنْ كَانَ مَعَهُ، فَإِذَا هُوَ بِخِلافِهِمْ؛ لأَنَّهُمْ كُلَّمَا اشْتَدَّ الأَمْرُ تَغَيَّرَتْ أَلْوَانُهُمْ وَارْتَعَدَتْ فَرَائِصُهُمْ، وَوَجَبَتْ قُلُوبُهُمْ، وَكَانَ الحُسَيْنُ عَلیه السَلام وَبَعْضُ مَنْ مَعَهُ مِنْ خَصَائِصِهِ تُشْرِقُ أَلْوَانُهُمْ وَتَهْدَأُ جَوَارِحُهُمْ وَتَسْكُنُ نُفُوسُهُمْ،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لا يُبَالِي </w:t>
      </w:r>
    </w:p>
    <w:p>
      <w:pPr>
        <w:pStyle w:val="BookText"/>
        <w:rPr/>
      </w:pPr>
      <w:r>
        <w:rPr>
          <w:rFonts w:ascii="Amiri" w:hAnsi="Amiri" w:eastAsia="Amiri" w:cs="Amiri"/>
          <w:color w:val="111111"/>
          <w:sz w:val="28"/>
          <w:sz w:val="28"/>
          <w:szCs w:val="28"/>
          <w:rtl w:val="true"/>
          <w:lang w:bidi="ar-SA"/>
        </w:rPr>
        <w:t>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بَنِي الكِرَامِ فَمَا المَوْتُ إِلاَّ قَنْطَرَةٌ تَعْبُرُ بِكُمْ عَنِ البُؤْسِ وَالضَّرَّاءِ إلى الجِنَانِ الوَاسِعَةِ وَالنَّعِيمِ الدَّائِمَةِ، فَأَيُّكُمْ يَكْرَهُ أَنْ يَنْتَقِلَ مِنْ سِجْنٍ إلى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لأَعْدَائِكُمْ إِلاَّ كَمَنْ يَنْتَقِلُ مِنْ قَصْرٍ إلى سِجْنٍ وَعَذَابٍ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عَنْ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سِجْنُ المُؤْمِنِ وَجَنَّةُ الكَافِرِ، وَالمَوْتُ جِسْرُ هَؤُلاءِ إلى جَنَّاتِهِمْ، وَجِسْرُ هَؤُلاءِ إلى جَحِيمِهِمْ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والتطوير العاطفي والأخلاقي في هذا النّص في غاية الوضوح من خلال خطابٍ يشدّ الروح قبل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التزاوج بين التطوّر العقلي والعاطفي كثير في كلمات أهل بيته علیهم السلام وأصحابهم من خلال مواقفهم المتعددة، ولكن فيما قدّمناه كفاية بعد وضوح الفكرة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غيره مِمّا يرتبط بحادثة كربلاء، ولكنّه صادر على لسان سائر الأئمّة كثير أيضاً، ومن الموارد الواضحة في ذلك زيارة عاشوراء المنتسبة إلى مولانا صاحب العصر والزمان عَلیه السَلام ؛ حيث يظهر فيها بوضوح سبك الفكر في قالب العاطفة وإطارها، وليس ذلك إِلاَّ لأنّ جفاف الفكر لا يؤثّر إِلاَّ مع ليونة العاطفة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ولنتأمّل في الفقرات التالية ليتضح لنا حقيقة ما أروم إليه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الحُسَيْنِ الذي سَمَحَتْ نَفْسُهُ بِمُهْجَتِهِ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أَطَاعَ الله فِي سِرِّهِ وَعَلانِيَتِهِ، السَّلامُ عَلَى مَنْ جُعِلَ الشِّفَاءُ فِي تُرْبَتِهِ، السَّلامُ عَلَى مَنِ الإِجَابَةُ تَحْتَ قُبَّتِهِ، السَّلامُ عَلَى مَنِ الأَئِمَّةُ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أُرِيقَ بِالظُّلْمِ دَمُهُ، السَّلامُ عَلَى المُغَسَّلِ بِدَمِ الجِرَاحِ، السَّلامُ عَلَى المُجَرَّعِ بِكَاسَاتِ الرِّمَاحِ، السَّلامُ عَلَى المُضَامِ المُسْتَبَاحِ، السَّلامُ عَلَى المَهْجُورِ فِي الوَرَى، السَّلامُ عَلَى مَنْ تَوَلَّى دَفْنَهُ أَهْلُ القُرَى، السَّلامُ عَلَى </w:t>
      </w:r>
    </w:p>
    <w:p>
      <w:pPr>
        <w:pStyle w:val="BookText"/>
        <w:rPr/>
      </w:pPr>
      <w:r>
        <w:rPr>
          <w:rFonts w:ascii="Amiri" w:hAnsi="Amiri" w:eastAsia="Amiri" w:cs="Amiri"/>
          <w:color w:val="111111"/>
          <w:sz w:val="28"/>
          <w:sz w:val="28"/>
          <w:szCs w:val="28"/>
          <w:rtl w:val="true"/>
          <w:lang w:bidi="ar-SA"/>
        </w:rPr>
        <w:t>المَقْطُوعِ الوَتِينِ، السَّلامُ عَلَى المُحَامِي بِلا مُعِينٍ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 هو عليه الصلاة والسلام يطوّع أجمل العبارات العاطفية؛ لبيان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مقدّمة لكبرى مطوية،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كذلك لا يجوز قتله وسفك دمه، ثمّ يرتّب على ذلك المظلومية بأشدّ الصور حزناً ولهفةً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يتابع في ركوب مركب البلاغة، مزاوجاً بين التأثير العاطفي والإقناع العقلي،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مَنْ لَوْ كَانَ مَعَكَ بِالطُّفُوفِ لَوَقَاكَ بِنَفْسِهِ حَدَّ السُّيُوفِ، وَبَذَلَ حُشَاشَتَهُ دُونَكَ لِلْحُتُوفِ، وَجَاهَدَ بَيْنَ يَدَيْكَ، وَنَصَرَكَ عَلَى مَنْ بَغَى عَلَيْكَ، وَفَدَاكَ بِرُوحِهِ وَجَسَدِهِ، وَمَالِهِ وَوُلْدِهِ، وَرُوحُهُ لِرُوحِكَ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أَخَّرَتْنِي الدُّهُورُ، وَعَاقَنِي عَنْ نَصْرِكَ المَقْدُورُ، وَلَمْ أَكُنْ لِمَنْ حَارَبَكَ مُحَارِباً، وَلِمَنْ نَصَبَ لَكَ العَدَاوَةَ مُنَاصِباً، فَلأَنْدُبَنَّكَ صَبَاحاً وَمَسَاءً، وَلأَبْكِيَنَّ عَلَيْكَ بَدَلَ الدُّمُوعِ دَماً؛ حَسْرَةً عَلَيْكَ وَتَأَسُّفاً عَلَى مَا دَهَاكَ وَتَلَهُّفاً، حَتَّى أَمُوتَ بِلَوْعَةِ المُصَابِ وَغُصَّةِ الاكْتِيَابِ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 تفيض براعةً، فتنطق فيما رمناه، بلا حاجةٍ إلى تكلّف وتأويل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على الحسين، وعلى عليّ بن الحسين، وعلى أولاد الحسين، وعلى أصحاب الحسين، الذين بذلوا مهجهم دون الحسين عَلیه السَلام </w:t>
      </w:r>
      <w:r>
        <w:rPr>
          <w:rFonts w:eastAsia="IRNazanin" w:cs="IRNazanin"/>
          <w:color w:val="111111"/>
          <w:sz w:val="28"/>
          <w:szCs w:val="28"/>
          <w:rtl w:val="true"/>
          <w:lang w:bidi="fa-IR"/>
        </w:rPr>
        <w:t xml:space="preserve">... </w:t>
      </w:r>
      <w:bookmarkStart w:id="105" w:name="pg7540_66586"/>
    </w:p>
    <w:p>
      <w:pPr>
        <w:pStyle w:val="Heading3"/>
        <w:numPr>
          <w:ilvl w:val="2"/>
          <w:numId w:val="1"/>
        </w:numPr>
        <w:rPr/>
      </w:pPr>
      <w:bookmarkStart w:id="106" w:name="__RefHeading___Toc2792762_1051229030"/>
      <w:bookmarkStart w:id="107" w:name="_Toc37"/>
      <w:bookmarkEnd w:id="105"/>
      <w:bookmarkEnd w:id="106"/>
      <w:r>
        <w:rPr>
          <w:rtl w:val="true"/>
        </w:rPr>
        <w:t>النَهضةُ الحُسَینیَّة بَینَ انتِکاسَةِ الاُمةِ وَ ایقُاظهَا د</w:t>
      </w:r>
      <w:r>
        <w:rPr>
          <w:rtl w:val="true"/>
        </w:rPr>
        <w:t>.</w:t>
      </w:r>
      <w:r>
        <w:rPr>
          <w:rtl w:val="true"/>
        </w:rPr>
        <w:t>السيد حاتم البخاتي</w:t>
      </w:r>
      <w:bookmarkEnd w:id="107"/>
    </w:p>
    <w:p>
      <w:pPr>
        <w:pStyle w:val="Heading4"/>
        <w:numPr>
          <w:ilvl w:val="3"/>
          <w:numId w:val="1"/>
        </w:numPr>
        <w:rPr/>
      </w:pPr>
      <w:bookmarkStart w:id="108" w:name="__RefHeading___Toc2792764_1051229030"/>
      <w:bookmarkStart w:id="109" w:name="_Toc38"/>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كثيراً ما تُختزل أهداف الثورات والنهضات وحركات التحرر والانعتاق التي تُثار في وجه الظلم والجور والانحراف، في لون خاصّ ونمط مُعيّن من الأهداف والغايات التي تُعلَن عِبْر الشعارات المرفوعة والنداءات الموجّهة، وتظهر من خلال ممارسات القائمين عليها وأفعال المتصدِّين لها، وكثيراً ما تكون هذه الأهداف المُعلَنة أو المرفوعة محدودة من حيث الزمان والمكان، ومنصهرة بإطار نظرات وأُفق تفكير مَن يرفعها، وهذا ما تفرضه الظروف الموضوعيّة المرتبطة بحدود إمكانات قادتها وأُفق تصوراتهم، فتأتي أغلب هذه النهضات والانتفاضات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نجحت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التأثير ومحدودة الفاعليّة، لاسيما إذا ما تقادم عهدها وامتدّ بها عمود الزمان، فتظل حينئذٍ من ذكريات التاريخ وتراثه القَيّم التي لا تخلو من فائدة لِمَناطّلع عليها ودرس تاريخها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هذا التصوّر والانطباع السالف الذكر عن الثورات وحركات الرفض لا ينسحب أبداً على النهضة الحسينيّة المباركة التي قادها الإمام الحسين عَلیه السَلام ، من حيث أهدافها ونتائجها ومعطياتها، وخروجها عن قيود الزمان والمكان، وهذا لا غروَ به؛ لأنّ قائد النهضة سامي المقام وعالي الهمّة كجده النبي الأعظم محمد‘، كما قال الشاعر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هممٌ لا منتهى لكبارها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وهمّتها الصغرى أجلّ من الدهر </w:t>
      </w:r>
      <w:bookmarkStart w:id="110" w:name="pg7540_66587"/>
    </w:p>
    <w:p>
      <w:pPr>
        <w:pStyle w:val="Heading4"/>
        <w:numPr>
          <w:ilvl w:val="3"/>
          <w:numId w:val="1"/>
        </w:numPr>
        <w:rPr/>
      </w:pPr>
      <w:bookmarkStart w:id="111" w:name="__RefHeading___Toc2792766_1051229030"/>
      <w:bookmarkStart w:id="112" w:name="_Toc39"/>
      <w:bookmarkEnd w:id="110"/>
      <w:bookmarkEnd w:id="111"/>
      <w:r>
        <w:rPr>
          <w:rtl w:val="true"/>
        </w:rPr>
        <w:t>أهداف النهضة الحسينيّة ودوافعها</w:t>
      </w:r>
      <w:bookmarkEnd w:id="112"/>
    </w:p>
    <w:p>
      <w:pPr>
        <w:pStyle w:val="BookText"/>
        <w:rPr/>
      </w:pPr>
      <w:r>
        <w:rPr>
          <w:rFonts w:ascii="Amiri" w:hAnsi="Amiri" w:eastAsia="Amiri" w:cs="Amiri"/>
          <w:color w:val="111111"/>
          <w:sz w:val="28"/>
          <w:sz w:val="28"/>
          <w:szCs w:val="28"/>
          <w:rtl w:val="true"/>
          <w:lang w:bidi="ar-SA"/>
        </w:rPr>
        <w:t>إنّ المتّتبع لفصول النهضة الحسينيّة ومواقفها، وما بعثته من رسائل من بداية انطلاقها وتحركها من المدينة المنوّرة بعد موت معاوية، ومروراً بمكة، وانتهاءً بكربلاء، لا يسعه إلّا أن يقرّ بأنّها نهضة شاملة، ذات نظرة بعيدة وأُفق واسع، وأهداف متعددة الأبعاد والأغراض والغايات الاجتماعية، والدينية، والأخلاقية والسياسية، حارت في معرفة كنهها ألباب المفكّرين، وعجزت عن الإحاطة بها عقول الألمعيّين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أوضح شاهد على اللافتة العريضة لأهداف النهضة الحسينيّة هو ما أطلقه الإمام الحسين عَلیه السَلام في واحد من شعارات نهضته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قال في وصيته لأخيه محمد بن الحنفية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لم أخرج أشراً ولا بطراً، ولا مفسداً ولا ظالماً، وإنّما خرجت لطلب الإصلاح في أُمّة جدي صلّى الله عليه و آله و سلّم ، أُريد أن آمر بالمعروف وأنهى عن المنكر</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فعنوان الإصلاح ينطبق على كلّ هذه الأبعاد والأشكال المتعددة لأهداف النهضة الحسينيّة، فيشمل كلّ مظاهر الإصلاح الاجتماعي والديني، والسياسي، والأخلاقي، والتربوي،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ولسائل أن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حملت النهضة الحسينيّة كلّ هذه الأهداف؟ ما الذي حصل في الأُمّة؛ لكي يضطلع الإمام الحسين عَلیه السَلام بهذه المهمّة الجسيمة ويدفع هذا الثمن النفيس؟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معرض الإجابة عن التساؤل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يُشاركهم غيرهم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مسيرة الأُمّة الإسلاميّة قد أُصيبت بخلل كبير وانحراف خطير بُعَيد رحيل النبي الأكرم صلّى الله عليه و آله و سلّم ، حينما وُضِعَتْ الأُمور في غير مواضعها </w:t>
      </w:r>
    </w:p>
    <w:p>
      <w:pPr>
        <w:pStyle w:val="BookText"/>
        <w:rPr/>
      </w:pPr>
      <w:r>
        <w:rPr>
          <w:rFonts w:ascii="Amiri" w:hAnsi="Amiri" w:eastAsia="Amiri" w:cs="Amiri"/>
          <w:color w:val="111111"/>
          <w:sz w:val="28"/>
          <w:sz w:val="28"/>
          <w:szCs w:val="28"/>
          <w:rtl w:val="true"/>
          <w:lang w:bidi="ar-SA"/>
        </w:rPr>
        <w:t>التي أرادها الله تعالى لها، فجُعِلَت مقادير الأُمّة ومصائر المسلمين في أيدي أُناس أقلّ ما يُقال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غير مؤهلين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الهوّة تتسع والشرخ يزداد حينما أصبح طُلَقاء هذه الأُمّة رُعاة المسلمين وأمراءهم في عهد الخليفة الثالث</w:t>
      </w:r>
      <w:r>
        <w:rPr>
          <w:rStyle w:val="FootnoteAnchor"/>
          <w:rtl w:val="true"/>
        </w:rPr>
        <w:footnoteReference w:id="50"/>
      </w:r>
      <w:r>
        <w:rPr>
          <w:rFonts w:ascii="IRNazanin" w:hAnsi="IRNazanin" w:eastAsia="IRNazanin"/>
          <w:color w:val="111111"/>
          <w:sz w:val="28"/>
          <w:sz w:val="28"/>
          <w:szCs w:val="28"/>
          <w:rtl w:val="true"/>
          <w:lang w:bidi="fa-IR"/>
        </w:rPr>
        <w:t xml:space="preserve">، ولم تسنح الظروف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آلت إليه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ما فَسُد ورَتْق ما فُتِق؛ لأنّ الأيادي الأثيمة اغتالته ليمضي شهيد الحقّ والعدل، وتُمنى الأُمّة بأفدح خسارة في تاريخها، ثمّ تتعمّق الجراح وتزداد مأساة الإسلام بتولي معاوية بن أبي سفيان السلطة وقيادة الأُمّة الإسلاميّة، مع أنّها محرّمة على آل أبي سفيان، كما روي عن الإمام الحسين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سمعت جدّي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آل أبي سفيان</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ولم يكن يتصَوّر أحد من عامّة المسلمين في العقدين الأولين للإسلام أن تقع الخلافة في أيدي أبناء أبي سفيان، ولكنّها سخرية القدر، ووهن الأُمّة وضعف إرادتها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وليت الأوضاع وقفت عند هذا الحدّ، بل تعدّت إلى أن يصبح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الفاسق وشارب الخمر وقاتل النفس المحترمة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على المسلمين، عندها دقّ ناقوس الخطر بشدّة، وأصبحت جهود النبي صلّى الله عليه و آله و سلّم في مهبّ الريح؛ الأمر الذي حدا بالإمام الحسين عَلیه السَلام أن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وإنّا إليه راجعون، وعلى الإسلام السلام؛ إذ قد بُلِيت الأُمّة براعٍ مثل يزيد</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الحقّ لا يُعمل به، وإلى الباطل لا يُتناهى عنه؛ ليرغب المؤمن في لقاء ربّه حقّاً حقّاً؛ فإنّي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الحالة المتردّية التي وصل إليها وضع المجتمع الإسلامي على جميع الأصعدة </w:t>
      </w:r>
      <w:bookmarkStart w:id="113" w:name="pg7540_66589"/>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الاجتماعيّة والسياسيّة والدينيّة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بطبيعة الحال إلى نهضة إصلاحيّة متوازية وحجم الفساد والإفساد الذي أصاب الأُمّة جمعاء، نهضة تُراعي في أهدافها ورسالتها إصلاح كلّ أشكال هذا الانحراف، وتكون بمستوى المسؤولية وحجم المهمة؛ فلهذا كانت أهداف النهضة الحسينيّة بهذا الحجم الكبير والأبعاد المتعددة، وبه يتّضح جواب التساؤل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 أن نعرف الطريقة والأُسلوب الذي سلكه الإمام الحسين عَلیه السَلام للوصول إلى هدفه الإصلاحي، وهو ما نشير إليه فيما يأتي</w:t>
      </w:r>
      <w:r>
        <w:rPr>
          <w:rFonts w:eastAsia="IRNazanin" w:cs="IRNazanin"/>
          <w:color w:val="111111"/>
          <w:sz w:val="28"/>
          <w:szCs w:val="28"/>
          <w:rtl w:val="true"/>
          <w:lang w:bidi="fa-IR"/>
        </w:rPr>
        <w:t>.</w:t>
      </w:r>
    </w:p>
    <w:p>
      <w:pPr>
        <w:pStyle w:val="Heading4"/>
        <w:numPr>
          <w:ilvl w:val="3"/>
          <w:numId w:val="1"/>
        </w:numPr>
        <w:rPr/>
      </w:pPr>
      <w:bookmarkStart w:id="114" w:name="__RefHeading___Toc2792768_1051229030"/>
      <w:bookmarkStart w:id="115" w:name="_Toc40"/>
      <w:bookmarkEnd w:id="114"/>
      <w:r>
        <w:rPr>
          <w:rtl w:val="true"/>
        </w:rPr>
        <w:t>أُسلوب الإمام الحسين عَلیه السَلام وطريقته في تحقيق الإصلاح</w:t>
      </w:r>
      <w:bookmarkEnd w:id="115"/>
    </w:p>
    <w:p>
      <w:pPr>
        <w:pStyle w:val="Heading5"/>
        <w:numPr>
          <w:ilvl w:val="4"/>
          <w:numId w:val="1"/>
        </w:numPr>
        <w:rPr/>
      </w:pPr>
      <w:bookmarkStart w:id="116" w:name="__RefHeading___Toc2792770_1051229030"/>
      <w:bookmarkStart w:id="117" w:name="_Toc41"/>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يمكن أن تُذكر عدّة آراء ونظريات تفسّر الطريقة والأُسلوب الذي اتّبعه الإمام الحسين عَلیه السَلام في حركته التغييريّة؛ للوصول إلى مبتغاه في الإصلاح العامّ الشامل، إلّا أنّنا سنقتصر على رأيين رئيسين في مسألة الأُسلوب والآلية والطريقة التي اتّخذها الإمام، وهما أُسلوب الاستيلاء على الحكم، وأُسلوب التضحيّة والاستشهاد</w:t>
      </w:r>
      <w:r>
        <w:rPr>
          <w:rFonts w:eastAsia="IRNazanin" w:cs="IRNazanin"/>
          <w:color w:val="111111"/>
          <w:sz w:val="28"/>
          <w:szCs w:val="28"/>
          <w:rtl w:val="true"/>
          <w:lang w:bidi="fa-IR"/>
        </w:rPr>
        <w:t>:</w:t>
      </w:r>
    </w:p>
    <w:p>
      <w:pPr>
        <w:pStyle w:val="Heading5"/>
        <w:numPr>
          <w:ilvl w:val="4"/>
          <w:numId w:val="1"/>
        </w:numPr>
        <w:rPr/>
      </w:pPr>
      <w:bookmarkStart w:id="118" w:name="__RefHeading___Toc2792772_1051229030"/>
      <w:bookmarkStart w:id="119" w:name="_Toc42"/>
      <w:bookmarkEnd w:id="118"/>
      <w:r>
        <w:rPr>
          <w:rtl w:val="true"/>
        </w:rPr>
        <w:t>الأُسلوب الأول</w:t>
      </w:r>
      <w:r>
        <w:rPr>
          <w:rtl w:val="true"/>
        </w:rPr>
        <w:t xml:space="preserve">: </w:t>
      </w:r>
      <w:r>
        <w:rPr>
          <w:rtl w:val="true"/>
        </w:rPr>
        <w:t>الاستيلاء على السلطة وإقامة الحكم الإلهي</w:t>
      </w:r>
      <w:bookmarkEnd w:id="119"/>
    </w:p>
    <w:p>
      <w:pPr>
        <w:pStyle w:val="BookText"/>
        <w:rPr/>
      </w:pPr>
      <w:r>
        <w:rPr>
          <w:rFonts w:ascii="IRNazanin" w:hAnsi="IRNazanin" w:eastAsia="IRNazanin"/>
          <w:color w:val="111111"/>
          <w:sz w:val="28"/>
          <w:sz w:val="28"/>
          <w:szCs w:val="28"/>
          <w:rtl w:val="true"/>
          <w:lang w:bidi="fa-IR"/>
        </w:rPr>
        <w:t>يذهب أصحاب هذا الرأي إلى أنّ الإمام الحسين عَلیه السَلام إنّما سعى إلى تحقيق أهداف نهضته عن طريق استلام زمام الخلافة الإسلامية، وإصلاح ما أفسده غيره، وإعادة الأُمّة إلى رشدها ووضْعِها على جادّة الصواب، من خلال السيطرة على أجهزة الدولة ومفاصلها، واستغلالها في سبيل أسلمة المجتمع بعد أن فقد هويته الإسلاميّة الحقيقيّة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سعي الإمام عَلیه السَلام للحصول على السلطة والحكم هدفاً وغاية شخصيّة، </w:t>
      </w:r>
    </w:p>
    <w:p>
      <w:pPr>
        <w:pStyle w:val="BookText"/>
        <w:rPr/>
      </w:pPr>
      <w:r>
        <w:rPr>
          <w:rFonts w:ascii="Amiri" w:hAnsi="Amiri" w:eastAsia="Amiri" w:cs="Amiri"/>
          <w:color w:val="111111"/>
          <w:sz w:val="28"/>
          <w:sz w:val="28"/>
          <w:szCs w:val="28"/>
          <w:rtl w:val="true"/>
          <w:lang w:bidi="ar-SA"/>
        </w:rPr>
        <w:t>بل كان وسيلة وطريقاً لتحقيق أهداف نهضته الكبرى</w:t>
      </w:r>
      <w:r>
        <w:rPr>
          <w:rStyle w:val="FootnoteAnchor"/>
          <w:rtl w:val="true"/>
        </w:rPr>
        <w:footnoteReference w:id="54"/>
      </w:r>
      <w:r>
        <w:rPr>
          <w:rFonts w:ascii="IRNazanin" w:hAnsi="IRNazanin" w:eastAsia="IRNazanin"/>
          <w:color w:val="111111"/>
          <w:sz w:val="28"/>
          <w:sz w:val="28"/>
          <w:szCs w:val="28"/>
          <w:rtl w:val="true"/>
          <w:lang w:bidi="fa-IR"/>
        </w:rPr>
        <w:t xml:space="preserve">، وهذا ديدنهم في التعامل مع قضية الحكم والقيادة، وفي هذا الصدد يقول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ما كان منّا تنافساً في سلطان، ولا التماساً من فضول الحطام، ولكن لنُري المعالم من دينك، ونُظهر الإصلاح في بلادك، ويأمن المظلومون من عبادك، ويُعمل بفرائضك وسننك وأحكامك</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وبإمكاننا أن نقرِّب هذه الرؤية من خلال استعراض بعض المعطيات والشواهد التي تصبّ في صالح مَن يتبنّاها، وهي أنّه بعد أن نصّب معاوية ابنه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يكن لائقاً بهذا المنصب ولو بالحدّ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 على المسلمين قبل موته وجدت هناك موجة من الاستياء العامّ في أوساط المسلمين، ورفض بعض زعماء المسلمين البيعة، فرأى الإمام عَلیه السَلام أنّ الأجواء مهيأة لأخذ زمام المبادرة، وهو مَن يمتلك كل المقوّمات المطلوبة في الحاكم الإسلامي، فأعلن شعاره الأول الذي حمل دلالات واضحة على توجهاته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وأنّي لم أخرج أشراً ولا بطراً، ولا مُفسداً ولا ظالماً، وإنّما خرجت لطلب الإصلاح في أُمّة جدّي صلّى الله عليه و آله و سلّم أُريد أن آمر بالمعروف وأنهى عن المنكر، وأسير بسيرة جدّي وأبي علي بن أبي طالب عَلیه السَلام ، فمَن قبلني بقبول الحقّ، فالله أوْلى بالحقّ، ومَن ردّ عليَّ هذا أصبر، حتى يقضي الله بيني وبين القوم بالحقّ، وهو خير الحاكمين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وساعد على ذلك مكاتبة أهل الكوفة له ودعوتهم إياه إلى القدوم واستعدادهم للدفاع عنه ومبايعته بالخلافة؛ فبعث إليهم مسلم بن عقيل لتقويم الأُمور، والتمهيد </w:t>
      </w:r>
    </w:p>
    <w:p>
      <w:pPr>
        <w:pStyle w:val="BookText"/>
        <w:rPr/>
      </w:pPr>
      <w:r>
        <w:rPr>
          <w:rFonts w:ascii="Amiri" w:hAnsi="Amiri" w:eastAsia="Amiri" w:cs="Amiri"/>
          <w:color w:val="111111"/>
          <w:sz w:val="28"/>
          <w:sz w:val="28"/>
          <w:szCs w:val="28"/>
          <w:rtl w:val="true"/>
          <w:lang w:bidi="ar-SA"/>
        </w:rPr>
        <w:t>للدولة الجديدة التي عاصمتها الكوفة، كما أنّه كان بالإمكان أن يضمن ولاء المدينة المنوّرة ومكة؛ فأخذ يدعو كلّ مَن لقيه إلى نصرته والالتحاق به، بل بعث كُتباً ورسائل إلى زعماء القبائل يدعوهم إلى الانضمام إليه في حربه ضدّ السلطة الظالمة، ومن كُتبه تلك ما أرسله إلى زعماء البصرة 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أدعوكم إلى الله وإلى نبيِّه؛ فإنّ السنّة قد أُميتت، فإن تُجيبوا دعوتي، وتُطيعوا أمري أهدِكم سبيل الرشاد</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وممّا يدعم هذا الرأي ما كتبه الإمام الحسين عَلیه السَلام في رسالته الجوابية عن كتاب مسلم بن عقيل، حين أخبره بأنّ الأُمور في صالح أهل البيت علیهم السلام وأنّ أهل الكوفة قد اجتمعت كلمتهم على نصرة الحسين وأهل بيته علیهم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كتاب مسلم بن عقيل جاءني يُخبر فيه بحُسن رأيكم، واجتماع ملئكم على نصرنا والطلب بحقّنا، فسألت الله أن يحسن لنا الصنيع، وأن يُثيبكم على ذلك أعظم الأجر</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بناءً على بعض الأخبار أنّ الإمام عَلیه السَلام قد مارس صلاحيّاته كحاكم سياسي فعلي، حين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أموالاً بعثها إلى يزيد عامله على اليمن، قال 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سار حتى مرّ بالتنعيم، فلقي هناك عِيراً تحمل هديّةً قد بعث بها بحير بن ريسان الحميري عامل اليمن إلى يزيد بن معاوية، فأخذ الهدية؛ لأنّ حكم أُمور المسلمين إليه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وظل هذا الأمر نُصب عين الإمام عَلیه السَلام حتى بعد أن انقلبت أوضاع الكوفة، واستُشهد مسلم بن عقيل، وتفرّق الناس الذين التحقوا به إلّا ثلّة من خُلّص أصحابه، فما زال يذكّر الناس بأنّه أحقّ بالخلافة وأوْلى من يزيد بن معاوية، ويحثّهم على طاعته، وذلك حين خطب بجيش الحرّ عندما التقى به في الطريق على مقربة من </w:t>
      </w:r>
    </w:p>
    <w:p>
      <w:pPr>
        <w:pStyle w:val="BookText"/>
        <w:rPr/>
      </w:pPr>
      <w:r>
        <w:rPr>
          <w:rFonts w:ascii="Amiri" w:hAnsi="Amiri" w:eastAsia="Amiri" w:cs="Amiri"/>
          <w:color w:val="111111"/>
          <w:sz w:val="28"/>
          <w:sz w:val="28"/>
          <w:szCs w:val="28"/>
          <w:rtl w:val="true"/>
          <w:lang w:bidi="ar-SA"/>
        </w:rPr>
        <w:t>كربلاء،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فإنّكم إن تتَّقوا الله وتعرفوا الحقّ لأهله يكن أرضى لله عنكم، ونحن أهل بيت محمد، وأوْلى بولاية هذا الأمر عليكم من هؤلاء المدَّعين ما ليس لهم، والسائرين فيكم بالجور والعدوان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إنّه لم ييأس من دعوة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كتبوا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نصرته وترك جبهة الباطل، فعندما وصل إلى كربلاء دعا بدواة وقرطاس، فكتب إليهم كتاباً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أنّ هؤلاء القوم قد لزموا طاعة الشيطان، وتولّوا عن طاعة الرحمن، وأظهروا الفساد وعطّلوا الحدود، واستأثروا بالفيء، وأحلّوا حرام الله، وحرَّموا حلاله، وإنّي أحقّ بهذا الأمر؛ لقرابتي من رسول الله صلّى الله عليه و آله و سلّم ، وقد أتتني كتبكم، وقَدِمت عليّ رسلُكم ببيعتكم، أنّكم لا تسلموني ولا تخذلوني، فإن وفيتم لي ببيعتكم فقد أصبتم حظكم ورشدكم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ويرى أصحاب هذا الرأي أنّ الإمام كان يرى بعلمه العادي أنّ هذا الشيء سوف يتحقق، فاندفع إلى ذلك، كما كان النبي صلّى الله عليه و آله و سلّم يرى أنّه سوف ينتصر على الكفار في أُحد، وكذلك الحال في خروج الإمام علي عَلیه السَلام إلى معركة صفّين، فالتصدّي والتخطيط لاستلام الحكم من قِبَل إمام ما، لا يعني بالضرورة أنّ ما خُطّط له سوف يتحقق؛ فالأئمة علیهم السلام لا يخرجون عن الجانب البشري في عملهم الاجتماعي والسياسي، ولا يستخدمون الوسائل الغيبيّة إلّا في حالات خاصة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نجد هذا الرأي في كلمات السيد المرتضى رحمة الله في كتابه تنزيه الأنبياء، فإنّه ذكر عدّة تساؤلات حول نهضة الإمام الحسين عَلیه السَلام ، وتحركه من المدينة حتى كربلاء،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المبرر لخروجه إلى الكوفة وهي بيد أعدائه، وهو يعلم صنيع أهل الكوفة </w:t>
      </w:r>
      <w:bookmarkStart w:id="120" w:name="pg7540_66593"/>
    </w:p>
    <w:p>
      <w:pPr>
        <w:pStyle w:val="BookText"/>
        <w:rPr/>
      </w:pPr>
      <w:bookmarkEnd w:id="120"/>
      <w:r>
        <w:rPr>
          <w:rFonts w:ascii="IRNazanin" w:hAnsi="IRNazanin" w:eastAsia="IRNazanin"/>
          <w:color w:val="111111"/>
          <w:sz w:val="28"/>
          <w:sz w:val="28"/>
          <w:szCs w:val="28"/>
          <w:rtl w:val="true"/>
          <w:lang w:bidi="fa-IR"/>
        </w:rPr>
        <w:t>بأبيه وأخيه؟ ولماذا لم يأخذ بنصيحة أصحابه بعدم الخروج، وإلّا فسوف يُقتل؟ ثمّ لماذا لم يرجع بعد علمه بمقتل مسلم بن عقيل؟ وغير ذلك من التساؤلات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فيُجيب عنها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متى غلب في ظنّه يصل إلى حقّه والقيام بما فُوِّض إليه بضرب من الفعل؛ وجب عليه ذلك، وإن كان فيه ضرب من المشقّة يُتحمّل مثلها، تحمّلها، وسيدنا أبو عبد الله عَلیه السَلام لم يَسر طالباً للكوفة إلّا بعد توثُّق من القوم وعهود وعقود، وبعد أن كاتبوه عَلیه السَلام طائعين غير مكرهين، ومبتدئيِن غير مجيبين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عَلیه السَلام من قوّتهم على مَن كان يليهم في الحال من قِبل يزيد، وتشحّنهم عليه وضعفه عنهم، ما قوّى في ظنّه أنّ المسير هو الواجب؛ تعيّن عليه ما فعله من الاجتهاد والتسبُّب، ولم يكن في حسابه أنّ القوم يغدر بعضهم، ويضعف أهل الحقّ عن نصرته، ويتّفق بما اتّفق من الأُمور الغريبة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وبغضّ النظر عمّا يُورَد على هذا الرأي من إشكالات؛ فنحن لسنا بصدد محاكمة الآراء بقدر ما نبتغي عرضاً لهاتين الرؤيتين فقط</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2792774_1051229030"/>
      <w:bookmarkStart w:id="122" w:name="_Toc43"/>
      <w:bookmarkEnd w:id="121"/>
      <w:r>
        <w:rPr>
          <w:rtl w:val="true"/>
        </w:rPr>
        <w:t>الأُسلوب الثاني</w:t>
      </w:r>
      <w:r>
        <w:rPr>
          <w:rtl w:val="true"/>
        </w:rPr>
        <w:t xml:space="preserve">: </w:t>
      </w:r>
      <w:r>
        <w:rPr>
          <w:rtl w:val="true"/>
        </w:rPr>
        <w:t>طريق التضحية والاستشهاد</w:t>
      </w:r>
      <w:bookmarkEnd w:id="12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مَن ينظر إلى القضية من نافذة أُخرى، فيرى أنّ الإمام الحسين عَلیه السَلام لم يكن له بدٌّ في تحقيق أهدافه العظيمة إلّا ركوب الصعبة وسلوك طريق التضحية والاستشهاد؛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قد تغيّرت وتنكَّرت، وأدبر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لم يبقَ منها إلّا صبابة كصبابة الإناء، وخسيس عيش كالكلاء الوبيل</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 xml:space="preserve">، فيزيد بن معاوية لا يمتلك ما عند أبيه من سياسة المراوغة والطرق الملتوية، وإنّما تغلب عليه الحماقة والغباء والغرور مع فقدانه الوازع الديني والأخلاقي، فقرَّر تصفية خصومه ومعارضيه جسدياً، فكتب </w:t>
      </w:r>
    </w:p>
    <w:p>
      <w:pPr>
        <w:pStyle w:val="BookText"/>
        <w:rPr/>
      </w:pPr>
      <w:r>
        <w:rPr>
          <w:rFonts w:ascii="Amiri" w:hAnsi="Amiri" w:eastAsia="Amiri" w:cs="Amiri"/>
          <w:color w:val="111111"/>
          <w:sz w:val="28"/>
          <w:sz w:val="28"/>
          <w:szCs w:val="28"/>
          <w:rtl w:val="true"/>
          <w:lang w:bidi="ar-SA"/>
        </w:rPr>
        <w:t>إلى عامله على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أتاك كتابي هذا فعجِّل عليَّ بجوابه، وبيّن لي في كتابك كلّ مَن في طاعتي، أو خرج عنها، وليكن مع الجواب رأس الحسين بن علي</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كما كان لا يتوانى في ارتكاب الفظائع والجرائم، وانتهاك الحرمات والمقدّسات إذا ما حال ذلك دون تربّعه على سدّة الحكم، هذا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جهة أُخرى، فإنّ المجتمع الإسلامي قد جفّت فيه القيم الإسلامية الأصيلة، وتغيّرت فيه المفاهيم، فأضحى المعروف منكراً، والمنكر معروفاً، والشريف مبعَّداً مهمّشاً، والدني مقرَّباً محترماً، كما وصف ذلك الإمام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إلى الحقّ لا يُعمل به، وإلى الباطل لا يُتناهى عنه؛ ليرغب المؤمن في لقاء ربّه حقّاً حقّاً</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 وفي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السنّة قد أُميتت</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فخطط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ورائه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يقوم بعمليّة التغيير الشامل بتقديم نفسه وأهل بيته وأصحابه قرابين على مذبح الإصلاح، وحمله عياله وثقله ليلاقوا أهوال السبي ويقاسوا أنواع المصائب؛ ذلك ليحدث هزّة عنيفة تصعق وجدان الأُمّة، وصرخة مدويّة تصكُّ آذانها؛ لترجع عن غيّها وتستفيق من غفلتها، وتلتفت إلى ما وصل إليه حالها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ما كان يُلمح إليه قول رسول الله صلّى الله عليه و آله و سلّم في الرؤيا التي رآها الإمام الحسين عَلیه السَلام عندما زار قبر جده، قال 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يا حسين، كأنّك عن قريب أراك مقتولاً مذبوحاً بأرض كرب وبلاء من عصابة من أُمتي، وأنت في ذلك عطشان لا تُسقى، وظمآن لا تُروى، وهم مع ذلك يرجون شفاعتي، 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أنالهم الله </w:t>
      </w:r>
    </w:p>
    <w:p>
      <w:pPr>
        <w:pStyle w:val="BookText"/>
        <w:rPr/>
      </w:pPr>
      <w:r>
        <w:rPr>
          <w:rFonts w:ascii="Amiri" w:hAnsi="Amiri" w:eastAsia="Amiri" w:cs="Amiri"/>
          <w:color w:val="111111"/>
          <w:sz w:val="28"/>
          <w:sz w:val="28"/>
          <w:szCs w:val="28"/>
          <w:rtl w:val="true"/>
          <w:lang w:bidi="ar-SA"/>
        </w:rPr>
        <w:t>شفاعتي يوم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عند الله من خَلاق</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جاءت بياناته عَلیه السَلام من بدايات تحرُّكه تُشير إلى تصميم على الشهادة، وبالكيفيّة التي أرادها وخطَّط لها، ولعل أوضح تصريح له بتلك الكيفيّة عند قوله عَلیه السَلام لأُمّ سلمة حين همَّ بالخروج من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قد شاء الله عزَّ وجل أن يراني مقتولاً مذبوحاً ظُلماً وعدواناً، وقد شاء أن يرى حرمي ورهطي ونسائي مشرَّدين، وأطفالي مذبوحين مظلومين، مأسورين مقيَّدين، وهم يستغيثون فلا يجدون ناصراً ولا معيناً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حين أراد الخروج من مكة إلى العراق أكّد هذا المعنى في كتاب أرسله إلى محمد بن الحنفية وسائر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مَن لحق بي استُشهد، ومَن لم يلحق بي لم يدرك الفتح</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شواهد أُخرى كثيرة تعضد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نرى أنّ الذين نصحوا الإمام بعدم الخروج أو الذين اقترحوا عليه أُموراً معيّنة، لم يفهموا مغزى قرارات الإمام عَلیه السَلام وتصرفاته، كالتوجّه بكلّ إباء وشجاعة إلى الكوفة التي عُرفت بعدم الوفاء، وبهذا العدد القليل من الأنصار والأصحاب لملاقاة جيوش بني أُميّة، وكذلك حمل الأطفال والنساء؛ لأنّ أُولئك الناصحين والمشفقين أنى لهم معرفة هذا التخطيط الإلهي، وهذه النظرة الإلهية الواسعة الأُفق، التي لا تصدر إلّا من إمام معصوم، وقائد مرتبط بالسماء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ارتأى أن يُحقّق أهدافه بواسطة استلامه الحكم والسلطة، أم أنّه اختار سبيل التضحية والشهادة، فإنّ الإمام عَلیه السَلام لا شك في أنّه سعى لوضع الإصلاح موضع التطبيق؛ عملاً بتكليفه الإلهي ووظيفته الشرعية؛ كونه إمام هذه الأُمّة، وقائدها الشرعي المسؤول عن مصيرها ودينها ومقدراتها</w:t>
      </w:r>
      <w:r>
        <w:rPr>
          <w:rFonts w:eastAsia="IRNazanin" w:cs="IRNazanin"/>
          <w:color w:val="111111"/>
          <w:sz w:val="28"/>
          <w:szCs w:val="28"/>
          <w:rtl w:val="true"/>
          <w:lang w:bidi="fa-IR"/>
        </w:rPr>
        <w:t xml:space="preserve">. </w:t>
      </w:r>
      <w:bookmarkStart w:id="123" w:name="pg7540_66596"/>
    </w:p>
    <w:p>
      <w:pPr>
        <w:pStyle w:val="BookText"/>
        <w:rPr/>
      </w:pPr>
      <w:bookmarkEnd w:id="123"/>
      <w:r>
        <w:rPr>
          <w:rFonts w:ascii="IRNazanin" w:hAnsi="IRNazanin" w:eastAsia="IRNazanin"/>
          <w:color w:val="111111"/>
          <w:sz w:val="28"/>
          <w:sz w:val="28"/>
          <w:szCs w:val="28"/>
          <w:rtl w:val="true"/>
          <w:lang w:bidi="fa-IR"/>
        </w:rPr>
        <w:t>ثمّ بعد كلّ هذه التضحيات الجسيمة التي بذلها الإمام عَلیه السَلام في سبيل نهضته، ووقوع هذه المأساة التي لم يشهد لها التاريخ مثيلاً في شناعتها وبشاعتها، لنا ولغيرنا أن يتساءل عن التأثير الذي أحدثته عاشوراء في واقع الأُمّة ومستقبلها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تمكَّنت النهضة الحسينيّة أن توقظ الأُمّة من غفلتها، وتبعث الحياة في إرادتها، بعدما أصابها الوهن والضعف؟ وهل استطاعت أيضاً أن تُعيد لها بعض مبادئها وقيمها المفقودة؟ أو أنّ القضية على النقيض من ذلك؛ فإن الأُمّة بخذلانها الإمام الحسين عَلیه السَلام وموقفها السلبي والمشين تجاه ثورته ألبسها الله تعالى ثوب الذلّ والهوان، وأُصيبت بانتكاسة كبيرة على الأصعدة كافّة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هاتان قراءتان ورؤيتان نُحاول عرضهما للقارئ الكريم، لمعرفة صحّة كلّ منهما وواقعيته</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2792776_1051229030"/>
      <w:bookmarkStart w:id="125" w:name="_Toc44"/>
      <w:bookmarkEnd w:id="124"/>
      <w:r>
        <w:rPr>
          <w:rtl w:val="true"/>
        </w:rPr>
        <w:t>الرؤية الأولى</w:t>
      </w:r>
      <w:r>
        <w:rPr>
          <w:rtl w:val="true"/>
        </w:rPr>
        <w:t xml:space="preserve">: </w:t>
      </w:r>
      <w:r>
        <w:rPr>
          <w:rtl w:val="true"/>
        </w:rPr>
        <w:t>انتكاسة الأمّة بعد واقعة كربلاء</w:t>
      </w:r>
      <w:bookmarkEnd w:id="1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سُنن الله الجارية في خلقه أن يكون الإصلاح والتغيير والسير نحو الكمال نابعاً من المجتمع البشري نفسه، ولا يتدخَّل الله سبحانه تكويناً في حصول هذا التغيير والإصلاح إلّا في حالات خاصّة جداً،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فكثير من الأُمم عانت من الظلم والاضطهاد والانحراف بسبب رضوخها للظلم والطغيان، وخذلانها للمصلحين وقادة التغيير، والأُمّة الإسلاميّة ليست بدعاً من الأُمم؛ فإنّها قد اتّخذت سلسلة من المواقف المتراجعة، كان أولها إحجامها عن نصرة الخليفة الشرعي بعد رسول الله صلّى الله عليه و آله و سلّم ، وعدم وضعه في المكان الذي أراده الله له؛ ما جرّ عليها الويلات والمصائب، حتى جاء موقفها المتخاذل تجاه النهضة الحسينيّة، فتركت الحسين عَلیه السَلام وحيداً بين أعدائه، وهو مَن لبّى نداءها حين </w:t>
      </w:r>
      <w:bookmarkStart w:id="126" w:name="pg7540_66597"/>
    </w:p>
    <w:p>
      <w:pPr>
        <w:pStyle w:val="BookText"/>
        <w:rPr/>
      </w:pPr>
      <w:bookmarkEnd w:id="126"/>
      <w:r>
        <w:rPr>
          <w:rFonts w:ascii="Amiri" w:hAnsi="Amiri" w:eastAsia="Amiri" w:cs="Amiri"/>
          <w:color w:val="111111"/>
          <w:sz w:val="28"/>
          <w:sz w:val="28"/>
          <w:szCs w:val="28"/>
          <w:rtl w:val="true"/>
          <w:lang w:bidi="ar-SA"/>
        </w:rPr>
        <w:t>استصرخته ولهة متحيّرة، فمُنيت بالذلّة والمسكنة والانتكاسة على المستويات كافّة، ويمكن أن يُستدلّ على حصول التراجع والنكول للأُمّة الإسلاميّة بعد واقعة كربلاء بالواقع التاريخي، وبعض نصوص النهضة الحسينيّة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792778_1051229030"/>
      <w:bookmarkStart w:id="128" w:name="_Toc45"/>
      <w:bookmarkEnd w:id="127"/>
      <w:r>
        <w:rPr>
          <w:rtl w:val="true"/>
        </w:rPr>
        <w:t>الواقع التاريخي للأُمّة الإسلامية بعد عاشوراء</w:t>
      </w:r>
      <w:bookmarkEnd w:id="128"/>
    </w:p>
    <w:p>
      <w:pPr>
        <w:pStyle w:val="BookText"/>
        <w:rPr/>
      </w:pPr>
      <w:r>
        <w:rPr>
          <w:rFonts w:ascii="Amiri" w:hAnsi="Amiri" w:eastAsia="Amiri" w:cs="Amiri"/>
          <w:color w:val="111111"/>
          <w:sz w:val="28"/>
          <w:sz w:val="28"/>
          <w:szCs w:val="28"/>
          <w:rtl w:val="true"/>
          <w:lang w:bidi="ar-SA"/>
        </w:rPr>
        <w:t xml:space="preserve">إنّ نظرة إجمالية سريعة وخاطفة للواقع التاريخي للأُمّة الإسلاميّة بعد حادثة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جميع مستوياته السياسية والاجتماعية والدينية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بأنّ المسلمين عاشوا حالة من التراجع والانحدار والابتعاد عن التعاليم الإسلاميّة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المستوى السياسي، فإنّه بعد أحداث كربلاء كانت الدولة الإسلامية مفكَّكة وموزَّعة بين الأُمويين في الشام وبعض المناطق، والزبيريين المسيطرين على الحجاز والعراق، بالإضافة إلى الخوارج في بعض مناطق الجزيرة، ونشبت بين هذه الأطراف نزاعات وحروب انتهت بسيطرة الأُمويين وبسط نفوذهم على معظم المناطق في عهد عبد الملك بن مروان</w:t>
      </w:r>
      <w:r>
        <w:rPr>
          <w:rStyle w:val="FootnoteAnchor"/>
          <w:rtl w:val="true"/>
        </w:rPr>
        <w:footnoteReference w:id="72"/>
      </w:r>
      <w:r>
        <w:rPr>
          <w:rFonts w:ascii="Amiri" w:hAnsi="Amiri" w:eastAsia="Amiri" w:cs="Amiri"/>
          <w:color w:val="111111"/>
          <w:sz w:val="28"/>
          <w:sz w:val="28"/>
          <w:szCs w:val="28"/>
          <w:rtl w:val="true"/>
          <w:lang w:bidi="ar-SA"/>
        </w:rPr>
        <w:t xml:space="preserve">، ولكن هذا الأمر لم يدم طويلاً، حتى حدثت الصراعات العائلية على تولّي مقاليد الحكم ما أضعف الدولة، وكذلك ظهور الحركات النضالية والجهادية بين الحين والآخر؛ ما عجّل بسقوط الدولة الأُموية على يد العباسيين الذين استغلّوا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للتوصّل إلى الحكم عبر استقطاب الجماهير الناقمة على الأُمويين وضمان ولائها، ولكنهم ما أن تمكَّنوا من السيطرة على الحكم حتى تنكّروا لذلك الشعار، ولكنهم وإن بدوا أقوياء في بداية حكمهم الذي استمر أقلّ من قرن من الزمن، ولكنّه في تلك المدّة كان هناك الأُمويون في الأندلس، والأدارسة والخوارج في شمال إفريقيا، ومع هذا، فإنّهم سرعان ما أُصيبت دولتهم بالأدواء ذاتها التي أُصيبت به الدولة الأُموية، من الصراعات الداخلية على الحكم </w:t>
      </w:r>
    </w:p>
    <w:p>
      <w:pPr>
        <w:pStyle w:val="BookText"/>
        <w:rPr/>
      </w:pPr>
      <w:r>
        <w:rPr>
          <w:rFonts w:ascii="Amiri" w:hAnsi="Amiri" w:eastAsia="Amiri" w:cs="Amiri"/>
          <w:color w:val="111111"/>
          <w:sz w:val="28"/>
          <w:sz w:val="28"/>
          <w:szCs w:val="28"/>
          <w:rtl w:val="true"/>
          <w:lang w:bidi="ar-SA"/>
        </w:rPr>
        <w:t>والسلطة، والانشغال بجمع الثروات؛ فدبّ الضعف بأوصال الدولة العباسية واقتُطعت منها أجزاء واسعة وكثيرة، تعاقبت على حكمها دول عديدة قامت على أُسس مذهبية أو قومية، وكثيراً ما تحدث الصراعات بين هذه الدول؛ فتخبوا دول وتظهر أُخرى، حتى وصل الأمر أن فقد الخليفة العباسي كلّ صلاحياته في الحكم مدّة طويلة من الزمن، وأصبح مجرَّد اسم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ما كان يُعانيه المسلمون، من تفكّك دويلاتهم، وتشتّت قواهم وتناحرهم؛ استطاع المغول اجتياح البلاد وإسقاط الحكومة العباسية؛ وبعدها ظلّ الواقع السياسي للمسلمين في انحطاط وتدهور، حتى وقع المسلمون فريسة للاستعمار الغربي الذي احتلّ البلاد الإسلامية، ونهب ثرواتها واستعبد شعوبها، وأورثها الدمار والخراب، فأيّ ذلّ أكبر من هذا الذي عاشته الأُمّة الإسلامية في واقعها السياسي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المستوى الاجتماعي، فإنّ حال المسلمين لا يختلف عن وضعهم السياسي، فقد عاش المسلمون بعد واقعة عاشوراء ظروفاً اجتماعية سيئة تمثّلت بانتشار الفقر والفساد، وفقدان الأمن والاستقرار؛ بسبب الصراعات السياسية، مضافاً إلى تفشّي القمع والقهر والاستبداد من قِبَل حكّام الجور وولاة الظلم، كالحجاج وغيره من ولاة وحكّام بني أُميّة وبني العباس، فقتل عدداً من الخيِّرين والشرفاء، وزجّ بعدد آخر منهم في السجون والمعتقلات، فيما شرَّد بعضاً آخر، والتاريخ مليء من هذه الشواهد، كما ساعدت هذه الأوضاع على بروز ظواهر اجتماعية غريبة على المجتمع الإسلامي، كالتمييز على أساس العرق والقومية، كما حصل في الدولة الأُموية التي ميّزت بين العرب والموالي؛ ممّا يعني أنّ المسلمين كانوا بعيدين عن تعاليم دينهم ووصايا نبيهم في هذا الجانب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ولعل أفدح ما أصاب هذه الأُمّة هو أنّها حرمت نفسها من النبع الصافي للشريعة الإسلاميّة، وهم أهل البيت علیهم السلام ، الثقل الثاني مع القرآن الكريم، اللذين جُعلا أماناً من الضلال متى تُمسك بهما مجتمعَين، فراحوا يرتشفون علومهم في الفقه والعقيدة وغير ذلك من كلّ مَن هبّ ودبّ، فلم يزدهم ذلك إلّا تيهاً وضلالاً؛ فبرزت ظاهرة علماء البلاط الذين شرعنوا للحكّام ما يقومون به من ظلم وجور؛ فكان أن وُلِدت أفكار طبقاً لتوجُّهات الأنظمة المتسلطة وأمزجة حكّامها؛ فتكوّنت في الواقع الديني للمسلمين مدارس فقهيّة وعَقديّة، اندرس بعضها وظلّ بعضها الآخر حيّاً 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جانب ذلك ابتُليت الأُمّة أيضاً بمدارس منحرفة إلى درجة أنّها لا تمتّ إلى الإسلام بصلة، كحركة الزنادقة والدهريين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معظم الحكّام والولاة الذين تولّوا أُمور المسلمين كانوا بعيدين جداً عن الشريعة الإسلاميّة وأحكامها، فقد كانت قصورهم وبيوتهم تعجّ بمظاهر الفساد الأخلاقي والانحلال الديني، كمعاقرة الخمور، وممارسة الفجور، والضرب بالطنبور، والرقص والغناء واللهو؛ فانعكس ذلك بطبيعة الحال على المجتمع الإسلامي الذي تفشّت فيه هذه الظواهر؛ لأنّ الناس على دين ملوكهم كما يقال، 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أنّ كثيراً من البلاد التي فُتحت في زمن هؤلاء الطواغيت سرعان ما تعود إلى ديانتها وشركها حين تسنح الفرصة لها، عندما تضعف سيطرة الدولة على المناطق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تقدَّم هو لمحة بسيطة على واقع الأُمّة الإسلاميّة بعد عاشوراء، تبيّن من خلالها أنّ الأُمّة فقدت هويتها ودينها، وأصبحت أُمّة مفكّكة ضعيفة الإرادة واهية العزيمة؛ ما مثّل انتكاسةً وتراجعاً خطيراً بسبب خذلانها لقادتها الشرعيين، وتركها الأمر بالمعروف والنهي عن المنكر والباطل</w:t>
      </w:r>
      <w:r>
        <w:rPr>
          <w:rFonts w:eastAsia="Amiri" w:cs="Amiri" w:ascii="Amiri" w:hAnsi="Amiri"/>
          <w:color w:val="111111"/>
          <w:sz w:val="28"/>
          <w:szCs w:val="28"/>
          <w:rtl w:val="true"/>
          <w:lang w:bidi="ar-SA"/>
        </w:rPr>
        <w:t xml:space="preserve">. </w:t>
      </w:r>
      <w:bookmarkStart w:id="129" w:name="pg7540_66600"/>
    </w:p>
    <w:p>
      <w:pPr>
        <w:pStyle w:val="Heading5"/>
        <w:numPr>
          <w:ilvl w:val="4"/>
          <w:numId w:val="1"/>
        </w:numPr>
        <w:rPr/>
      </w:pPr>
      <w:bookmarkStart w:id="130" w:name="__RefHeading___Toc2792780_1051229030"/>
      <w:bookmarkStart w:id="131" w:name="_Toc46"/>
      <w:bookmarkEnd w:id="129"/>
      <w:bookmarkEnd w:id="130"/>
      <w:r>
        <w:rPr>
          <w:rtl w:val="true"/>
        </w:rPr>
        <w:t>شواهد نصّية على حصول انتكاسة الأُمّة بعد عاشوراء</w:t>
      </w:r>
      <w:bookmarkEnd w:id="131"/>
    </w:p>
    <w:p>
      <w:pPr>
        <w:pStyle w:val="BookText"/>
        <w:rPr/>
      </w:pPr>
      <w:r>
        <w:rPr>
          <w:rFonts w:ascii="IRNazanin" w:hAnsi="IRNazanin" w:eastAsia="IRNazanin"/>
          <w:color w:val="111111"/>
          <w:sz w:val="28"/>
          <w:sz w:val="28"/>
          <w:szCs w:val="28"/>
          <w:rtl w:val="true"/>
          <w:lang w:bidi="fa-IR"/>
        </w:rPr>
        <w:t>في طيّات مواقف الإمام الحسين عَلیه السَلام وبياناته وخطبه، بإمكان المتابع أن يرصد بعض عباراته التي تدلّ على أنّ الإمام كان يستشرف مستقبل الأُمّة، وما يؤول إليه مستقبلها، من الوقوع في الذلّ والخوف والهوان، فيما إذا خانت أمانتها وقصّرت في أداء واجبها، ولم تنصر الحقّ ليس فقط بعدم الوقوف إلى جانب أهله، بل بنصرة أهل الباطل وتقديم الدعم والعون لهم، بقتال أهل الحقّ ومناجزتهم وقتلهم، ففي إحدى المواقف التي يُسجّلها لنا التاريخ حين يصل إلى منطقة في طريقه إلى الكوفة، يلتقي به رجل من أهل الكوفة يكنّى أبا هرم، فيسأله عن السبب الذي أخرجه من المدينة، فيبادره الإمام عَلیه السَلام بجواب فيه نوع من الشدّة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شتموا عرضي فصبرت، وطلبوا مالي فصبرت، وطلبوا دمي فهربت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يُبيّن له ما سيلاقيه من القتل على أيدي هؤلاء، وما سيحلّ بهم نتيجة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 الله، ليقتلُنّي، ثمّ ليُلبسنّهم الله ذلاً شاملاً، وسيفاً قاطعاً، وليُسلّطنّ عليهم مَن يذلّهم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كلام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وصف الذلّ الذي سيحلّ بهم بأنّه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سيتجرّعون مرارة الذلّ على أكثر من صعيد، سوى ما يعانونه من القتل والتنكيل على أيدي حكّام الجور والظلم، وهذا ما حصل فعلاً وشهده تاريخ المسلمين، ولا نظنّ أنّ القضية مختصّة بمَن باشروا قتل الإمام عَلیه السَلام ، وإنّما يشمل كلّ مَن علم بثورته ونهضته ولم ينصره خوفاً أو طمعاً، وكلّ مَن رضي بذلك ممّن عاصر نهضته أو من الأجيال اللاحقة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قصّة مشابهة لهذه القصّة، يلتقي به رجل يكنى أبا هرّة، ويسأله السؤال ذاته المتقدِّم، ويُجيبه الإمام عَلیه السَلام بالجواب نفسه، ولعل القصّتين قصّة واحدة وحصل </w:t>
      </w:r>
    </w:p>
    <w:p>
      <w:pPr>
        <w:pStyle w:val="BookText"/>
        <w:rPr/>
      </w:pPr>
      <w:r>
        <w:rPr>
          <w:rFonts w:ascii="IRNazanin" w:hAnsi="IRNazanin" w:eastAsia="IRNazanin"/>
          <w:color w:val="111111"/>
          <w:sz w:val="28"/>
          <w:sz w:val="28"/>
          <w:szCs w:val="28"/>
          <w:rtl w:val="true"/>
          <w:lang w:bidi="fa-IR"/>
        </w:rPr>
        <w:t>تصحيف في الاسم، ولكن الإمام عَلیه السَلام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وليُسلطنّ عليهم مَن يذلّهم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يضيف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يكونوا أذلّ من قوم سبأ؛ إذ ملكتهم امرأة منهم، فحكمت في أموالهم وفي دمائهم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 وهو ما يرمي إلى أنّ الأُمّة بعد قتلها الحسين عَلیه السَلام سيتحكّم بمصيرها ومقدراتها أراذلُها؛ حتى يوردوها في مهاوي الردى والهلكة، ويظلّ أهل العقل والرأي مقهورين مقموعين، كما حصل مع قوم سبأ، بل هم أضلّ؛ لأنّ تلك المرأة كانت تمتلك رجاحة في عقلها دلّ عليه تصرفها مع طلب النبي سليمان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تبقى المرأة بشكل عامّ لا تمتلك مقوّمات القيادة التي تحتاج إلى حزم وقوة وصبر وثبات في المواقف الصعبة والحرجة، وبما أن المرأة لا تتمتع بهذه الأُمور بحكم طبيعة تكوينها؛ فيصبح تبوّؤ المرأة لمنصب الحكم والقيادة بدل الرجال علامة على ذلّ وهوان هؤلاء الرجال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نصّ آخر يعطينا الإمام صورة تُبيّن لنا مدى ما يصل إليه القوم من الامتهان والذلّ، عندما يقدمون على قتله وانتهاك حرمات الله، فيصفهم بأنّهم سيكونون أذلّ من الخرقة التي تضعها المرأة في فرجها أيام حيضها، وهو ما رواه الطبري وابن عساكر، عن الإمام الحسين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يدعوني حتى يستخرجوا هذه العلقة من جوفي، فإذا فعلوا سلّط الله عليهم مَن يذلّهم حتى يكونوا أذلّ من فرم الأَمة</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وذكرها في الكامل في التاريخ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يكونوا أذلّ من فرام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والفرام خرقة تجعلها المرأة في قُبلها إذا حاضت</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32" w:name="pg7540_66602"/>
    </w:p>
    <w:p>
      <w:pPr>
        <w:pStyle w:val="BookText"/>
        <w:rPr/>
      </w:pPr>
      <w:bookmarkEnd w:id="132"/>
      <w:r>
        <w:rPr>
          <w:rFonts w:ascii="IRNazanin" w:hAnsi="IRNazanin" w:eastAsia="IRNazanin"/>
          <w:color w:val="111111"/>
          <w:sz w:val="28"/>
          <w:sz w:val="28"/>
          <w:szCs w:val="28"/>
          <w:rtl w:val="true"/>
          <w:lang w:bidi="fa-IR"/>
        </w:rPr>
        <w:t>وهذه النصوص لا تحتاج إلى تعليق لبيان دلالتها على ما يُصيب هؤلاء من ذلّ وانحطاط، جرّاء ما عملت أيدهم من انتهاك حرمات الله بخذلان الحسين عَلیه السَلام ، ثمّ قتله هو وأهل بيته وأصحابه، وسبي ذراريهم، وانتهاب ثقلهم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ربما تختصّ بالذين باشروا هذه الأعمال، لكن يمكن أن تعمّ كلّ مَن هُم على شاكلتهم في ذلك الوقت، من أعوان الظلمة وسلاطين الجور، وممّن سيأتي بعدهم على مرّ الدهور، وهم كُثُر طالما تظاهروا على أهل الحقّ من الأئمة والمصلحين والثائرين، ومارسوا ضدّهم كلّ أشكال الاضطهاد والاستبداد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البيان الذي تقدّم، ومن خلال ما عرضناه سريعاً من وقائع تاريخية وشواهد نصّية تشهد بمجموعها على صحّة الرؤية، التي تذهب إلى أنّ الأُمّة انتكست بعد ثورة الإمام الحسين عَلیه السَلام وأصابها الوهن والضعف في مجمل تاريخها، إلّا من بعض الفترات المضيئة هنا وهناك</w:t>
      </w:r>
      <w:r>
        <w:rPr>
          <w:rFonts w:eastAsia="IRNazanin" w:cs="IRNazanin"/>
          <w:color w:val="111111"/>
          <w:sz w:val="28"/>
          <w:szCs w:val="28"/>
          <w:rtl w:val="true"/>
          <w:lang w:bidi="fa-IR"/>
        </w:rPr>
        <w:t>.</w:t>
      </w:r>
    </w:p>
    <w:p>
      <w:pPr>
        <w:pStyle w:val="Heading5"/>
        <w:numPr>
          <w:ilvl w:val="4"/>
          <w:numId w:val="1"/>
        </w:numPr>
        <w:rPr/>
      </w:pPr>
      <w:bookmarkStart w:id="133" w:name="__RefHeading___Toc2792782_1051229030"/>
      <w:bookmarkStart w:id="134" w:name="_Toc47"/>
      <w:bookmarkEnd w:id="133"/>
      <w:r>
        <w:rPr>
          <w:rtl w:val="true"/>
        </w:rPr>
        <w:t>الرؤية الثانية</w:t>
      </w:r>
      <w:r>
        <w:rPr>
          <w:rtl w:val="true"/>
        </w:rPr>
        <w:t xml:space="preserve">: </w:t>
      </w:r>
      <w:r>
        <w:rPr>
          <w:rtl w:val="true"/>
        </w:rPr>
        <w:t>نهضة الحسين وإيقاظ الأُمّة</w:t>
      </w:r>
      <w:bookmarkEnd w:id="1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قبال ما تقدَّم من قراءةٍ حول مصير الأُمّة بعد أحداث عاشوراء هناك انطباع مغاير وقراءة تختلف في نظرتها للمجتمع الإسلامي عن القراءة الأولى، وهي وإن تقبل في حدود معيّنة أنّ الأُمّة وقعت في كثير من الكبوات في مسيرتها، وعاشت في فترات من الركود أو التراجع، إلّا أنّها في الوقت عينه تعتقد بأنّ نهضة الإمام الحسين عَلیه السَلام وأحداث عاشوراء المؤلمة ساعدت الأُمّة على الاحتفاظ بالعديد من عناصر قوّتها وحيويّتها، وجعلتها أُمّة تنبض فيها روح الرفض والثورة، ومنحتها الحصانة ضد التيّارات والأهواء التي تعمل على انسلاخ الأُمّة عن دينها وهويتها؛ وذلك من خلال ما أفرزته عاشوراء من نتائج ومعطيات عديدة</w:t>
      </w:r>
      <w:r>
        <w:rPr>
          <w:rFonts w:eastAsia="IRNazanin" w:cs="IRNazanin"/>
          <w:color w:val="111111"/>
          <w:sz w:val="28"/>
          <w:szCs w:val="28"/>
          <w:rtl w:val="true"/>
          <w:lang w:bidi="fa-IR"/>
        </w:rPr>
        <w:t xml:space="preserve">. </w:t>
      </w:r>
      <w:bookmarkStart w:id="135" w:name="pg7540_66603"/>
    </w:p>
    <w:p>
      <w:pPr>
        <w:pStyle w:val="Heading4"/>
        <w:numPr>
          <w:ilvl w:val="3"/>
          <w:numId w:val="1"/>
        </w:numPr>
        <w:rPr/>
      </w:pPr>
      <w:bookmarkStart w:id="136" w:name="__RefHeading___Toc2792784_1051229030"/>
      <w:bookmarkStart w:id="137" w:name="_Toc48"/>
      <w:bookmarkEnd w:id="135"/>
      <w:bookmarkEnd w:id="136"/>
      <w:r>
        <w:rPr>
          <w:rtl w:val="true"/>
        </w:rPr>
        <w:t>نتائج ومُعطيات النهضة الحسينيّة</w:t>
      </w:r>
      <w:bookmarkEnd w:id="137"/>
    </w:p>
    <w:p>
      <w:pPr>
        <w:pStyle w:val="Heading5"/>
        <w:numPr>
          <w:ilvl w:val="4"/>
          <w:numId w:val="1"/>
        </w:numPr>
        <w:rPr/>
      </w:pPr>
      <w:bookmarkStart w:id="138" w:name="__RefHeading___Toc2792786_1051229030"/>
      <w:bookmarkStart w:id="139" w:name="_Toc49"/>
      <w:bookmarkEnd w:id="138"/>
      <w:r>
        <w:rPr>
          <w:rtl w:val="true"/>
        </w:rPr>
        <w:t>أولاً</w:t>
      </w:r>
      <w:r>
        <w:rPr>
          <w:rtl w:val="true"/>
        </w:rPr>
        <w:t xml:space="preserve">: </w:t>
      </w:r>
      <w:r>
        <w:rPr>
          <w:rtl w:val="true"/>
        </w:rPr>
        <w:t>نزع غطاء الشرعيّة عن سلطة بني أميّة وبيان أحقّيّة أهل البيت علیهم السلام</w:t>
      </w:r>
      <w:bookmarkEnd w:id="139"/>
    </w:p>
    <w:p>
      <w:pPr>
        <w:pStyle w:val="BookText"/>
        <w:rPr/>
      </w:pPr>
      <w:r>
        <w:rPr>
          <w:rFonts w:ascii="IRNazanin" w:hAnsi="IRNazanin" w:eastAsia="IRNazanin"/>
          <w:color w:val="111111"/>
          <w:sz w:val="28"/>
          <w:sz w:val="28"/>
          <w:szCs w:val="28"/>
          <w:rtl w:val="true"/>
          <w:lang w:bidi="fa-IR"/>
        </w:rPr>
        <w:t>إنّ معاوية بن أبي سفيان رغم كلّ سلوكياته وأفعاله المجانبة للحقّ وتعاليم الدين الإسلامي، لكنّه عمل جاهداً على الحفاظ على صورته أمام المسلمين وتقديم نفسه على أنّه صحابي وكاتب للوحي وعامل للخليفة الثاني والثالث على بلاد الشام، والمُطالب بدم الخليفة عثمان، وغيرها من الأمور التي انطلت على قطاعات واسعة من بسطاء الأُمّة، لكنّه عندما نصّب ابنه يزيد خليفة على المسلمين كان لا بدّ من الوقوف بوجه هذه الخطوة ونزع الغطاء الشرعي عن يزيد وحكومته، وتقديم البديل الشرعي عنه وهم أهل البيت علیهم السلام ، وهذا ما قاله الحسين عَلیه السَلام للوليد بن عتية والي المدينة عندما طلب منه البيعة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الأمير، إنّا أهل بيت النبوة، ومعدن الرسالة، ومختلف الملائكة، وبنا فتح الله، وبنا ختم الله، ويزيد رجل فاسق شارب الخمر، قاتل النفس المحرَّمة، معلِن بالفسق، ومثلي لا يُبايع مثله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أشرنا في بداية المقال إلى ما رُوي عن الإمام عَلیه السَلام 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سمعت جدي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آل أبي سفيان</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فهم طلقاء هذه الأُمّة، الذين لم يترسّخ الإيمان في قلوبهم، وما أسلموا إلّا حين رأوا جحافل المسلمين تدخل فاتحةً مكةَ ومطهرةً لها من بقايا الشرك والأوثان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 الإمام عَلیه السَلام في مناسبة أُخرى شروط الحاكم الشرعيّة التي يجب توفرها فيمَن يتولّى أُمور المسلمين، وليس كلّ من يستولي على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بالقهر والغلبة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الأُمّة أن تطيعه، وذكر هذه الشروط حين ردّ على كُتب أهل الكوفة التي وصلته وهو في مكة،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ما الإمام إلّا العامل بالكتاب، والآخذ بالقسط، والدائن بالحقّ، والحابس نفسه على ذات الله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المواصفات أبعد ما تكون عن يزيد وأترابه من بني أُمية، ولا تنطبق إلّا على الحسين وأهل البيت علیهم السلام ، فالإمام الحسين عَلیه السَلام بنهضته المباركة ثبّت أركان هذا الأصل الذي جاء به الإسلام وبلّغه النبي صلّى الله عليه و آله و سلّم بعد أن كاد بنو أُمية أن يطمسوه ويغيّروا معالمه بتأسيس ضوابط جديدة للحاكم الإسلامي، بعيدة عن روح الإسلام ورسالته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أتت النهضة الحسينيّة أُكُلَها في مسألة إسقاط الشرعيّة عن بني أُميّة، بعد برهة وجيزة من الزمن حين هلك يزيد بن معاوية سنة أربع وستين للهجرة، وكان قد استخلف ابنه معاوية بن يزيد، فقام معاوية هذا خطيباً في الناس مبيّناً عدم شرعيّة خلافة بني أُمية، وأنّهم مغتصبون لها من أصحابها الشرعيين، فقد روى اليعقوبي في تاريخه أنّ معاوية بن يزيد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جدي معاوية بن أبي سفيان نازع الأمر مَن كان أولى به منه في القرابة برسول الله، وأحقّ في الإسلام، سابق المسلمين، وأول المؤمنين، وابن عمّ رسول ربّ العالمين، وأبا بقية خاتم المرسلين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ولم يبقَ في الحكم إلّا ثلاثة أشهر أو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الأقوال</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في ظروف غامضة، وعصفت الاختلافات في الدولة الأُموية، وعاشت فراغاً سياسيّاً كاد أن يطيح بها لولا تولي مروان بن الحكم مقاليد السلطة في اللحظات الأخيرة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ظلت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سيطرتها على الناس بالحديد والنار، واستمالتها لبعضهم بالمناصب أو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تفتقر للغطاء الشرعي في حكمها للمسلمين؛ ما حدا بالدعوة </w:t>
      </w:r>
      <w:bookmarkStart w:id="140" w:name="pg7540_66605"/>
    </w:p>
    <w:p>
      <w:pPr>
        <w:pStyle w:val="BookText"/>
        <w:rPr/>
      </w:pPr>
      <w:bookmarkEnd w:id="140"/>
      <w:r>
        <w:rPr>
          <w:rFonts w:ascii="Amiri" w:hAnsi="Amiri" w:eastAsia="Amiri" w:cs="Amiri"/>
          <w:color w:val="111111"/>
          <w:sz w:val="28"/>
          <w:sz w:val="28"/>
          <w:szCs w:val="28"/>
          <w:rtl w:val="true"/>
          <w:lang w:bidi="ar-SA"/>
        </w:rPr>
        <w:t>العباسيّة أن تنجح في رفعها شعار الأحقّيّة بالحكم من بني أُمية لقربهم من رسول الله صلّى الله عليه و آله و سلّم ، في إسقاط الدولة الأُموية وتأسيس الدولة العباسيّة على أنقاضها</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2792788_1051229030"/>
      <w:bookmarkStart w:id="142" w:name="_Toc50"/>
      <w:bookmarkEnd w:id="141"/>
      <w:r>
        <w:rPr>
          <w:rtl w:val="true"/>
        </w:rPr>
        <w:t>ثانياً</w:t>
      </w:r>
      <w:r>
        <w:rPr>
          <w:rtl w:val="true"/>
        </w:rPr>
        <w:t xml:space="preserve">: </w:t>
      </w:r>
      <w:r>
        <w:rPr>
          <w:rtl w:val="true"/>
        </w:rPr>
        <w:t>دور المظلومية والمأساة في استنهاض الأمّة</w:t>
      </w:r>
      <w:bookmarkEnd w:id="142"/>
    </w:p>
    <w:p>
      <w:pPr>
        <w:pStyle w:val="BookText"/>
        <w:rPr/>
      </w:pPr>
      <w:r>
        <w:rPr>
          <w:rFonts w:ascii="Amiri" w:hAnsi="Amiri" w:eastAsia="Amiri" w:cs="Amiri"/>
          <w:color w:val="111111"/>
          <w:sz w:val="28"/>
          <w:sz w:val="28"/>
          <w:szCs w:val="28"/>
          <w:rtl w:val="true"/>
          <w:lang w:bidi="ar-SA"/>
        </w:rPr>
        <w:t xml:space="preserve">ما إن أفِلَت شمس العاشر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استفاقت الأُمّة على هول المصيبة التي وقعت، وهي ترى آخر سبط للنبي صلّى الله عليه و آله و سلّم مذبوحاً قد فُصل رأسه عن جسده، وسائر إخوته وأهل بيته كباراً وصغاراً، وأصحابه، تطؤهم الخيل بحوافرها، ونساءه يفررن من مكان إلى مكان، وقد أُحرقت الخيام وسُلبت النساء، وأُخذن سبايا من بلد إلى بلد، مع رؤوس ذويهن هدايا إلى طغاة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أبلغ الكلمات وأفصح العبارات، وأرجح العقول والأفكار لتقف عاجزة عن وصف جانب من جوانب هذه المأساة، التي لم يأتِ بمثلها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من أهمّ الوسائل التي أراد الله سبحانه أن يستخدمها في إحداث الإصلاح الشامل هو جانب المأساة في واقعة عاشوراء، والمظلوم المحقّ يكسب تعاطف جميع أفراد المجتمع على اختلاف ميولهم، واتجاهاتهم، وأعمارهم، وثقافاتهم، فكيف إذا كانت المظلومية بهذه الصورة التي يعجز عنها الوصف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فالمأساة لغة تفهمها كلّ شرائح المجتمع وطبقاته، وهي تلامس شغاف قلوبهم، وتخاطب وجدانهم وأحاسيسهم، فتحدث طاقة كامنة تحركهم للاصطفاف إلى جانب مَن حصلت له المأساة، ونصْرته والتأثّر بأفكاره وأطروحاته؛ ولذا فقد رأينا بمجرَّد إسدال الستار على فصول مأساة كربلاء، حتى انفجر بركان النهضة الحسينيّة في وجه أعدائها، فالتهَمَ واحداً بعد الآخر، بعد انتشار موجة الرفض وتصاعد وتيرة الكراهية لكلّ ما يمتّ إلى بني أُميّة ودولتهم بصلة، فلم تدم حكومة يزيد أكثر من </w:t>
      </w:r>
      <w:bookmarkStart w:id="143" w:name="pg7540_66606"/>
    </w:p>
    <w:p>
      <w:pPr>
        <w:pStyle w:val="BookText"/>
        <w:rPr/>
      </w:pPr>
      <w:bookmarkEnd w:id="143"/>
      <w:r>
        <w:rPr>
          <w:rFonts w:ascii="Amiri" w:hAnsi="Amiri" w:eastAsia="Amiri" w:cs="Amiri"/>
          <w:color w:val="111111"/>
          <w:sz w:val="28"/>
          <w:sz w:val="28"/>
          <w:szCs w:val="28"/>
          <w:rtl w:val="true"/>
          <w:lang w:bidi="ar-SA"/>
        </w:rPr>
        <w:t>أربع سنوات، وهلك وهو لا يسيطر إلّا على أجزاء قليلة من المناطق الإسلاميّة، التي استأثرت بها الدولة الزبيريّة الممتدة من الحجاز إلى العراق وأجزاء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ظلت شعلة النهضة الحسينيّة متّقدة، تستمدّ وقودها ممّا أورثته مأساة كربلاء ومظلوميتهم من حرارة قلوب المؤمنين، وهو ما روي عن رسول الله صلّى الله عليه و آله و 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 وما ورد عن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قتيل العبرة، لا يذكرني مؤمن إلّا استعبر</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2792790_1051229030"/>
      <w:bookmarkStart w:id="145" w:name="_Toc51"/>
      <w:bookmarkEnd w:id="144"/>
      <w:r>
        <w:rPr>
          <w:rtl w:val="true"/>
        </w:rPr>
        <w:t>أثر أهل البيت في تجذير المأساة في أعماق الأُمّة</w:t>
      </w:r>
      <w:bookmarkEnd w:id="145"/>
    </w:p>
    <w:p>
      <w:pPr>
        <w:pStyle w:val="BookText"/>
        <w:rPr/>
      </w:pPr>
      <w:r>
        <w:rPr>
          <w:rFonts w:ascii="IRNazanin" w:hAnsi="IRNazanin" w:eastAsia="IRNazanin"/>
          <w:color w:val="111111"/>
          <w:sz w:val="28"/>
          <w:sz w:val="28"/>
          <w:szCs w:val="28"/>
          <w:rtl w:val="true"/>
          <w:lang w:bidi="fa-IR"/>
        </w:rPr>
        <w:t xml:space="preserve">سعى أهل البيت علیهم السلام على إبقاء ذكرى الحسين عَلیه السَلام ومأساة كربلاء حيّة في قلوب المؤمنين، وفي كل زمان ومكان لإدامة زخم الثورة الحسينيّة؛ لتحقيق هدفها في الإصلاح والتغيير، فجاء في كثير من رواياتهم التأكيد على الجانب المأساوي في حادثة عاشوراء، بالإشارة إلى بعض مشاهدها المؤلمة، فعن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صلّى الله عليه و آله و سلّم حرمة في أمرنا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ويؤكّدون كذلك على أنّ مصيبة الحسين عَلیه السَلام أعظم وأشدّ من المصائب التي مرّت على أهل البيت علیهم السلام </w:t>
      </w:r>
      <w:r>
        <w:rPr>
          <w:rStyle w:val="FootnoteAnchor"/>
          <w:rtl w:val="true"/>
        </w:rPr>
        <w:footnoteReference w:id="86"/>
      </w:r>
      <w:r>
        <w:rPr>
          <w:rFonts w:ascii="Amiri" w:hAnsi="Amiri" w:eastAsia="Amiri" w:cs="Amiri"/>
          <w:color w:val="111111"/>
          <w:sz w:val="28"/>
          <w:sz w:val="28"/>
          <w:szCs w:val="28"/>
          <w:rtl w:val="true"/>
          <w:lang w:bidi="ar-SA"/>
        </w:rPr>
        <w:t>، وأنّ يوم الحسين أقرح جفونهم، وأسبل دموعهم، وأذلّ عزيزهم، بأرض كرب وبلاء، أورثتهم الكرب والبلاء، إلى يوم الانقضاء</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46" w:name="pg7540_66607"/>
    </w:p>
    <w:p>
      <w:pPr>
        <w:pStyle w:val="BookText"/>
        <w:rPr/>
      </w:pPr>
      <w:bookmarkEnd w:id="146"/>
      <w:r>
        <w:rPr>
          <w:rFonts w:ascii="IRNazanin" w:hAnsi="IRNazanin" w:eastAsia="IRNazanin"/>
          <w:color w:val="111111"/>
          <w:sz w:val="28"/>
          <w:sz w:val="28"/>
          <w:szCs w:val="28"/>
          <w:rtl w:val="true"/>
          <w:lang w:bidi="fa-IR"/>
        </w:rPr>
        <w:t xml:space="preserve">وكان يبدو عليهم الحزن الشديد والأسى، وتعلو وجوههم الكآبة في مواسم عاشوراء وذكرى استشهاد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ويحثّون أصحابهم وشيعتهم أيضاً على إظهار الحزن والتفجّع على مصائب أبي عبد الله، والبكاء حزناً على ما جرى عليه من مصائب وويلات، وبيّنوا عظيم الثواب وجزيل الأجر على تلك الأعمال، وأمروا بإقامة المآتم والمجالس الحسينيّة التي تُذكر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الوعظ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أبي عبد الله الحسين وأهل بيته وأصحابه، ووحشية ظالميهم؛ كي تبقى مصيبة الحسين عَلیه السَلام غضّة طريّة متجددة تُحرّك في الأُمّة مشاعر الاستنكار لكلّ أشكال الظلم والاستبداد والجور على طول التاريخ تأسياً بالإمام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كانت مواسم عاشوراء تمثلّ مصدر قلق وصداع للأنظمة المستبدّة في جميع الأزمنة؛ لأنّهم يخشون من حصول بيئة مناسبة لحدوث الانتفاضات والثورات على أنظمتهم، فنراهم يعملون على منعها بكلّ الأشكال والصور، وهذا ما حصل أيام النظام البعثي المستبدّ الذي حكم العراق، فحارب الشعائر الحسينيّة وحاول منع زيارة الحسين عَلیه السَلام ، ومارس الظلم والقهر في حقّ الموالين والمحبّين لأهل البيت علیهم السلام </w:t>
      </w:r>
      <w:r>
        <w:rPr>
          <w:rFonts w:eastAsia="IRNazanin" w:cs="IRNazanin"/>
          <w:color w:val="111111"/>
          <w:sz w:val="28"/>
          <w:szCs w:val="28"/>
          <w:rtl w:val="true"/>
          <w:lang w:bidi="fa-IR"/>
        </w:rPr>
        <w:t>.</w:t>
      </w:r>
    </w:p>
    <w:p>
      <w:pPr>
        <w:pStyle w:val="Heading5"/>
        <w:numPr>
          <w:ilvl w:val="4"/>
          <w:numId w:val="1"/>
        </w:numPr>
        <w:rPr/>
      </w:pPr>
      <w:bookmarkStart w:id="147" w:name="__RefHeading___Toc2792792_1051229030"/>
      <w:bookmarkStart w:id="148" w:name="_Toc52"/>
      <w:bookmarkEnd w:id="147"/>
      <w:r>
        <w:rPr>
          <w:rtl w:val="true"/>
        </w:rPr>
        <w:t>ثالثاً</w:t>
      </w:r>
      <w:r>
        <w:rPr>
          <w:rtl w:val="true"/>
        </w:rPr>
        <w:t xml:space="preserve">: </w:t>
      </w:r>
      <w:r>
        <w:rPr>
          <w:rtl w:val="true"/>
        </w:rPr>
        <w:t>هاجس الشعور بالذنب وتأنيب الضمير</w:t>
      </w:r>
      <w:bookmarkEnd w:id="14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المعطيات المهمّة التي أفرزتها واقعة عاشوراء، وكان لها أثر مهم في إيقاظ الأُمّة واستنهاضها هو ما حصل من شعور كبير بالتقصير والندم لدى شرائح واسعة من الأُمّة الإسلامية، لا من جهة واقع عاشوراء المأساوي وما حصل من مصائب وآلام، لكن من جهة أنّ الأُمّة أحسّت بأنّها ارتكبت خطأً جسيماً وذنباً لا يُغتفر بترك الحسين عَلیه السَلام وحيداً في مواجهة أعدائه من دون أن تُقدِّم له العون والنصرة ومقاتلة خصومه وظالميه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الشعور بالذنب وتأنيب الضمير جعل فئة كبيرة من المسلمين تقدم على أفعال أرادت بها أن تخفف عنها الإحساس بهذا الشعور، ولعلّها تكفّر بذلك عمّا أقدمت عليه، وأوضح مثال لهذه الجماعة هم التوابون الذين ظهروا في الكوفة، وصمموا على الثورة ضد الأُمويين، عندما تهيأت الظروف، يقودهم إحساسهم بالذنب والندم على ما فرَّطوا في جنب الإمام الحسين عَلیه السَلام ، 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ورجع ابن زياد من معسكره بالنخيلة ودخل الكوفة تلاقته الشيعة بالتلاوم والمنادمة، ورأت أن قد أخطأت خطأً كبيراً بدعائهم الحسين وتركهم نصرته وإجابته، حتى قُتِلَ إلى جانبهم، ورأوا أنّه لا يغسل عارهم والإثم عليهم إلّا قتل مَن قتله والقتل فيهم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ونظراً إلى أنّ حركتهم نابعة من شعورهم بالخطيئة والذنب، ولكي ينصحوا في توبتهم، رفضوا عرضاً من عبد الله بن يزيد الأنصاري عامل ابن الزبير على الكوفة، يقضي بإمدادهم بقوّة عسكرية، فخرجوا حتى وصلوا إلى قبر الحسين عَلیه السَلام ، فبكوا وتابوا على خذلانهم، ثمّ قرروا المسير إلى الشام لمقاتلة بني أُمية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تطوّرت فكرة الإحساس بالذنب والندم إلى فكرة الانتقام من قتلة الإمام الحسين عَلیه السَلام والأخذ بثأره، فبدأت حركات وثورات تقوم على مبدأ الثأر، كالحركة التي قادها المختار الثقفي في الكوفة، التي استطاع من خلالها تصفية رموز وقادة الجيش الأُموي الخارج لحرب الحسين عَلیه السَلام وفي مقدِّمتهم عبيد الله بن زياد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العنصر الذي أفرزته النهضة الحسينيّة وساهم في خلق ردّة فعل لدى الأُمّة على الفساد والانحراف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له 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محدود الزمان والمكان</w:t>
      </w:r>
      <w:r>
        <w:rPr>
          <w:rFonts w:eastAsia="Amiri" w:cs="Amiri" w:ascii="Amiri" w:hAnsi="Amiri"/>
          <w:color w:val="111111"/>
          <w:sz w:val="28"/>
          <w:szCs w:val="28"/>
          <w:rtl w:val="true"/>
          <w:lang w:bidi="ar-SA"/>
        </w:rPr>
        <w:t xml:space="preserve">. </w:t>
      </w:r>
      <w:bookmarkStart w:id="149" w:name="pg7540_66609"/>
    </w:p>
    <w:p>
      <w:pPr>
        <w:pStyle w:val="BookText"/>
        <w:rPr/>
      </w:pPr>
      <w:bookmarkEnd w:id="149"/>
      <w:r>
        <w:rPr>
          <w:rFonts w:ascii="IRNazanin" w:hAnsi="IRNazanin" w:eastAsia="IRNazanin"/>
          <w:color w:val="111111"/>
          <w:sz w:val="28"/>
          <w:sz w:val="28"/>
          <w:szCs w:val="28"/>
          <w:rtl w:val="true"/>
          <w:lang w:bidi="fa-IR"/>
        </w:rPr>
        <w:t>نعم بالإمكان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ظلّت ترفعه العديد من الحركات والثورات في الإسلام، وإلى يومنا هذا؛ لأنّ الحسين عَلیه السَلام أصبح يمثّل ثورة ضد كلّ مظاهر الانحراف والفساد والظلم، مضافاً إلى الثورات والحركات التي قامت على أُسس الإحساس بالندم والخطيئة، كل ذلك مثّل علامة فارقة في التاريخ الجهادي والنضالي، وأمسى مصدر إلهام للعديد من الثورات وحركات الرفض، وأُنموذجاً قابلاً للاحتذاء والتطبيق في كلّ عهد وزمان</w:t>
      </w:r>
      <w:r>
        <w:rPr>
          <w:rFonts w:eastAsia="IRNazanin" w:cs="IRNazanin"/>
          <w:color w:val="111111"/>
          <w:sz w:val="28"/>
          <w:szCs w:val="28"/>
          <w:rtl w:val="true"/>
          <w:lang w:bidi="fa-IR"/>
        </w:rPr>
        <w:t>.</w:t>
      </w:r>
    </w:p>
    <w:p>
      <w:pPr>
        <w:pStyle w:val="Heading5"/>
        <w:numPr>
          <w:ilvl w:val="4"/>
          <w:numId w:val="1"/>
        </w:numPr>
        <w:rPr/>
      </w:pPr>
      <w:bookmarkStart w:id="150" w:name="__RefHeading___Toc2792794_1051229030"/>
      <w:bookmarkStart w:id="151" w:name="_Toc53"/>
      <w:bookmarkEnd w:id="150"/>
      <w:r>
        <w:rPr>
          <w:rtl w:val="true"/>
        </w:rPr>
        <w:t>رابعاً</w:t>
      </w:r>
      <w:r>
        <w:rPr>
          <w:rtl w:val="true"/>
        </w:rPr>
        <w:t xml:space="preserve">: </w:t>
      </w:r>
      <w:r>
        <w:rPr>
          <w:rtl w:val="true"/>
        </w:rPr>
        <w:t>حادثة عاشوراء أعادت تثمين المبادئ الدينيّة</w:t>
      </w:r>
      <w:bookmarkEnd w:id="151"/>
    </w:p>
    <w:p>
      <w:pPr>
        <w:pStyle w:val="BookText"/>
        <w:rPr/>
      </w:pPr>
      <w:r>
        <w:rPr>
          <w:rFonts w:ascii="Amiri" w:hAnsi="Amiri" w:eastAsia="Amiri" w:cs="Amiri"/>
          <w:color w:val="111111"/>
          <w:sz w:val="28"/>
          <w:sz w:val="28"/>
          <w:szCs w:val="28"/>
          <w:rtl w:val="true"/>
          <w:lang w:bidi="ar-SA"/>
        </w:rPr>
        <w:t>إنّ الإنسان بحكم ما في تركيبته من جانب مادي وأرضي قد يركن إلى حبّ السلامة والدعة، والتعلُّق بما في هذه الحياة الدنيا، من جاه وسلطة ومال وبنين وملذات أخرى، فإذا ما وُضِعَ الإنسان المسلم يوماً على المحكّ، وصار عليه أن يختار إمّا حياته الدنيا بما فيها من مزايا، وإمّا دينه وآخرته، وهذا هو الامتحان الصعب الذي لم يجتزه كثير من المسلمين، كما يشهد بذلك تاريخنا الإسلامي وواقعنا المعاصر، لكن الذي نعتقده أنّ الشيء الأساس الذي يؤدّي بالإنسان المسلم إلى الفشل في مثل هذا الاختبار ليست الجنبة المادّية والتعلّق بالدنيا، وإنّما هو غياب الوعي والإدراك الحقيقي لقيمة العقيدة والدين وجعلهما في مرتبة دانية في سلّم أولوياته وحساباته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غياب هذا الإدراك والفهم الصحيح لمكانة الدين في حياة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تساهم فيه عوامل عديدة، من أهمّها ترك المنبع الصافي للدين وتعاليمه والأخذ من مصادر شتى، فتأتي الصورة مشوهة غير واضحة المعالم، وهو ما كان عليه الأمر حين أُقصي أهل البيت علیهم السلام عن الساحة الإسلامية، وقُدِّم غيرهم على أنّهم مرجعيات دينيّة للأُمّة الإسلامية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العوامل الأُخرى هو سعي الحكّام والظَلَمة على ترسيخ حبّ الدنيا وإضعاف الوازع الديني عند المسلمين، وإبعادهم عن مبدأ الأمر بالمعروف والنهي عن المنكر؛ كي يكونوا في مأمن من غضب الجماهير وثورتها على تصرفاتهم وممارساتهم البعيدة عن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 الإمام الحسين عَلیه السَلام إلى الواقع الذي وصلت إليه الأُمّة في علاقتها الضعيفة بدينها، والتي لم تكن مستعدّة أن تضحِّي بوسائل عيشها وأسباب رزقها إذا ما هُددت في دينها وعقيدتها، وتعرّضت للبلاء والامتحان،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عبيد الدنيا، والدين لَعِقٌ على ألسنتهم يحوطونه ما درّت معائشهم، فإذا مُحِّصوا بالبلاء قلّ الديّانون</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وهو المضمون نفسه الذي ذكره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يَعْبُدُ اللَّهَ عَلَى حَرْفٍ فَإِنْ أَصَابَهُ خَيْرٌ اطْمَأَنَّ بِهِ وَإِنْ أَصَابَتْهُ فِتْنَةٌ انْقَلَبَ عَلَى وَجْهِهِ خَسِرَ الدُّنْيَا وَالْآخِرَةَ ذَلِكَ هُوَ الْخُسْرَانُ الْمُبِينُ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فجاءت النهضة الحسينيّة لتعطي القيمة الحقيقية للعقيدة والدين، وتثمّن المبادئ الإسلاميّة بشكل عملي وتجسيد حيّ، فأوضحت من خلال أحداث كربلاء وما قُدّم فيها من تضحيات وعطاءات أنّ كلّ ما يمتلكه الإنسان المسلم لا يساوي شيئاً إذا ما قيس إلى دينه وعقيدته، فإذا خسر الإنسان دينه وعقيدته لا يشفع له ما حازه من حطام الدنيا مهما كان عظيماً وكبيراً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قطع الإمام الحسين عَلیه السَلام الطريق على كلّ من يُقَدِّم الذرائع والحجج في أنّه يريد الحفاظ على نفسه، أو أهله، أو ماله، أو عرضه في حال تفريطه بدينه ومبدئه، فإنّ الإنسان المؤمن وإن كان يجب عليه الحفاظ على نفسه وماله وأهله، وصيانته </w:t>
      </w:r>
      <w:bookmarkStart w:id="152" w:name="pg7540_66611"/>
    </w:p>
    <w:p>
      <w:pPr>
        <w:pStyle w:val="BookText"/>
        <w:rPr/>
      </w:pPr>
      <w:bookmarkEnd w:id="152"/>
      <w:r>
        <w:rPr>
          <w:rFonts w:ascii="IRNazanin" w:hAnsi="IRNazanin" w:eastAsia="IRNazanin"/>
          <w:color w:val="111111"/>
          <w:sz w:val="28"/>
          <w:sz w:val="28"/>
          <w:szCs w:val="28"/>
          <w:rtl w:val="true"/>
          <w:lang w:bidi="fa-IR"/>
        </w:rPr>
        <w:t>عرضه، ولكن إذا تعارض مع حفظ المبدأ، عليه أن يبذل ذلك كلّه في سبيل دينه ومعتقده الحقّ، وقد كان هذا الأمر واضحاً في كلام الإمام عَلیه السَلام مع أصحابه وأهل بيته عندما تجهّز للخروج من مكة،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باذلاً فينا مهجته، وموطناً على لقاء الله نفسَه؛ فليرحل معنا، فإنّني راحل مصبحاً إن شاء الله تعالى</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وكذلك يمكننا أن نستظهر وجوب تقديم الدين والمبدأ على المال والنفس والأهل، ولا أن تكون الأُمور معكوسة والأولويات منكوسة من المحاورة التي حصلت بين الإمام الحسين عَلیه السَلام وعمر بن سعد عشية العاشر من المحرّم، فسأله الإمام أن يتقي الله ولا يقاتله، وهو يعلم مَن هو الحسين عَلیه السَلام ، وأن يذر هؤلاء القوم وينضمّ إليه؛ فإنّ فيه رضا الله سبحانه، فأجابه عمر بن سعد بأنّه يخاف أن تُهدم داره، وتُؤخذ ضيعته، أو يُقتل عياله، فتركه الإمام عَلیه السَلام حين وجد أن عمر بن سعد لا يعبأ لدينه وآخرته، ولا يقدمهما على دنياه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كان للإمام الحسين عَلیه السَلام بتسطيره لهذه الملحمة البطولية الفريدة، أثر واضح في تعميق هذه المفاهيم في وجدان الأُمّة؛ ليجعل منها أُمّة لم تمتْ فيها معاني التضحية والفداء، وبذل الغالي والنفيس في طريق الحقّ وحفظ المبادئ والدين، وظلّت حركات الجهاد والتحرر تستقي قيم التضحية والبذل والعطاء من معين عاشوراء الإمام الحسين عَلیه السَلام الذي لا ينضب</w:t>
      </w:r>
      <w:r>
        <w:rPr>
          <w:rFonts w:eastAsia="IRNazanin" w:cs="IRNazanin"/>
          <w:color w:val="111111"/>
          <w:sz w:val="28"/>
          <w:szCs w:val="28"/>
          <w:rtl w:val="true"/>
          <w:lang w:bidi="fa-IR"/>
        </w:rPr>
        <w:t>.</w:t>
      </w:r>
    </w:p>
    <w:p>
      <w:pPr>
        <w:pStyle w:val="Heading5"/>
        <w:numPr>
          <w:ilvl w:val="4"/>
          <w:numId w:val="1"/>
        </w:numPr>
        <w:rPr/>
      </w:pPr>
      <w:bookmarkStart w:id="153" w:name="__RefHeading___Toc2792796_1051229030"/>
      <w:bookmarkStart w:id="154" w:name="_Toc54"/>
      <w:bookmarkEnd w:id="153"/>
      <w:r>
        <w:rPr>
          <w:rtl w:val="true"/>
        </w:rPr>
        <w:t>خامساً</w:t>
      </w:r>
      <w:r>
        <w:rPr>
          <w:rtl w:val="true"/>
        </w:rPr>
        <w:t xml:space="preserve">: </w:t>
      </w:r>
      <w:r>
        <w:rPr>
          <w:rtl w:val="true"/>
        </w:rPr>
        <w:t>معايير النصر والهزيمة في نظر الحسين عَلیه السَلام</w:t>
      </w:r>
      <w:bookmarkEnd w:id="1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الغالب تُحسب نتائج النصر والهزيمة وفق الحسابات المادّية والآنيّة، وهو فيما إذا استطاع أحد الأطراف إنزال الهزيمة بخصمه من خلال قتله، أو تدمير معداته، أو </w:t>
      </w:r>
    </w:p>
    <w:p>
      <w:pPr>
        <w:pStyle w:val="BookText"/>
        <w:rPr/>
      </w:pPr>
      <w:r>
        <w:rPr>
          <w:rFonts w:ascii="Amiri" w:hAnsi="Amiri" w:eastAsia="Amiri" w:cs="Amiri"/>
          <w:color w:val="111111"/>
          <w:sz w:val="28"/>
          <w:sz w:val="28"/>
          <w:szCs w:val="28"/>
          <w:rtl w:val="true"/>
          <w:lang w:bidi="ar-SA"/>
        </w:rPr>
        <w:t>إجباره على الاستسلام، أو الفرار، أو الانسحاب، فإنّ هذا الطرف يعدّ منتصراً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هذه النظرة في تقييم نتائج الصراع قاصرة وغير دقيقة؛ إذ لا بدّ أن تكون النظرة أكثر بُعداً وعمقاً وشمولاً لكلّ جوانب المسألة، فربما تجد جهةٍ ما استطاعت أن تنزل هزيمة عسكرية آنيّة ساحقة بعدوها، ولكن النتائج في المستقبل في غير صالحها، فيتحوّل هذا النصر العسكري إلى كابوس يقضّ مضاجعها، وتميل كفّة النصر إلى صالح المنهزم والمقتول، وهذا ما أفرزته نتائج نهضة الإمام الحسين عَلیه السَلام ؛ إذ أعطت معايير جديدة وصحيحة لتقويم نتائج الفوز والخسارة في موازين الصراع والمعارك الحاصلة بين الخصوم، فإنّ النتائج الآنيّة والأولية تؤشر انتصار الجيش الأُموي في معركة كربلاء، وقتل الإمام الحسين وأهل بيته وأصحابه، وانتهاب ثقله وسبي حرمه، لكنّ الطريقة المثلى هي التي أدار بها الإمام الحسين عَلیه السَلام دفّة الصراع والخطوات الصحيحة التي اتّخذها منذ بداية نهضته وخروجه من المدينة وتوجهه إلى مكة، ثمّ العراق ووصوله إلى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كان الإمام الحسين عَلیه السَلام واثقاً من تحقيق هذا الانتصار الباهر طبق الموازين، حين كتب إلى أخيه محمد بن الحنفية، وسائر بني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مَن لَحِق بي استشهد، ومَن لم يلحق بي لم يدرك الفتح</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العبارة من الإمام وقعت مورداً للبحث والتحليل، وهناك بعض التفسيرات لها، كقول العلاّمة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يبلغ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يبلغ ما يتمنّاه من فتوح الدنيا والتمتّع بها، وظاهر هذا الجواب ذمّه، ويحتمل أن يكون المعنى أنّه عَلیه السَلام خيَّرهم في ذلك، فلا إثم على مَن تخلّف</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ولكننا نظنّ أنّها تفسيرات بعيدة عن مراده عَلیه السَلام ، والأقرب هو ما نحن بصدده من أنّه عَلیه السَلام كان يدرك تمام الإدراك أنّه سيحقق النصر والفتح العظيم بتحقيق أهداف نهضته من الإصلاح والتغيير، وزوال دولة الظلم والجور، وأنّهم بشهادتهم سيحققون هذا النصر المؤزّر، وينالون هذه المنزلة العظيمة التي سيُحرم منها مَن لم يلتحق بهذه النهضة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إطلالة سريعة لمجمل أحداث التاريخ تبيّن وضوح الرؤية التي بيّنها الإمام عَلیه السَلام في قوله السالف الذكر، فقد أعطت النهضة الحسينيّة نتائج باهرة، فعلى المستوى السياسي لم يتمكّن بنو أُميّة من الاستمرار في الحكم، سوى حفنة من السنين الممتلئة بالمشاكل والاضطرابات لتنتهي على يد الدولة العباسية بشعار الرضا من آل محمد صلّى الله عليه و آله و سلّم ، وهذا ما تحقق أيضاً في الدولة العباسية، فقد قامت عدّة انتفاضات وثورات ضدها استلهمت النموذج الحسيني في أُسلوبها</w:t>
      </w:r>
      <w:r>
        <w:rPr>
          <w:rStyle w:val="FootnoteAnchor"/>
          <w:rtl w:val="true"/>
        </w:rPr>
        <w:footnoteReference w:id="96"/>
      </w:r>
      <w:r>
        <w:rPr>
          <w:rFonts w:ascii="Amiri" w:hAnsi="Amiri" w:eastAsia="Amiri" w:cs="Amiri"/>
          <w:color w:val="111111"/>
          <w:sz w:val="28"/>
          <w:sz w:val="28"/>
          <w:szCs w:val="28"/>
          <w:rtl w:val="true"/>
          <w:lang w:bidi="ar-SA"/>
        </w:rPr>
        <w:t>، وأما على الصعيد الاجتماعي والديني، فما زالت النهضة الحسينيّة إلى يومنا هذا نبع عطاء لا ينضب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الإشارة إلى أن عاشوراء الحسين عَلیه السَلام أحيت بعض القيم والمبادئ النبيلة وأعطتها دفعة معنوية، ومنها مبدأ الموت في عزّ وشرف أحلى من الحياة في ذلّ وهوان في ظل الظالمين والمتجبِّرين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لا أرى الموت إلّا سعادة، والحياة مع الظالمين إلّا برما</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 وكذلك مبدأ الثبات في المواجهة حتى النهاية، وعدم الجنوح نحو الاستسلام المذلّ أو الفرار المهين؛ الأمر الذي يفرض الثائر من خلالِه احترامَه وتقديرَه على الجميع</w:t>
      </w:r>
      <w:r>
        <w:rPr>
          <w:rFonts w:eastAsia="Amiri" w:cs="Amiri" w:ascii="Amiri" w:hAnsi="Amiri"/>
          <w:color w:val="111111"/>
          <w:sz w:val="28"/>
          <w:szCs w:val="28"/>
          <w:rtl w:val="true"/>
          <w:lang w:bidi="ar-SA"/>
        </w:rPr>
        <w:t xml:space="preserve">. </w:t>
      </w:r>
      <w:bookmarkStart w:id="155" w:name="pg7540_66614"/>
    </w:p>
    <w:p>
      <w:pPr>
        <w:pStyle w:val="BookText"/>
        <w:rPr/>
      </w:pPr>
      <w:bookmarkEnd w:id="155"/>
      <w:r>
        <w:rPr>
          <w:rFonts w:ascii="Amiri" w:hAnsi="Amiri" w:eastAsia="Amiri" w:cs="Amiri"/>
          <w:color w:val="111111"/>
          <w:sz w:val="28"/>
          <w:sz w:val="28"/>
          <w:szCs w:val="28"/>
          <w:rtl w:val="true"/>
          <w:lang w:bidi="ar-SA"/>
        </w:rPr>
        <w:t xml:space="preserve">لا شكّ في أنّ هناك معطيات ونتائج أُخرى ولّدتها النهضة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ساهمت في استنهاض الأُمّة وإيقاظها، وحافظت على روح الرفض فيها لكلّ أشكال الخنوع والذلّ، ويشهد لذلك ما تشهده البلاد الإسلاميّة من مظاهر الصحوة والنهوض في القرن الأخير من هذا الزمان</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2792798_1051229030"/>
      <w:bookmarkStart w:id="157" w:name="_Toc55"/>
      <w:bookmarkEnd w:id="156"/>
      <w:r>
        <w:rPr>
          <w:rtl w:val="true"/>
        </w:rPr>
        <w:t>نظرة توفيقية</w:t>
      </w:r>
      <w:r>
        <w:rPr>
          <w:rtl w:val="true"/>
        </w:rPr>
        <w:t>:</w:t>
      </w:r>
      <w:bookmarkEnd w:id="15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المطاف يمكن الملائمة والتوفيق بين الرؤية الأُولى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الأُمّة باءت بالذلّ والصَغار بعد تخليها عن نصرة النهضة الحسينيّة والاستفادة منها، وبين الرؤية الثانية التي عرضناها آنفاً،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محطّة مهمة وأساسيّة في المسيرة التكامليّة للبشرية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بها مَن يلتحق بها أو يتزوّد من عطائها ويستفيد من فيضها، ويتضرر مَن يعرض عنها أو يكون في الجهة المناوئة لها؛ فيصيبه الذلّ والهوان، ويبوء بالخيبة والخسران، ولعلّ هذا حال الكثيرين في الأُمّة الإسلاميّة، وهذا لا يعني بأي حال من الأحوال أنّ النهضة الحسينيّة كانت السبب في وقوع الأُمّة في وهاد الانحطاط والذلّ، فمثلها في ذلك كمثل دعوات الأنبياء والرسل فاز فيها قوم وضلّ وخسر آخرون،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7540_66616"/>
      <w:bookmarkStart w:id="159" w:name="pg7540_66616"/>
      <w:bookmarkEnd w:id="159"/>
    </w:p>
    <w:p>
      <w:pPr>
        <w:pStyle w:val="Heading3"/>
        <w:numPr>
          <w:ilvl w:val="2"/>
          <w:numId w:val="1"/>
        </w:numPr>
        <w:rPr/>
      </w:pPr>
      <w:bookmarkStart w:id="160" w:name="pg7540_66616"/>
      <w:bookmarkStart w:id="161" w:name="__RefHeading___Toc2792800_1051229030"/>
      <w:bookmarkStart w:id="162" w:name="_Toc56"/>
      <w:bookmarkEnd w:id="160"/>
      <w:bookmarkEnd w:id="161"/>
      <w:r>
        <w:rPr>
          <w:rtl w:val="true"/>
        </w:rPr>
        <w:t>شُهدَاءُ الطَّف وَ تفَدِیَةُ المَعصُومَ لَهُم الشيخ صباح عباس الساعدي</w:t>
      </w:r>
      <w:bookmarkEnd w:id="162"/>
    </w:p>
    <w:p>
      <w:pPr>
        <w:pStyle w:val="Heading4"/>
        <w:numPr>
          <w:ilvl w:val="3"/>
          <w:numId w:val="1"/>
        </w:numPr>
        <w:rPr/>
      </w:pPr>
      <w:bookmarkStart w:id="163" w:name="__RefHeading___Toc2792802_1051229030"/>
      <w:bookmarkStart w:id="164" w:name="_Toc57"/>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من العبائر التي يُطلقها العرب مخاطبين بها الشخص الذي يعزُّ عليهم هو ما يكون مَفاده ومؤدّاه الفداء أو التفدية والمُفاداة</w:t>
      </w:r>
      <w:r>
        <w:rPr>
          <w:rStyle w:val="FootnoteAnchor"/>
          <w:rtl w:val="true"/>
        </w:rPr>
        <w:footnoteReference w:id="99"/>
      </w:r>
      <w:r>
        <w:rPr>
          <w:rFonts w:ascii="Amiri" w:hAnsi="Amiri" w:eastAsia="Amiri" w:cs="Amiri"/>
          <w:color w:val="111111"/>
          <w:sz w:val="28"/>
          <w:sz w:val="28"/>
          <w:szCs w:val="28"/>
          <w:rtl w:val="true"/>
          <w:lang w:bidi="ar-SA"/>
        </w:rPr>
        <w:t>، وهي من المفردات التي تحمل بُعداً تعاطفياً مع ذلك الشخص الذي يُخاطَب بها،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نفسي، أو فديتُك بنفسي، أو جُعلت فداك، أو فداك أبي وأُمّي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أئمة الحديث أنّ الفداء بمعنى الدعاء</w:t>
      </w:r>
      <w:r>
        <w:rPr>
          <w:rStyle w:val="FootnoteAnchor"/>
          <w:rtl w:val="true"/>
        </w:rPr>
        <w:footnoteReference w:id="100"/>
      </w:r>
      <w:r>
        <w:rPr>
          <w:rFonts w:ascii="Amiri" w:hAnsi="Amiri" w:eastAsia="Amiri" w:cs="Amiri"/>
          <w:color w:val="111111"/>
          <w:sz w:val="28"/>
          <w:sz w:val="28"/>
          <w:szCs w:val="28"/>
          <w:rtl w:val="true"/>
          <w:lang w:bidi="ar-SA"/>
        </w:rPr>
        <w:t xml:space="preserve">، وقد يُستغنى عن ذكر مادّة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التخفيف</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ويُعوّض عنه بحرف الباء فقط،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بنفسي أنت؛ فقد ذكر المجلسي في روضة المتَّقين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أو بأبَويَّ أنت، معناه أفديك بأبي وأُمّي، وجعل الله أبي وأُمّي </w:t>
      </w:r>
    </w:p>
    <w:p>
      <w:pPr>
        <w:pStyle w:val="BookText"/>
        <w:rPr/>
      </w:pPr>
      <w:r>
        <w:rPr>
          <w:rFonts w:ascii="Amiri" w:hAnsi="Amiri" w:eastAsia="Amiri" w:cs="Amiri"/>
          <w:color w:val="111111"/>
          <w:sz w:val="28"/>
          <w:sz w:val="28"/>
          <w:szCs w:val="28"/>
          <w:rtl w:val="true"/>
          <w:lang w:bidi="ar-SA"/>
        </w:rPr>
        <w:t>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الباء تُسمى بباء التفدية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وتُستعمل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المعاجم اللغويّة في معنيين 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شيءٌ مكان شيءٍ حمىً ووقايةً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الطعام</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فدىً لكما رجلي أُمّي وخالتي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الكلاب إذ تحزّ الدوابر</w:t>
      </w:r>
    </w:p>
    <w:p>
      <w:pPr>
        <w:pStyle w:val="BookText"/>
        <w:rPr/>
      </w:pPr>
      <w:r>
        <w:rPr>
          <w:rFonts w:ascii="Amiri" w:hAnsi="Amiri" w:eastAsia="Amiri" w:cs="Amiri"/>
          <w:color w:val="111111"/>
          <w:sz w:val="28"/>
          <w:sz w:val="28"/>
          <w:szCs w:val="28"/>
          <w:rtl w:val="true"/>
          <w:lang w:bidi="ar-SA"/>
        </w:rPr>
        <w:t>وقال في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فداء لك الأقوام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أثمر من مال ومن ولد</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تفادى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تحاماه وانزوى عنه، والأصل في هذه الكلمة ما ذكرناه، وهو التفادي، أن يتَّقي الناس بعضهم ببعض، كأنّه يجعل صاحبه فداء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تفادى الأُسود الغُلب منه تفادياً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ممدود، وهو مسطح التمر بلغة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ابن دريد، 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جماعة الطعام من الشعير والتمر ونحوها،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فداءها إذ جرّدوه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وطافوا حوله سلك 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فارس، أحمد بن فارس، 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نحن بصدد الحديث عنه هو الأوّل، وتختلف بنيته الصرفيّة باختلاف الحركات التي تُصاحبه،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الفداء إذا كُسر أوّله يُمدُّ ويُقصر، وإذا فُتح فهو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فدىً لك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يكسر فداء للتنوين إذا جاور لام الجرّ خاصّة،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لك؛ لأنّه نكرة، يريدون به معنى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وفاداه، إذا أعطى فداءه فأنقذه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وفداه بنفسه، وفداه تفديةً،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الصياغات التي كثُر استعمالها في المخاطبات الشرعيّة وغيرها، ولم تكن أمراً عزيزاً في تراثنا العربي عموماً، وبالأخص الإسلامي منه، كما سوف </w:t>
      </w:r>
      <w:bookmarkStart w:id="165" w:name="pg7540_66618"/>
    </w:p>
    <w:p>
      <w:pPr>
        <w:pStyle w:val="BookText"/>
        <w:rPr/>
      </w:pPr>
      <w:bookmarkEnd w:id="165"/>
      <w:r>
        <w:rPr>
          <w:rFonts w:ascii="Amiri" w:hAnsi="Amiri" w:eastAsia="Amiri" w:cs="Amiri"/>
          <w:color w:val="111111"/>
          <w:sz w:val="28"/>
          <w:sz w:val="28"/>
          <w:szCs w:val="28"/>
          <w:rtl w:val="true"/>
          <w:lang w:bidi="ar-SA"/>
        </w:rPr>
        <w:t>يتبيّن لنا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2792804_1051229030"/>
      <w:bookmarkStart w:id="167" w:name="_Toc58"/>
      <w:bookmarkEnd w:id="166"/>
      <w:r>
        <w:rPr>
          <w:rtl w:val="true"/>
        </w:rPr>
        <w:t>آراء فقهاء المسلمين حول المسألة</w:t>
      </w:r>
      <w:bookmarkEnd w:id="167"/>
    </w:p>
    <w:p>
      <w:pPr>
        <w:pStyle w:val="BookText"/>
        <w:rPr/>
      </w:pPr>
      <w:r>
        <w:rPr>
          <w:rFonts w:ascii="Amiri" w:hAnsi="Amiri" w:eastAsia="Amiri" w:cs="Amiri"/>
          <w:color w:val="111111"/>
          <w:sz w:val="28"/>
          <w:sz w:val="28"/>
          <w:szCs w:val="28"/>
          <w:rtl w:val="true"/>
          <w:lang w:bidi="ar-SA"/>
        </w:rPr>
        <w:t xml:space="preserve">وقع خلاف بين فقهاء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مدرسة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تفدية الغير بالأبوين وعدمه، وقد ذكر بعضهم أقوالاً مختلفة في هذا المجال؛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تفدية غيره من المؤمنين؟ فيه مذاهب، 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وذلك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تفدية العلماء الصالحين الأخيار دون غيرهم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ضمير الغائب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النبي‘؛ فيعني ذلك أن التفدية لخصوصه‘ في رأيهم جائزة من غير اختلاف أو نزاع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علماء الإمامية، فلم تأخذ المسألة بينهم حيّزاً من التعقيد، وإنّما ذكروا روايتين عن الإمام الكاظم عَلیه السَلام تُبيِّنان لنا أنّ تفدية الأبوين إنّما تجوز فيما لو كانا مَيّتيَن فقط، وأمّا حال حياتهما، فإنّما يُعدّ ذلك عقوقاً لهما، وهو أمر محرّم في الشرع، فقد روى الصدوق في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أبو الحسن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يقول لابنه أو لابنته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أو بأبَويَّ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بذلك بأساً؟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أبواه حيَّين فأرى ذلك عقوقاً، وإن كان قد ماتا فلا بأس</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الخصال الحديث نفسه بسند آخر، وزاد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امرؤٌ لم يمت حتى يرى خَلَفَه من بعده،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أراني الله خَلَفَي من بعدي</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يجدر الإشارة إليه في المقام هو أنّ هاتين الروايتين وإن ذُكرتا في الكتب </w:t>
      </w:r>
    </w:p>
    <w:p>
      <w:pPr>
        <w:pStyle w:val="BookText"/>
        <w:rPr/>
      </w:pPr>
      <w:r>
        <w:rPr>
          <w:rFonts w:ascii="Amiri" w:hAnsi="Amiri" w:eastAsia="Amiri" w:cs="Amiri"/>
          <w:color w:val="111111"/>
          <w:sz w:val="28"/>
          <w:sz w:val="28"/>
          <w:szCs w:val="28"/>
          <w:rtl w:val="true"/>
          <w:lang w:bidi="ar-SA"/>
        </w:rPr>
        <w:t>الروائيّة المعتبرة لدى أساطين المتقدِّمين والمتأخرين من علمائنا</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رواية الشيخ الصدوق لذلك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تبنّيه للتفريق المذكور فيهما</w:t>
      </w:r>
      <w:r>
        <w:rPr>
          <w:rStyle w:val="FootnoteAnchor"/>
          <w:rtl w:val="true"/>
        </w:rPr>
        <w:footnoteReference w:id="109"/>
      </w:r>
      <w:r>
        <w:rPr>
          <w:rFonts w:ascii="Amiri" w:hAnsi="Amiri" w:eastAsia="Amiri" w:cs="Amiri"/>
          <w:color w:val="111111"/>
          <w:sz w:val="28"/>
          <w:sz w:val="28"/>
          <w:szCs w:val="28"/>
          <w:rtl w:val="true"/>
          <w:lang w:bidi="ar-SA"/>
        </w:rPr>
        <w:t>لأنّ كتابه المذكور هو عبارة عن مجموعة من الفتاوى بطريقة العرض الروائي</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تتضمنانه من حكم لم يتجسَّد على واقعنا الفقهي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مطالعاتنا حول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للحكم المتقدِّم ذكراً في الموسوعات الفقهيّة والرسائل العمليّة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لم يتردد فيه أحد من علمائنا في المقام هو أن يُفتدى المعصوم من قِبَل غيره، بنفسه أو بأبويه؛ اعتماداً على ما جاء في النصوص الشرعيّة الكثيرة التي وردت فيها مخاطبة أصحاب الأئمة لهم علیهم السلام بهذه الصياغات، من دون أن ينكروا عليهم ذلك</w:t>
      </w:r>
      <w:r>
        <w:rPr>
          <w:rStyle w:val="FootnoteAnchor"/>
          <w:rtl w:val="true"/>
        </w:rPr>
        <w:footnoteReference w:id="111"/>
      </w:r>
      <w:r>
        <w:rPr>
          <w:rFonts w:ascii="Amiri" w:hAnsi="Amiri" w:eastAsia="Amiri" w:cs="Amiri"/>
          <w:color w:val="111111"/>
          <w:sz w:val="28"/>
          <w:sz w:val="28"/>
          <w:szCs w:val="28"/>
          <w:rtl w:val="true"/>
          <w:lang w:bidi="ar-SA"/>
        </w:rPr>
        <w:t>وهو ما ينبئ عن إقرارهم لهذا الفعل</w:t>
      </w:r>
      <w:r>
        <w:rPr>
          <w:rStyle w:val="FootnoteAnchor"/>
          <w:rtl w:val="true"/>
        </w:rPr>
        <w:footnoteReference w:id="112"/>
      </w:r>
      <w:r>
        <w:rPr>
          <w:rFonts w:ascii="IRNazanin" w:hAnsi="IRNazanin" w:eastAsia="IRNazanin"/>
          <w:color w:val="111111"/>
          <w:sz w:val="28"/>
          <w:sz w:val="28"/>
          <w:szCs w:val="28"/>
          <w:rtl w:val="true"/>
          <w:lang w:bidi="fa-IR"/>
        </w:rPr>
        <w:t>، بل إنّهم علیهم السلام علَّموا أصحابهم زيارات خاصّة مُتضمِّنة لهذه الصياغات والعبائر، وأمروهم بقراءتها، كما في الزيارة الجامعة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بأبي أنتم وأُمّي ونفسي وأهلي ومالي، مَن أراد الله بدأ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 وأُمّي ونفسي وأهلي ومالي، ذِكركم في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 وأُمّي ونفسي، كيف أصف حسن ثنائكم؟</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وكذا ما ورد في زيارة جامعة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أنتم وأُمّي يا آل المصطفى، إنّا لا نملك إلّا أن نطوف حول مشاهدكم</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أو في زيارة أمير </w:t>
      </w:r>
      <w:bookmarkStart w:id="168" w:name="pg7540_66620"/>
    </w:p>
    <w:p>
      <w:pPr>
        <w:pStyle w:val="BookText"/>
        <w:rPr/>
      </w:pPr>
      <w:bookmarkEnd w:id="168"/>
      <w:r>
        <w:rPr>
          <w:rFonts w:ascii="IRNazanin" w:hAnsi="IRNazanin" w:eastAsia="IRNazanin"/>
          <w:color w:val="111111"/>
          <w:sz w:val="28"/>
          <w:sz w:val="28"/>
          <w:szCs w:val="28"/>
          <w:rtl w:val="true"/>
          <w:lang w:bidi="fa-IR"/>
        </w:rPr>
        <w:t xml:space="preserve">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بأبي أنت وأُمّي يا مولاي، يا أمير المؤمنين، يا حجّة الخصام، بأبي أنت وأُمّي يا باب المقام، أشهد أنّك حبيب الله وخاصّة الله وخالصته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 أو ما نقرأه في زيارة أبي عبد الله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عليك يا بن رسول الله، أتيتك بأبي أنت وأُمّي زائراً وافداً إليك</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 وغيرها من الزيارات التي لا تكاد تخلو من هذه العبائر التي حثَّ أهلُ البيت علیهم السلام أتباعهم على مخاطبتهم بها حين زيارتهم لقبورهم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تفدية المعصوم لغيره، فإنّ حكمه لم يكن محل وفاق عند فقهائنا؛ ولذا تطرَّق النقاش والبحث إلى ساحة النصوص التي حوت عبارة من العبائر التي تدلّ على أنّ المعصوم يفدي بنفسه، أو بآبائه المعصومين غيرَه من الناس؛ حيث إنّ هناك مجموعة من الموارد التي ورد فيها تفدية المعصوم لغيره إمّا فادياً نفسه أو أبويه، فقد يُتساءل عن جواز ذلك وعدمه، أو عن المعنى الذي تؤديه هذه العبائر الواردة في هذه النصوص، ومن أوضح الموارد التي فدى بها المعصومُ غيرَه، هو ما ورد في الزيارة الواردة عن الإمام الصادق عَلیه السَلام لأصحاب الحسين عَلیه السَلام الذين استُشهدوا معه؛ حيث قال عَلیه السَلام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عليكم يا أنصار أبي عبد الله، بأبي أنتم وأُمّي، طبتم وطابت الأرض التي فيها دُفنتم</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وهذا ما نريد تسليط الضوء عليه، والتحقق من أمره في مقالنا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2792806_1051229030"/>
      <w:bookmarkStart w:id="170" w:name="_Toc59"/>
      <w:bookmarkEnd w:id="169"/>
      <w:r>
        <w:rPr>
          <w:rtl w:val="true"/>
        </w:rPr>
        <w:t>تفدية الإمام الصادق عَلیه السَلام أباه المعصوم لغيره</w:t>
      </w:r>
      <w:bookmarkEnd w:id="170"/>
    </w:p>
    <w:p>
      <w:pPr>
        <w:pStyle w:val="Heading5"/>
        <w:numPr>
          <w:ilvl w:val="4"/>
          <w:numId w:val="1"/>
        </w:numPr>
        <w:rPr/>
      </w:pPr>
      <w:bookmarkStart w:id="171" w:name="__RefHeading___Toc2792808_1051229030"/>
      <w:bookmarkStart w:id="172" w:name="_Toc60"/>
      <w:bookmarkEnd w:id="171"/>
      <w:r>
        <w:rPr>
          <w:rtl w:val="true"/>
        </w:rPr>
        <w:t>اشارة</w:t>
      </w:r>
      <w:bookmarkEnd w:id="1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مسلَّمات المعارف التي تطابق عليها الإمامية، هي أنّ المعصوم يفوق غيرَه من الناس بدرجات ومراتب، وأنّه أفضل من غيره من الناس، وإذا ضممنا إلى ذلك ما تقدَّم ذكره من الروايتين الدالتين على أنّ تفدية الغير بالأبوين الحيَّيَن يُعدُّ عقوقاً؛ يتولّد لدينا تساؤل مهم جداً، وهو أنّ الإمام الصادق عَلیه السَلام يقول في زيارة أصحاب </w:t>
      </w:r>
      <w:bookmarkStart w:id="173" w:name="pg7540_66621"/>
    </w:p>
    <w:p>
      <w:pPr>
        <w:pStyle w:val="BookText"/>
        <w:rPr/>
      </w:pPr>
      <w:bookmarkEnd w:id="173"/>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أنتم وأُمّي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يفدي الإمامُ الأصحابَ بأبيه وأُمّه، مع أنّ الإمام الباقر عَلیه السَلام معصوم وهو حجّة الله على خلقه؟ وفي مقام الإجابة عن ذلك تُطرح عدّة توجيهات، يُفترض أن يكون كلّ واحدة منها كافياً لدفع الإشكالية التي قد تتطرَّق إلى مثل هذه النصوص</w:t>
      </w:r>
      <w:r>
        <w:rPr>
          <w:rFonts w:eastAsia="IRNazanin" w:cs="IRNazanin"/>
          <w:color w:val="111111"/>
          <w:sz w:val="28"/>
          <w:szCs w:val="28"/>
          <w:rtl w:val="true"/>
          <w:lang w:bidi="fa-IR"/>
        </w:rPr>
        <w:t>.</w:t>
      </w:r>
    </w:p>
    <w:p>
      <w:pPr>
        <w:pStyle w:val="Heading5"/>
        <w:numPr>
          <w:ilvl w:val="4"/>
          <w:numId w:val="1"/>
        </w:numPr>
        <w:rPr/>
      </w:pPr>
      <w:bookmarkStart w:id="174" w:name="__RefHeading___Toc2792810_1051229030"/>
      <w:bookmarkStart w:id="175" w:name="_Toc61"/>
      <w:bookmarkEnd w:id="174"/>
      <w:r>
        <w:rPr>
          <w:rtl w:val="true"/>
        </w:rPr>
        <w:t>أولاً</w:t>
      </w:r>
      <w:r>
        <w:rPr>
          <w:rtl w:val="true"/>
        </w:rPr>
        <w:t xml:space="preserve">: </w:t>
      </w:r>
      <w:r>
        <w:rPr>
          <w:rtl w:val="true"/>
        </w:rPr>
        <w:t>إنّ المعصوم عَلیه السَلام يُريد تعليمنا كيفيّة زيارة الشهداء</w:t>
      </w:r>
      <w:bookmarkEnd w:id="175"/>
    </w:p>
    <w:p>
      <w:pPr>
        <w:pStyle w:val="BookText"/>
        <w:rPr/>
      </w:pPr>
      <w:r>
        <w:rPr>
          <w:rFonts w:ascii="IRNazanin" w:hAnsi="IRNazanin" w:eastAsia="IRNazanin"/>
          <w:color w:val="111111"/>
          <w:sz w:val="28"/>
          <w:sz w:val="28"/>
          <w:szCs w:val="28"/>
          <w:rtl w:val="true"/>
          <w:lang w:bidi="fa-IR"/>
        </w:rPr>
        <w:t>من الأُمور التي يمكن أن تصلح للإجابة عن هذا التساؤل المطروح حول إمكان صدور صياغة بالكيفيّة المتقدِّمة، هو أنّ الإمام عَلیه السَلام لم يفدِ الأصحابَ بأبيه وأُمّه، وإنّما أراد من ذلك أن يعلّمنا كيف نزور هؤلاء الأصحاب البررة، وهذا ما يُستفاد ممّا رواه الطوسي رحمة الله في مصباح المتهجِّد،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لنا جماعة، عن أبي عبد الله محمد بن أحمد بن عبد الله بن قضاعة بن صفوان بن مهران الجمّال، عن أبيه، عن جدِّه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الصادق عَلیه السَلام لزيارة مولانا الحسين عَلیه السَلام ، فسألته أن يُعرِّفني ما أعمل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صم ثلاثة أيام قبل خروجك، واغتسل في اليوم الثالث، ثمّ اجمع إليك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إلى الشهداء،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أولياء الله وأحباءه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أنصار أبي عبد الله، بأبي أنتم وأُمّي، طبتم وطابت الأرض التي فيها دُفنتم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الإمام الصادق عَلیه السَلام إنّما ذكر ذلك تعليماً لصفوان الجمّال بالأصالة ولغيره بالتبع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يساعد على ذلك أيضاً هو طلب أصحاب الصادق عَلیه السَلام منه أن يعلّمهم الأعمال التي يلزم الزائر القيام بها، فيستجيب لهم ويعلّمهم الأفعال والأقوال التي تُقال في البقعة الطاهرة التي حوت الشهداء، كما في تعليمه عَلیه السَلام ليونس بن ظبيان، </w:t>
      </w:r>
      <w:bookmarkStart w:id="176" w:name="pg7540_66622"/>
    </w:p>
    <w:p>
      <w:pPr>
        <w:pStyle w:val="BookText"/>
        <w:rPr/>
      </w:pPr>
      <w:bookmarkEnd w:id="176"/>
      <w:r>
        <w:rPr>
          <w:rFonts w:ascii="IRNazanin" w:hAnsi="IRNazanin" w:eastAsia="IRNazanin"/>
          <w:color w:val="111111"/>
          <w:sz w:val="28"/>
          <w:sz w:val="28"/>
          <w:szCs w:val="28"/>
          <w:rtl w:val="true"/>
          <w:lang w:bidi="fa-IR"/>
        </w:rPr>
        <w:t xml:space="preserve">فقد روى الطوسي رحمة الله في تهذيبه، بسنده إلى الحسين بن ثوير، أنّ يونس طلب من أبي عبد الله الصادق عَلیه السَلام تعليمه الأعمال التي يقوم بها إذا أراد زيارة الحسين عَلیه السَلام ، فذكر له ذلك مصحوباً بنصّ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يُزار به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 النصّ الذي تضمَّنته الزيارة التي علَّم بها صفوانَ الجمّال</w:t>
      </w:r>
      <w:r>
        <w:rPr>
          <w:rStyle w:val="FootnoteAnchor"/>
          <w:rtl w:val="true"/>
        </w:rPr>
        <w:footnoteReference w:id="119"/>
      </w:r>
      <w:r>
        <w:rPr>
          <w:rFonts w:ascii="Amiri" w:hAnsi="Amiri" w:eastAsia="Amiri" w:cs="Amiri"/>
          <w:color w:val="111111"/>
          <w:sz w:val="28"/>
          <w:sz w:val="28"/>
          <w:szCs w:val="28"/>
          <w:rtl w:val="true"/>
          <w:lang w:bidi="ar-SA"/>
        </w:rPr>
        <w:t>، وهو وإن كان خالياً من التفدية الواردة في الزيارة المتقدِّمة عن صفوان، إلّا أنّ خصوصيتها وإرادة التعليم فيها أمر واضح، يطمئن له المتتبع</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الوجه نظير ما يُجاب به عن التساؤلات المطروحة حول الأدعية الواردة عن المعصومين علیهم السلام ، المتضمِّنة للاعتراف من قِبَلهم بالذنب والخطيئة، كقول أمير المؤمنين عَلیه السَلام في دعاء كميل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اغفر لي الذنوب التي تهتك العصم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أو ما ورد عن الإمام زين العابدين عَلیه السَلام في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مقام من تداولته أيدي الذنوب، وقادته أزمَّة الخطايا، واستحوذ عليه الشيطان </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وغير ذلك من النصوص الموهمة لاقترافهم علیهم السلام الذنب والخطيئة؛ إذ إن أحد الوجوه التي أُجيب بها عن ذلك هو أنّها واردة عنهم علیهم السلام لغرض تعليم أتباعهم كيفيّة المناجاة مع الله عز وجلّ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2792812_1051229030"/>
      <w:bookmarkStart w:id="178" w:name="_Toc62"/>
      <w:bookmarkEnd w:id="177"/>
      <w:r>
        <w:rPr>
          <w:rtl w:val="true"/>
        </w:rPr>
        <w:t>ثانياً</w:t>
      </w:r>
      <w:r>
        <w:rPr>
          <w:rtl w:val="true"/>
        </w:rPr>
        <w:t xml:space="preserve">: </w:t>
      </w:r>
      <w:r>
        <w:rPr>
          <w:rtl w:val="true"/>
        </w:rPr>
        <w:t>ليس من الضروري أن يكون المفدَّى أفضل من المفدي</w:t>
      </w:r>
      <w:bookmarkEnd w:id="17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المسائل المهمّة التي تنفع في مقام الإجابة عن التساؤل المتقدِّم، هي أنّ مفاداة شخص بآخر لا يعني أنّ المُفدّى أفضل من الشخص الذي جعله المتكلم فداءً للمخاطب، فلا تلازم بين هذين الأمرين، فقد يكون المفدي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في </w:t>
      </w:r>
    </w:p>
    <w:p>
      <w:pPr>
        <w:pStyle w:val="BookText"/>
        <w:rPr/>
      </w:pPr>
      <w:r>
        <w:rPr>
          <w:rFonts w:ascii="Amiri" w:hAnsi="Amiri" w:eastAsia="Amiri" w:cs="Amiri"/>
          <w:color w:val="111111"/>
          <w:sz w:val="28"/>
          <w:sz w:val="28"/>
          <w:szCs w:val="28"/>
          <w:rtl w:val="true"/>
          <w:lang w:bidi="ar-SA"/>
        </w:rPr>
        <w:t xml:space="preserve">الخطاب فداء للمخاطب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المفدَّى بدرجات ومراتب، وإنّما يخاطب المفدَّى بهذه العبائر لأحد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لبيان أنّه لو كان قد حصل لي أشدُّ ممّا حصل لكم لكان أهون عليَّ، وتطبيق ذلك على مقامنا بأن يكون الإمام الصادق عَلیه السَلام أراد بيان أنّ قَتْلَ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إمام معصوم وحجّة الله 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علينا أهون من قتلكم في هذه البقعة، وبهذا النحو من القتل المفجع، ومن هذا القبيل قول الإمام الحسين عَلیه السَلام لأبي الفضل العباس، عندما ركب جواده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اركب بنفسي أنت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حيث إنّه عَلیه السَلام يفديه بنفسه، مع أنّه عَلیه السَلام أفضل من العباس، بل إنّه الإمام المفترض الطاعة، وخامس أصحاب الكساء الذين خاطبهم الله عز وجل بآية التطهير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يصلح أن يكون مؤيداً لهذا الوجه هو ما ورد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لكم أن تعزّونا ولنا أن نعزّيكم، إنّما لكم أن تهنئونا؛ لأنّكم تشاركوننا في المصيبة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حيث ذُكر في شرحه أنّهم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الأنبياء والرسل وشيعتهم يشاركونهم في المصيبة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تقع المصائب والمِحن عليهم إنّما يكونون حامدين شاكرين راضين بالمصائب التي قضاها الله عز وجل لهم، لا أنّهم صابرون على ذلك</w:t>
      </w:r>
      <w:r>
        <w:rPr>
          <w:rStyle w:val="FootnoteAnchor"/>
          <w:rtl w:val="true"/>
        </w:rPr>
        <w:footnoteReference w:id="127"/>
      </w:r>
      <w:r>
        <w:rPr>
          <w:rFonts w:ascii="Amiri" w:hAnsi="Amiri" w:eastAsia="Amiri" w:cs="Amiri"/>
          <w:color w:val="111111"/>
          <w:sz w:val="28"/>
          <w:sz w:val="28"/>
          <w:szCs w:val="28"/>
          <w:rtl w:val="true"/>
          <w:lang w:bidi="ar-SA"/>
        </w:rPr>
        <w:t>، ومن الواضح أنّ صاحب المصيبة يناله منها ما لم ينل غيرُه، وإن دلَّ ذيل الحديث على أنَّ النهي عن مواساتهم لمشاركتنا لهم، إلّا أنّها دالّة على مغايرة ما يصيبنا عمّا يصيبهم من مصيبة أيضاً</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يتمنّى الإمام هذا الشيء لكي يَعظُم أجره، ويكون أكثر ممّا هو عليه، وكأنّ الإمام عَلیه السَلام في زيارته للشهداء الذين قُتلوا مع جدّه الحسين عَلیه السَلام يُبيِّن موقفه ممّا جرى على هؤلاء الأنصار،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حزين لذلك، وإنّ حُزني عليكم يترتّب عليه أجر عظيم، ويا ليت أن يكون المقتول أبي وأُمّي؛ لكي أُبيِّن صدق موقفي هذا، ولكي يكون أجري وثوابي أكثر ممّا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يساعد على هذا التوجيه هو ما ورد عن الفضل بن شاذان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تبارك وتعالى إبراهيم عَلیه السَلام أن يذبح مكان ابنه إسماعيل الكبشَ الذي أنزله عليه، تمنّى إبراهيم عَلیه السَلام أن يكون قد ذبح ابنه إسماعيل عَلیه السَلام بيده وأنّه لم يُؤمر بذبح الكبش مكانه؛ ليرجع إلى قلبه ما يرجع إلى قلب الوالد الذي يذبح أعزَّ وُلده بيده؛ فيستحق بذلك أرفع درجات أهل الثواب على المصائب،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مَن أحبُّ خلقي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خلقت خلقاً هو أحبُّ إلىَّ من حبيبك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أفهو أحبُّ إليك أو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إليَّ من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إليك أو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على أعدائه أوجع لقلبك أو ذبْح ولدك بيدك في طاعتي؟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بل ذبحه على أيدي أعدائه أوجع لقلبي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فإنّ طائفة تزعم أنّها من أمّة محمد‘، ستقتل الحسين عَلیه السَلام ابنه من بعده ظلماً وعدواناً، كما يُذبح الكبش؛ فيستوجبون بذلك سخطي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إبراهيم عَلیه السَلام لذلك وتوجّع قلبه وأقبل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قد فديت جزعك على ابنك إسماعيل لو ذبحته بيدك بجزعك على الحسين عَلیه السَلام وقتله، وأوجبت لك أرفع درجات أهل الثواب على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وَفَدَيْنَاهُ بِذِبْحٍ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حول ولا قوّة إلّا بالله العلي العظيم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79" w:name="pg7540_66625"/>
    </w:p>
    <w:p>
      <w:pPr>
        <w:pStyle w:val="BookText"/>
        <w:rPr/>
      </w:pPr>
      <w:bookmarkEnd w:id="179"/>
      <w:r>
        <w:rPr>
          <w:rFonts w:ascii="IRNazanin" w:hAnsi="IRNazanin" w:eastAsia="IRNazanin"/>
          <w:color w:val="111111"/>
          <w:sz w:val="28"/>
          <w:sz w:val="28"/>
          <w:szCs w:val="28"/>
          <w:rtl w:val="true"/>
          <w:lang w:bidi="fa-IR"/>
        </w:rPr>
        <w:t xml:space="preserve">فقد اعتُرض على هذه الرواية بما يتّحد مع التساؤل المطروح حول الفقرة المتقدِّمة في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أنتم وأُمّي يا أنصار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فتصدّى أئمة الحديث للإجابة عن ذلك بوجوه، أحدها ما يتناسب مع ما ذُكر في المقام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وأُجيب بأنّ الحسين علیه السَّلام لمّا كان من أولاد إسماعيل علیه السَّلام ، فلو كان ذُبح إسماعيل علیه السَّلام لم يُوجد نبينا وكذا سائر الأئمة علیهم السلام وسائر الأنبياء من وُلد إسماعيل، فإذا عُوِّض من ذبح إسماعيل علیه السَّلام بذبح واحد من أسباطه وأولاده وهو الحسين علیه السَّلام ؛ فكأنّه عُوِّض عن ذبح الكلّ وعدم وجودهم بالكليّة بذبح واحد من الأجزاء بخصوصه، ولا شكّ في أنّ مرتبة كلّ السلسلة أعظم وأجلّ من مرتبة الجزء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الخبر أنّه فدى إسماعيل بالحسين علیه السَّلام ، بل فيه أنّه فدى جزع إبراهيم على إسماعيل بجزعه على الحسين علیه السَّلام ، وظاهر أنّ الفداء على هذا ليس على معناه بل المراد التعويض، ولمّا كان أسفه على ما فات منه من ثواب الجزع على ابنه، عوضه الله بما هو أجلّ وأشرف وأكثر ثواباً وهو الجزع على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الحسين علیه السَّلام كان أمراً مُقرراً، ولم يكن لرفع قتل إسماعيل حتى يرد الإشكال، وعلى ما ذكرنا فالآية تحتمل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بجزع مذبوح عظيم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الباء 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فديناه بسبب مذبوح عظيم بأن جزع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بُدَّ من تقدير مضاف أو تجوّز في الإسناد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عبد الله،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فليس بالضرورة أن يكون المفدَّى أفضل من المفدي، بل قد يكون المفدي أفضل منه بمراتب ودرجات، كما تبيَّن لنا من خلال الرواية الآنفة الذكر، وما أُجيب به عن الإشكال المذكور عليها</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2792814_1051229030"/>
      <w:bookmarkStart w:id="181" w:name="_Toc63"/>
      <w:bookmarkEnd w:id="180"/>
      <w:r>
        <w:rPr>
          <w:rtl w:val="true"/>
        </w:rPr>
        <w:t>ثالثاً</w:t>
      </w:r>
      <w:r>
        <w:rPr>
          <w:rtl w:val="true"/>
        </w:rPr>
        <w:t xml:space="preserve">: </w:t>
      </w:r>
      <w:r>
        <w:rPr>
          <w:rtl w:val="true"/>
        </w:rPr>
        <w:t>تصحّ التفدية بالميت بخلاف الحي من الآباء</w:t>
      </w:r>
      <w:bookmarkEnd w:id="18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الوجوه التي يمكن أن يُستند عليها في مقام الإجابة عن التساؤل المتقدِّم، هو </w:t>
      </w:r>
      <w:bookmarkStart w:id="182" w:name="pg7540_66626"/>
    </w:p>
    <w:p>
      <w:pPr>
        <w:pStyle w:val="BookText"/>
        <w:rPr/>
      </w:pPr>
      <w:bookmarkEnd w:id="182"/>
      <w:r>
        <w:rPr>
          <w:rFonts w:ascii="IRNazanin" w:hAnsi="IRNazanin" w:eastAsia="IRNazanin"/>
          <w:color w:val="111111"/>
          <w:sz w:val="28"/>
          <w:sz w:val="28"/>
          <w:szCs w:val="28"/>
          <w:rtl w:val="true"/>
          <w:lang w:bidi="fa-IR"/>
        </w:rPr>
        <w:t xml:space="preserve">ما يُستفاد من الروايتين الواردتين عن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واللتين تفرِّقان بين التفدية بالأبوين الحيّين، وبين مَن يفديهما وهما ميتان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مطلقتان وشاملتان للتفدية من قِبَل المعصوم وغيره، فيُوظَّف مفادهما لأن يكون جواباً في المقام؛ وبما أنّ سياق الرواية المتضمّنة لزيارة الشهداء عن الإمام الصادق عَلیه السَلام ، يدلُّ على أنّه عَلیه السَلام إنّما خاطبهم بهذه العبارة بعد وفاة والده الإمام الباقر عَلیه السَلام ؛ فلا إشكال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سؤال صفوان الجمّال للإمام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كيفيّة زيارته للحسين عَلیه السَلام ، وأهل بيته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يدلُّ على أنّ ذلك كان بعد تولّيه مَنصب الإمامة؛ وإنّما يكون ذلك بعد استشهاد والده الإمام الباقر عَلیه السَلام ، وهذا الأمر يدلل على جواز تفديته عَلیه السَلام ؛ اعتماداً على ما تقدَّم في الروايتين اللتين تُفرِّقان بين تفدية الأب في حال حياته، وبين التفدية بعد الممات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التوجيه المتقدِّم لم يتبنّاه أحد من فقهائنا، بل لم نجد في الموسوعات الروائيّة شاهداً عليه، سوى ما ذكرناه من إطلاق الروايتين المتقدِّمتين</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2792816_1051229030"/>
      <w:bookmarkStart w:id="184" w:name="_Toc64"/>
      <w:bookmarkEnd w:id="183"/>
      <w:r>
        <w:rPr>
          <w:rtl w:val="true"/>
        </w:rPr>
        <w:t>رابعاً</w:t>
      </w:r>
      <w:r>
        <w:rPr>
          <w:rtl w:val="true"/>
        </w:rPr>
        <w:t xml:space="preserve">: </w:t>
      </w:r>
      <w:r>
        <w:rPr>
          <w:rtl w:val="true"/>
        </w:rPr>
        <w:t>إنّ المفاداة ليست مرادة على نحو الحقيقة</w:t>
      </w:r>
      <w:bookmarkEnd w:id="18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أبلغ أساليب إظهار التفجُّع والتفاعل مع الغير هو أن يبرز المتكلم له أعلى مستوى في التعبير، ومن بين الأُمور التي تفيد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يفديه بنفسه أو بمَن هو أفضل من المتكلم،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بأبي أنت وأُمّي، وممّا يصلح شاهداً على ذلك قول المازندراني رحمة الله في شرح أصول الكافي؛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عدم الكراهة؛ لورودها في الأَحاديث الصحيحة من طُرقنِا وطُرقِهم مع عدم الإنكار، سيّما له‘ على أنّه ليس المراد الحقيقة، وإنّما هي على معنى الحنانة والبرّ؛ ولذلك يقول ذلك أيضاً مَن ليس له أبٌ وأُمٌّ موجودان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85" w:name="pg7540_66627"/>
    </w:p>
    <w:p>
      <w:pPr>
        <w:pStyle w:val="BookText"/>
        <w:rPr/>
      </w:pPr>
      <w:bookmarkEnd w:id="185"/>
      <w:r>
        <w:rPr>
          <w:rFonts w:ascii="IRNazanin" w:hAnsi="IRNazanin" w:eastAsia="IRNazanin"/>
          <w:color w:val="111111"/>
          <w:sz w:val="28"/>
          <w:sz w:val="28"/>
          <w:szCs w:val="28"/>
          <w:rtl w:val="true"/>
          <w:lang w:bidi="fa-IR"/>
        </w:rPr>
        <w:t>وعلى هذا الأساس؛ يمكننا توجيه كلّ نصّ تضمّن عبارة تحمل معنىً قريباً لما ورد في زيارة الشهداء، كما في الحادثة المرويّة عن فاطمة سيدة النساء عَلیهاالسَلام مع الحور اللاتي جئن معزياتٍ لها، فقد ورد عنها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كنت جالسة بالأمس في هذا المجلس، وباب الدار مغلق، وأنا أتفكّر في انقطاع الوحي عنّا، وانصراف الملائكة عن منزلنا، فإذا انفتح الباب من غير أن يفتحه أحد، فدخل عليَّ ثلاث جوارٍ لم يرَ الراؤون بحسنهن، ولا كهيئتهن، ولا نضارة وجوههن، ولا أزكى من ريحهن، فلمّا رأيتهن قمت إليهن مستنكرةً لهنّ،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مكة أم من أهل المدينة؟</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موارده أيضاً ما ذكره السيد ابن طاووس؛ حيث أورد رحمة الله قول السيدة زينب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المهموم حتى قضى، بأبي العطشان حتى مضى، بأبي مَن شيبته تقطر بالدماء، بأبي مَن جدّه محمد المصطفى، بأبي مَن جدّه رسول إله السماء، بأبي مَن هو سبط نبي الهدى</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فلا بُدَّ من تفسير هذه النصوص بأحد التوجيهات المتقدِّمة في المقام، بما يزيل الشك والإيهام والتساؤلات عن ذهن القارئ للتراث الإسلامي</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792818_1051229030"/>
      <w:bookmarkStart w:id="187" w:name="_Toc65"/>
      <w:bookmarkEnd w:id="186"/>
      <w:r>
        <w:rPr>
          <w:rtl w:val="true"/>
        </w:rPr>
        <w:t>منزلة أصحاب الحسين عَلیه السَلام وانسجامها مع التوجيهات المتقدِّمة</w:t>
      </w:r>
      <w:bookmarkEnd w:id="1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يلزم الالتفات إليه في نهاية ما تقدَّم من توجيهات للعبارة محل البحث، هو أنّ جميع الوجوه المتقدِّمة إنّما يراد منها أن ترفع الإيهامات، وتُزيح التساؤلات التي قد تنقدح في الأذهان، وأنّها لا تنفي ما لأصحاب الحسين عَلیه السَلام الذين استُشهدوا معه من منزلة ومقام رفيع، فكلّ ما ذُكر في المقام يدلّ على علوِّ مقامهم ورفيع شأنهم؛ حتى دعا الأئمة المعصومين علیهم السلام إلى رسم خطّة تأدُّبية لأصحابهم في مقام زيارتهم وزيارة إمامهم الحسين وأهل بيته علیهم السلام ، على القول بأنّها خطابات تعليمية لأصحابهم، وأنها في مقام جواب السؤال عن كيفيّة زيارة سيد الشهداء عَلیه السَلام ، وأمّا على الوجوه الثلاثة </w:t>
      </w:r>
      <w:bookmarkStart w:id="188" w:name="pg7540_66628"/>
    </w:p>
    <w:p>
      <w:pPr>
        <w:pStyle w:val="BookText"/>
        <w:rPr/>
      </w:pPr>
      <w:bookmarkEnd w:id="188"/>
      <w:r>
        <w:rPr>
          <w:rFonts w:ascii="IRNazanin" w:hAnsi="IRNazanin" w:eastAsia="IRNazanin"/>
          <w:color w:val="111111"/>
          <w:sz w:val="28"/>
          <w:sz w:val="28"/>
          <w:szCs w:val="28"/>
          <w:rtl w:val="true"/>
          <w:lang w:bidi="fa-IR"/>
        </w:rPr>
        <w:t>الأُخرى، فإن التفدية من قِبَل الإمام الصادق عَلیه السَلام مدعاة لإجلالهم وتقديرهم؛ إذ إنّ الإمام عَلیه السَلام يُخاطبهم بهذه العبائر المليئة بالتحنّن والتعطف، تماشياً مع ما جرت عليه عادة العرب في مخاطباتهم، في أكثر الاحتمالات والتوجيهات تشدداً في المقام، وهو رابع الاحتمالات وآخرها</w:t>
      </w:r>
      <w:r>
        <w:rPr>
          <w:rFonts w:eastAsia="IRNazanin" w:cs="IRNazanin"/>
          <w:color w:val="111111"/>
          <w:sz w:val="28"/>
          <w:szCs w:val="28"/>
          <w:rtl w:val="true"/>
          <w:lang w:bidi="fa-IR"/>
        </w:rPr>
        <w:t>.</w:t>
      </w:r>
    </w:p>
    <w:p>
      <w:pPr>
        <w:pStyle w:val="Heading4"/>
        <w:numPr>
          <w:ilvl w:val="3"/>
          <w:numId w:val="1"/>
        </w:numPr>
        <w:rPr/>
      </w:pPr>
      <w:bookmarkStart w:id="189" w:name="__RefHeading___Toc2792820_1051229030"/>
      <w:bookmarkStart w:id="190" w:name="_Toc66"/>
      <w:bookmarkEnd w:id="189"/>
      <w:r>
        <w:rPr>
          <w:rtl w:val="true"/>
        </w:rPr>
        <w:t>تفدية المعصوم نفسه لغيره</w:t>
      </w:r>
      <w:bookmarkEnd w:id="190"/>
    </w:p>
    <w:p>
      <w:pPr>
        <w:pStyle w:val="BookText"/>
        <w:rPr/>
      </w:pPr>
      <w:r>
        <w:rPr>
          <w:rFonts w:ascii="IRNazanin" w:hAnsi="IRNazanin" w:eastAsia="IRNazanin"/>
          <w:color w:val="111111"/>
          <w:sz w:val="28"/>
          <w:sz w:val="28"/>
          <w:szCs w:val="28"/>
          <w:rtl w:val="true"/>
          <w:lang w:bidi="fa-IR"/>
        </w:rPr>
        <w:t xml:space="preserve">بعد أن ذكرنا الوجوه المتقدِّمة حول تفدية المعصوم أباه أو أبويه لغيره من الناس، ناسب أن نذكر مورداً آخر من الموارد التي فدى المعصومُ عَلیه السَلام غيرَه أيضاً، إلّا أنّ المفدي في هذا المبحث هو المتكلم نفسه، وقد ذُكر ذلك في موارد كثيرة من المصادر الروائيّة والتاريخيّة؛ فقد تكرّر إطلاق التفدية من النبي‘ وأهل بيته علیهم السلام لِمَن هو دونهم في المرتبة، من دون فرق بين أن يكون المفدَّى هو أفضل مخلوق بعد المفدي، كأن يكون المقول له معصوماً من المعصومين الأربعة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المحاورات الواردة على لسان رسول الله‘ لأمير المؤمنين عَلیه السَلام </w:t>
      </w:r>
      <w:r>
        <w:rPr>
          <w:rStyle w:val="FootnoteAnchor"/>
          <w:rtl w:val="true"/>
        </w:rPr>
        <w:footnoteReference w:id="134"/>
      </w:r>
      <w:r>
        <w:rPr>
          <w:rFonts w:ascii="IRNazanin" w:hAnsi="IRNazanin" w:eastAsia="IRNazanin"/>
          <w:color w:val="111111"/>
          <w:sz w:val="28"/>
          <w:sz w:val="28"/>
          <w:szCs w:val="28"/>
          <w:rtl w:val="true"/>
          <w:lang w:bidi="fa-IR"/>
        </w:rPr>
        <w:t>، ومن نظائر ذلك أيضاً ما ورد عن الحسين عَلیه السَلام بقوله لأبي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اركب بنفسي أنت</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منحدراً عنه بمراتب ودرجات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الصياغات وإن كانت مغايرة للموضوع الذي حُسم أمره فيما تقدَّم من كلام، إلّا أنّ الجهة المبحوث عنها هنا متلائمة مع ما ذكرناه في مقالنا؛ وذلك لأنّ اختلاف المرتبة والمنزلة التي يحتلّها القائل تُبرِّر لنا التساؤل عن مدى إمكان التلفظ </w:t>
      </w:r>
    </w:p>
    <w:p>
      <w:pPr>
        <w:pStyle w:val="BookText"/>
        <w:rPr/>
      </w:pPr>
      <w:r>
        <w:rPr>
          <w:rFonts w:ascii="Amiri" w:hAnsi="Amiri" w:eastAsia="Amiri" w:cs="Amiri"/>
          <w:color w:val="111111"/>
          <w:sz w:val="28"/>
          <w:sz w:val="28"/>
          <w:szCs w:val="28"/>
          <w:rtl w:val="true"/>
          <w:lang w:bidi="ar-SA"/>
        </w:rPr>
        <w:t xml:space="preserve">بهذه العبائر بما تحمله من مدلول يفهمه العُرف العام، وفي مقام الإجابة عن ذلك نكتفي بالوجوه التي توصّلنا إليها فيما تقدَّم من محاولات؛ إذ إنّ بعضها صالح لحلّ المشكلة في المقام؛ لأنّ الوصول إلى تلك النتائج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البحث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لنا الغموض في هذه الموارد أيضاً، ويغنينا عن الإجابة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التوجيه الأوّل والرابع من التوجيهات المذكورة في البحث يصلحان لدفع الإشكالية التي تتطرَّق إلى العبارات المتضمِّنة للفداء والتفدية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فإنّ التعليم الذي يُراد من هذه العبارة هو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تعليمنا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والمنزلة التي يحتلّها المخاطب بهذه الخطابات الصادرة عن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منها والذي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التكلُّم بهذه الصياغة إنّما يكون على نحو التفاعل والتحنن، فهو واضح الانطباق على كلّ عبارة متضمِّنة للتفدية من قِبَل المعصوم عَلیه السَلام بنفسه لغيره من الناس</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والنتيجة المتحصّلة ممّا تقدَّم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كلام يبرزه المعصوم للآخرين، وكان حاوياً على العبائر الدالّة على الفداء؛ لا يتنافى مع مقامهم علیهم السلام وليس فيه أيّ محذور</w:t>
      </w:r>
      <w:r>
        <w:rPr>
          <w:rFonts w:eastAsia="IRNazanin" w:cs="IRNazanin"/>
          <w:color w:val="111111"/>
          <w:sz w:val="28"/>
          <w:szCs w:val="28"/>
          <w:rtl w:val="true"/>
          <w:lang w:bidi="fa-IR"/>
        </w:rPr>
        <w:t xml:space="preserve">. </w:t>
      </w:r>
      <w:bookmarkStart w:id="191" w:name="pg7540_66630"/>
    </w:p>
    <w:p>
      <w:pPr>
        <w:pStyle w:val="Heading3"/>
        <w:numPr>
          <w:ilvl w:val="2"/>
          <w:numId w:val="1"/>
        </w:numPr>
        <w:rPr/>
      </w:pPr>
      <w:bookmarkStart w:id="192" w:name="__RefHeading___Toc2792822_1051229030"/>
      <w:bookmarkStart w:id="193" w:name="_Toc67"/>
      <w:bookmarkEnd w:id="191"/>
      <w:bookmarkEnd w:id="192"/>
      <w:r>
        <w:rPr>
          <w:rtl w:val="true"/>
        </w:rPr>
        <w:t>نُصوصُ البُکَاءِ قُوَةٌ في السَنَدِ وَ صَرَاحَةٌ في المَتن</w:t>
      </w:r>
      <w:bookmarkEnd w:id="193"/>
    </w:p>
    <w:p>
      <w:pPr>
        <w:pStyle w:val="Heading4"/>
        <w:numPr>
          <w:ilvl w:val="3"/>
          <w:numId w:val="1"/>
        </w:numPr>
        <w:rPr/>
      </w:pPr>
      <w:bookmarkStart w:id="194" w:name="__RefHeading___Toc2792824_1051229030"/>
      <w:bookmarkStart w:id="195" w:name="_Toc68"/>
      <w:bookmarkEnd w:id="194"/>
      <w:r>
        <w:rPr>
          <w:rtl w:val="true"/>
        </w:rPr>
        <w:t>(</w:t>
      </w:r>
      <w:r>
        <w:rPr>
          <w:rtl w:val="true"/>
        </w:rPr>
        <w:t>القسم الثاني</w:t>
      </w:r>
      <w:r>
        <w:rPr>
          <w:rtl w:val="true"/>
        </w:rPr>
        <w:t>)</w:t>
      </w:r>
      <w:r>
        <w:rPr>
          <w:rtl w:val="true"/>
        </w:rPr>
        <w:t>لؤي المنصوري</w:t>
      </w:r>
      <w:bookmarkEnd w:id="195"/>
    </w:p>
    <w:p>
      <w:pPr>
        <w:pStyle w:val="Heading5"/>
        <w:numPr>
          <w:ilvl w:val="4"/>
          <w:numId w:val="1"/>
        </w:numPr>
        <w:rPr/>
      </w:pPr>
      <w:bookmarkStart w:id="196" w:name="__RefHeading___Toc2792826_1051229030"/>
      <w:bookmarkStart w:id="197" w:name="_Toc69"/>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 xml:space="preserve">تقدم الكلام في القسم الأول من هذا المقال عن مجموعة من النقاشات العامّة حول ما كتبه محمّد علي سلطان في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البكاء على الحسين عَلیه السَلام نقد في السند والمتن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القسم سوف نسلّط الضوء على بعض نقاشاته السنديّة والدلالية؛ لنرى مدى صحة ما يدّعيه</w:t>
      </w:r>
      <w:r>
        <w:rPr>
          <w:rFonts w:eastAsia="IRNazanin" w:cs="IRNazanin"/>
          <w:color w:val="111111"/>
          <w:sz w:val="28"/>
          <w:szCs w:val="28"/>
          <w:rtl w:val="true"/>
          <w:lang w:bidi="fa-IR"/>
        </w:rPr>
        <w:t>.</w:t>
      </w:r>
    </w:p>
    <w:p>
      <w:pPr>
        <w:pStyle w:val="Heading5"/>
        <w:numPr>
          <w:ilvl w:val="4"/>
          <w:numId w:val="1"/>
        </w:numPr>
        <w:rPr/>
      </w:pPr>
      <w:bookmarkStart w:id="198" w:name="__RefHeading___Toc2792828_1051229030"/>
      <w:bookmarkStart w:id="199" w:name="_Toc70"/>
      <w:bookmarkEnd w:id="198"/>
      <w:r>
        <w:rPr>
          <w:rtl w:val="true"/>
        </w:rPr>
        <w:t>ملاحظات سندية</w:t>
      </w:r>
      <w:bookmarkEnd w:id="199"/>
    </w:p>
    <w:p>
      <w:pPr>
        <w:pStyle w:val="Heading6"/>
        <w:numPr>
          <w:ilvl w:val="5"/>
          <w:numId w:val="1"/>
        </w:numPr>
        <w:rPr/>
      </w:pPr>
      <w:bookmarkStart w:id="200" w:name="__RefHeading___Toc2792830_1051229030"/>
      <w:bookmarkStart w:id="201" w:name="_Toc71"/>
      <w:bookmarkEnd w:id="200"/>
      <w:r>
        <w:rPr>
          <w:rtl w:val="true"/>
        </w:rPr>
        <w:t>اشارة</w:t>
      </w:r>
      <w:bookmarkEnd w:id="20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نصوص رثاء الحسين عَلیه السَلام وقفات نقدية في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 ابن قولويه جملة من الأحاديث تُعدّ نصوصها مقتبسات من أحاديث أُخرى إذا ما قورنت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تلك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عن الإمام الصادق عَلیه السَلام سندها كالتالي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حكيم بن داود، عن سلمة، عن يعقوب بن يزيد، عن محمّد بن أبي عمير، عن بكر بن محمّد، عن الفضيل بن يسار،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متن </w:t>
      </w:r>
      <w:bookmarkStart w:id="202" w:name="pg7540_66631"/>
    </w:p>
    <w:p>
      <w:pPr>
        <w:pStyle w:val="BookText"/>
        <w:rPr/>
      </w:pPr>
      <w:bookmarkEnd w:id="202"/>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عيناه ولو مثل جناح الذباب؛ غُفر له ذنوبه ولو كانت مثل زَبَد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إلى مجهولية حكيم بن داود هناك إشكالية أُخرى أهمّ في سند الرواية، وهي وجود سلمة بن الخطاب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ضعّفه جملة من الرجاليين،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وابن الغضائري، وقالوا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البرواستاني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ضعيفاً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البرقي أورد الرواية ذاتها في محاسنه، نقلاً عن يعقوب بن يزيد، عن محمّد بن أبي عمير، عن بكر بن محمّد، عن الفضل بن يسار، عن الإمام الصادق عَلیه السَلام ، وسندها هنا خالٍ من الضعف</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ضعّف بذلك حكيم بن داود وسلمة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والنقاش معه تارة في تضعيفه حكيم بن داود، وأُخرى في تضعيفه سلمة بن الخطاب، فنقول</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2792832_1051229030"/>
      <w:bookmarkStart w:id="204" w:name="_Toc72"/>
      <w:bookmarkEnd w:id="203"/>
      <w:r>
        <w:rPr>
          <w:rtl w:val="true"/>
        </w:rPr>
        <w:t>أولاً</w:t>
      </w:r>
      <w:r>
        <w:rPr>
          <w:rtl w:val="true"/>
        </w:rPr>
        <w:t xml:space="preserve">: </w:t>
      </w:r>
      <w:r>
        <w:rPr>
          <w:rtl w:val="true"/>
        </w:rPr>
        <w:t>تضعيفه حكيم بن داود</w:t>
      </w:r>
      <w:bookmarkEnd w:id="204"/>
    </w:p>
    <w:p>
      <w:pPr>
        <w:pStyle w:val="BookText"/>
        <w:rPr/>
      </w:pPr>
      <w:r>
        <w:rPr>
          <w:rFonts w:ascii="IRNazanin" w:hAnsi="IRNazanin" w:eastAsia="IRNazanin"/>
          <w:color w:val="111111"/>
          <w:sz w:val="28"/>
          <w:sz w:val="28"/>
          <w:szCs w:val="28"/>
          <w:rtl w:val="true"/>
          <w:lang w:bidi="fa-IR"/>
        </w:rPr>
        <w:t>أمّا بالنسبة لحكيم بن داود، فهو من مشايخ ابن قولويه المباشرين في كامل الزيارات، وقد نصّ على توثيق مشايخه في مقدمة كتابه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أُخرج فيه حديثاً رُوي عن غيرهم؛ إذ كان فيما روينا عنهم من حديثهم علیهم السلام كفاية عن حديث غيرهم، وقد علمنا أنّا لا نحيط بجميع ما رُوي عنهم في هذا المعنى ولا في غيره، لكن ما وقع لنا من جهة الثقات من أصحابنا رحمهم الله برحمته، ولا أخرجت فيه حديثاً رُوي عن الشذاذ من الرجال</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الذي وقع بين العلماء من جهتين</w:t>
      </w:r>
      <w:r>
        <w:rPr>
          <w:rFonts w:eastAsia="Amiri" w:cs="Amiri" w:ascii="Amiri" w:hAnsi="Amiri"/>
          <w:color w:val="111111"/>
          <w:sz w:val="28"/>
          <w:szCs w:val="28"/>
          <w:rtl w:val="true"/>
          <w:lang w:bidi="ar-SA"/>
        </w:rPr>
        <w:t xml:space="preserve">: </w:t>
      </w:r>
      <w:bookmarkStart w:id="205" w:name="pg7540_66632"/>
    </w:p>
    <w:p>
      <w:pPr>
        <w:pStyle w:val="BookText"/>
        <w:rPr/>
      </w:pPr>
      <w:bookmarkEnd w:id="205"/>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كلامه للتوثيق وعدمه</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إفادة التوثيق؛ فهو إمّا توثيق عام لكُلّ رواة الكامل أو لخصوص مشايخه المباشرين، مع اتفاقهم على أنّ مشايخ ابن قولويه المباشرين ثقات بهذه الشهادة، قال الميرزا النوري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فتراه رحمة الله نصَّ على توثيق كل مَن رواه عنه فيه، بل كونه من المشهورين بالحديث والعلم، ولا فرق في التوثيق بين النصِّ على أحدٍ بخصوصه، أو توثيق جمعٍ محصورين بعنوانٍ خاص، وكفى بمثل هذا الشيخ مزكِّياً ومعدِّلاً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عنهم فيه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بن حكيم، يروى عن سلمة بن الخطاب</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ترى أنّ هذه العبارة واضحة الدلالة على أنّه لا يروي في كتابه رواية عن المعصوم، إلّا وقد وصلت إليه من جهة الثقات من أصحابنا رحمهم الله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والسيد الخوئي قدس سرّه وإن تراجع في آخر حياته عن توثيق كل مَن ورد في كامل الزيارات، إلّا أنّه يعتقد بوثاقة مشايخ ابن قولويه المباشرين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فحكيم بن داود من مشايخ ابن قولويه المباشرين؛ فهو ثقة بالتوثيقات العامّة التي هي أحد طريقَي تحصيل الحكم بالوثاقة، وقد غفل الكاتب بالكُلّية عن هذا الأمر؛ فحكم على حكيم بن داود بالمجهولية، وهذا ناشئٌ من عدم اطّلاعه وخبرته بطرق التوثيق العامّة</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2792834_1051229030"/>
      <w:bookmarkStart w:id="207" w:name="_Toc73"/>
      <w:bookmarkEnd w:id="206"/>
      <w:r>
        <w:rPr>
          <w:rtl w:val="true"/>
        </w:rPr>
        <w:t>ثانياً</w:t>
      </w:r>
      <w:r>
        <w:rPr>
          <w:rtl w:val="true"/>
        </w:rPr>
        <w:t xml:space="preserve">: </w:t>
      </w:r>
      <w:r>
        <w:rPr>
          <w:rtl w:val="true"/>
        </w:rPr>
        <w:t>تضعيفه سلمة بن الخطاب</w:t>
      </w:r>
      <w:bookmarkEnd w:id="20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سلمة بن الخطاب وإن ضعَّفه النجاشي وابن الغضائري، إلّا أنّ هذا لا يكفي </w:t>
      </w:r>
    </w:p>
    <w:p>
      <w:pPr>
        <w:pStyle w:val="BookText"/>
        <w:rPr/>
      </w:pPr>
      <w:r>
        <w:rPr>
          <w:rFonts w:ascii="Amiri" w:hAnsi="Amiri" w:eastAsia="Amiri" w:cs="Amiri"/>
          <w:color w:val="111111"/>
          <w:sz w:val="28"/>
          <w:sz w:val="28"/>
          <w:szCs w:val="28"/>
          <w:rtl w:val="true"/>
          <w:lang w:bidi="ar-SA"/>
        </w:rPr>
        <w:t>للحكم بضعفه؛ حيث إنّ هنالك قرائن تشهد على حسن رواياته، كما قال الوحيد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ناهيك بجلالته، بل وثاقته، رواية كل هذه الأجِلّة المذكورين هنا وغيرهم عنه، سيّما وهم من القمِّيين، بل ومشايخهم وأعاظمهم، وفيهم ابن الوليد، وأيضاً يَروي عنه محمّد بن أحمد بن يحيى، ولم يستثنِ روايته، وأيضاً هو كثير الرواية، وصاحب الكتب، إلى غير ذلك</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النمازي الشاهرودي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ونزيدك على ما ذكرنا من المولى الوحيد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في طريق مشيخة الفقيه في عداد صواحب الأُصول المعتمدة التي استخرج منها كتابه الفقيه، وروى كتبه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طريق ابن قولويه القمّي في كامل الزيارات، مع أنّه في أوله شَهد بوثاقة مَن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رواياته الشريفة، وهي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الكليني عن محمّد بن يحيى، عنه، رواية النص على الأئمّة الاثني عشر وأسمائهم وفضائلهم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سعد عنه فضائل أمير المؤمنين عَلیه السَلام ، ووجوب الاقتداء به، وذم مخالفته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يُعتذر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تضعيف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النجاشي التي تفيد التضعيف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الكاتب أن يُبيِّن منهجه الرجالي في التضعيف والتوثيق ولو على نحو الفتوى؛ حتى يُعلم مشربه في علم الرجال، وإن كنّا مطمئنين بأنّه من المقلدين في </w:t>
      </w:r>
      <w:bookmarkStart w:id="208" w:name="pg7540_66634"/>
    </w:p>
    <w:p>
      <w:pPr>
        <w:pStyle w:val="BookText"/>
        <w:rPr/>
      </w:pPr>
      <w:bookmarkEnd w:id="208"/>
      <w:r>
        <w:rPr>
          <w:rFonts w:ascii="Amiri" w:hAnsi="Amiri" w:eastAsia="Amiri" w:cs="Amiri"/>
          <w:color w:val="111111"/>
          <w:sz w:val="28"/>
          <w:sz w:val="28"/>
          <w:szCs w:val="28"/>
          <w:rtl w:val="true"/>
          <w:lang w:bidi="ar-SA"/>
        </w:rPr>
        <w:t>هذا الميدان ليس إلّا، ومع ذلك كان عليه أن يُبيِّن مشرب مقلَّده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يتبين لنا تسرُّع الكاتب بتضعيف سند هذه الرواية، من دون مراجعة تمام الأقوال حول هؤلاء الرواة</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2792836_1051229030"/>
      <w:bookmarkStart w:id="210" w:name="_Toc74"/>
      <w:bookmarkEnd w:id="209"/>
      <w:r>
        <w:rPr>
          <w:rtl w:val="true"/>
        </w:rPr>
        <w:t>ثالثاً</w:t>
      </w:r>
      <w:r>
        <w:rPr>
          <w:rtl w:val="true"/>
        </w:rPr>
        <w:t xml:space="preserve">: </w:t>
      </w:r>
      <w:r>
        <w:rPr>
          <w:rtl w:val="true"/>
        </w:rPr>
        <w:t>اعترافه بوجود طريق آخر صحيح للرواية</w:t>
      </w:r>
      <w:bookmarkEnd w:id="210"/>
    </w:p>
    <w:p>
      <w:pPr>
        <w:pStyle w:val="BookText"/>
        <w:rPr/>
      </w:pPr>
      <w:r>
        <w:rPr>
          <w:rFonts w:ascii="IRNazanin" w:hAnsi="IRNazanin" w:eastAsia="IRNazanin"/>
          <w:color w:val="111111"/>
          <w:sz w:val="28"/>
          <w:sz w:val="28"/>
          <w:szCs w:val="28"/>
          <w:rtl w:val="true"/>
          <w:lang w:bidi="fa-IR"/>
        </w:rPr>
        <w:t>إنّنا لم نعرف الوجه الذي من أجله انساق الكاتب للنقاش السندي في هذه الرواية؛ مع أنّه صرح بأنّها قد رُويت بسندٍ صحيحٍ آخر، هذا بالإضافة إلى وجود طريق صحيح ثالث لم يُشر إليه الكاتب في المقام، وهو ما أخرجه القمي في تفسيره بسنده،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وحدثني أبي، عن بكر بن محمّد،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ذكرنا أو ذُكرنا عنده؛ فخرج من عينه دمعٌ مثل جناح بعوضة؛ غفر الله له ذنوبه ولو كانت مثل زَبَد البحر</w:t>
      </w:r>
      <w:r>
        <w:rPr>
          <w:rFonts w:eastAsia="IRNazanin" w:cs="IRNazanin"/>
          <w:color w:val="111111"/>
          <w:sz w:val="28"/>
          <w:szCs w:val="28"/>
          <w:rtl w:val="true"/>
          <w:lang w:bidi="fa-IR"/>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وجود أكثر من طريق صحيح للرواية، فما هي الفائدة في نقاش أحد طرقها الضعيفة؟</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2792838_1051229030"/>
      <w:bookmarkStart w:id="212" w:name="_Toc75"/>
      <w:bookmarkEnd w:id="211"/>
      <w:r>
        <w:rPr>
          <w:rtl w:val="true"/>
        </w:rPr>
        <w:t>خلط الكاتب في أسماء الرجال وترتيبه استنتاجات خاطئة</w:t>
      </w:r>
      <w:r>
        <w:rPr>
          <w:rtl w:val="true"/>
        </w:rPr>
        <w:t>:</w:t>
      </w:r>
      <w:bookmarkEnd w:id="21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المفترض من كاتب المقال التدقيق في الأسانيد، ومعرفة الطرق، وكيفية دراسة الروايات بصورة موضوعية تُعطي للبحث قيمته، إلّا أنّه أتي بكلام غثّ يكشف عن ضعفه وقلَّة معرفته بفنِّ الحديث؛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نقل في كامل الزيارات حديثاً مشابهاً لهذا الحديث، عن فضيل بن فضالة، إلّا أنّ ملاحظة رواة سائر السند يقودنا إلى الحكم </w:t>
      </w:r>
      <w:bookmarkStart w:id="213" w:name="pg7540_66635"/>
    </w:p>
    <w:p>
      <w:pPr>
        <w:pStyle w:val="BookText"/>
        <w:rPr/>
      </w:pPr>
      <w:bookmarkEnd w:id="213"/>
      <w:r>
        <w:rPr>
          <w:rFonts w:ascii="Amiri" w:hAnsi="Amiri" w:eastAsia="Amiri" w:cs="Amiri"/>
          <w:color w:val="111111"/>
          <w:sz w:val="28"/>
          <w:sz w:val="28"/>
          <w:szCs w:val="28"/>
          <w:rtl w:val="true"/>
          <w:lang w:bidi="ar-SA"/>
        </w:rPr>
        <w:t>بالخطأ الوارد في اسم الفضيل بن فضالة، وأنّ الصحيح هو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الرواية حكيم بن داود عن سلمة، عن علي بن سيف بالنص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 الكاتب تصوَّر أنّ الراوي واحد، وهو الفضيل بن يسار، لا ابن فضالة، إلّا أنّ الأمر ليس كما تصوَّر؛ لأنّ ابن فضالة غير ابن يسار، فهما راويان كما عن الشيخ الطوسي</w:t>
      </w:r>
      <w:r>
        <w:rPr>
          <w:rStyle w:val="FootnoteAnchor"/>
          <w:rtl w:val="true"/>
        </w:rPr>
        <w:footnoteReference w:id="144"/>
      </w:r>
      <w:r>
        <w:rPr>
          <w:rFonts w:ascii="Amiri" w:hAnsi="Amiri" w:eastAsia="Amiri" w:cs="Amiri"/>
          <w:color w:val="111111"/>
          <w:sz w:val="28"/>
          <w:sz w:val="28"/>
          <w:szCs w:val="28"/>
          <w:rtl w:val="true"/>
          <w:lang w:bidi="ar-SA"/>
        </w:rPr>
        <w:t>، والنمازي الشاهرودي</w:t>
      </w:r>
      <w:r>
        <w:rPr>
          <w:rStyle w:val="FootnoteAnchor"/>
          <w:rtl w:val="true"/>
        </w:rPr>
        <w:footnoteReference w:id="145"/>
      </w:r>
      <w:r>
        <w:rPr>
          <w:rFonts w:ascii="Amiri" w:hAnsi="Amiri" w:eastAsia="Amiri" w:cs="Amiri"/>
          <w:color w:val="111111"/>
          <w:sz w:val="28"/>
          <w:sz w:val="28"/>
          <w:szCs w:val="28"/>
          <w:rtl w:val="true"/>
          <w:lang w:bidi="ar-SA"/>
        </w:rPr>
        <w:t>، والسيد الخوئي في معجم الرجال</w:t>
      </w:r>
      <w:r>
        <w:rPr>
          <w:rStyle w:val="FootnoteAnchor"/>
          <w:rtl w:val="true"/>
        </w:rPr>
        <w:footnoteReference w:id="146"/>
      </w:r>
      <w:r>
        <w:rPr>
          <w:rFonts w:ascii="Amiri" w:hAnsi="Amiri" w:eastAsia="Amiri" w:cs="Amiri"/>
          <w:color w:val="111111"/>
          <w:sz w:val="28"/>
          <w:sz w:val="28"/>
          <w:szCs w:val="28"/>
          <w:rtl w:val="true"/>
          <w:lang w:bidi="ar-SA"/>
        </w:rPr>
        <w:t>، والشيخ غلام رضا عرفانيان في مشايخ الثقات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نُقلت الرواية عن كل منهما، فإنّها نُقلت بطريقين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بكر بن محمّد، عن 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سيف، عن بكر بن محمّد، عن فضيل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كامل الزيارات</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واللسان مختلف، ففي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يغفر الذنوب لِمَن يبكي على الحسين عَلیه السَلام ، وفي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يُحرِّم وجهه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معنى للحكم باتحاد الرواية والراوي</w:t>
      </w:r>
      <w:r>
        <w:rPr>
          <w:rFonts w:eastAsia="IRNazanin" w:cs="IRNazanin"/>
          <w:color w:val="111111"/>
          <w:sz w:val="28"/>
          <w:szCs w:val="28"/>
          <w:rtl w:val="true"/>
          <w:lang w:bidi="fa-IR"/>
        </w:rPr>
        <w:t>.</w:t>
      </w:r>
    </w:p>
    <w:p>
      <w:pPr>
        <w:pStyle w:val="Heading5"/>
        <w:numPr>
          <w:ilvl w:val="4"/>
          <w:numId w:val="1"/>
        </w:numPr>
        <w:rPr/>
      </w:pPr>
      <w:bookmarkStart w:id="214" w:name="__RefHeading___Toc2792840_1051229030"/>
      <w:bookmarkStart w:id="215" w:name="_Toc76"/>
      <w:bookmarkEnd w:id="214"/>
      <w:r>
        <w:rPr>
          <w:rtl w:val="true"/>
        </w:rPr>
        <w:t>عدم الدقّة في دراسة الروايات ومعرفة المراد منها</w:t>
      </w:r>
      <w:bookmarkEnd w:id="2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ضمن الانتقادات التي ساقها الكاتب على روايات البكاء هو أنّ بعض الروايات وردت بلسانٍ عام، فهي غير مختصة بالإمام الحسين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فعلى الرّغم </w:t>
      </w:r>
    </w:p>
    <w:p>
      <w:pPr>
        <w:pStyle w:val="BookText"/>
        <w:rPr/>
      </w:pPr>
      <w:r>
        <w:rPr>
          <w:rFonts w:ascii="IRNazanin" w:hAnsi="IRNazanin" w:eastAsia="IRNazanin"/>
          <w:color w:val="111111"/>
          <w:sz w:val="28"/>
          <w:sz w:val="28"/>
          <w:szCs w:val="28"/>
          <w:rtl w:val="true"/>
          <w:lang w:bidi="fa-IR"/>
        </w:rPr>
        <w:t>من عمومية لفظ الحديث، وعدم اختصاصه بالإمام الحسين عَلیه السَلام ، إلَّا أنّ عامّة المحدّثين أدخلوه في باب البكاء على الإمام الحسين عَلیه السَلام ، وقد نُقلت الرواية ذاتها عند الحميري في كتاب قرب الإسناد بنصٍّ أكمل؛ جعلها أعمّ بكثير من موضوع الإمام الحسين عَلیه السَلام لتشمل مظلومية كل العلويين، فجاء النصّ كالآتي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عن بكر بن محمّد،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تجلسون وتتحدثون؟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المجالس أُحبُّها، فأحيوا أمرنا يا فضيل، فرحم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فضيل، مَن ذَكرنا أو ذُكرنا عنده، فتخرج من عينيه مثل جناح الذباب؛ غفر الله له ذنوبه ولو كانت أكثر من زبد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يلاحظ؛ فإنّ الرواية لم تنصّ على قضية الإمام الحسين عَلیه السَلام وعاشورائه، وإنّما هي من مصاديقها البارزة، فالنصّ يتضمّن أيضاً الدعوة إلى ذكر سائر شهداء العلويين،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شامل أيضاً لعامّة الشيعة، ممَّن هُجِّر، وعانى التعسُّف والاضطهاد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وكأنّ الكاتب يريد أن ينفي الخصوصية الثابتة للإمام الحسين عَلیه السَلام في مسألة البكاء، ويجعلها مسألة عامّة لا لخصوص أهل البيت علیهم السلام وحَسب، وإنّما يعمِّمُها لجميع العلويين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كان على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إصدار الحكم بعمومية اللفظ ليشمل كل مَن قتل من العلويين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يتتبّع بقية الروايات لمعرفة هذه المفردة الواردة في هذه الرواية،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وردت روايات كثيرة تشرح المقصود منها، ففي قرب الإسناد بسند صحيح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خيثمة، اقرأ موالينا السلام، وأوصهم بتقوى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يتلاقوا في بيوتهم، فإنّ لُقياهم حياةٌ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أحيا أمرنا</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الديلمي في أعلام الدين عن </w:t>
      </w:r>
    </w:p>
    <w:p>
      <w:pPr>
        <w:pStyle w:val="BookText"/>
        <w:rPr/>
      </w:pPr>
      <w:r>
        <w:rPr>
          <w:rFonts w:ascii="IRNazanin" w:hAnsi="IRNazanin" w:eastAsia="IRNazanin"/>
          <w:color w:val="111111"/>
          <w:sz w:val="28"/>
          <w:sz w:val="28"/>
          <w:szCs w:val="28"/>
          <w:rtl w:val="true"/>
          <w:lang w:bidi="fa-IR"/>
        </w:rPr>
        <w:t>الصادق عَلیه السَلام أنّه قال لخيثمة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موالينا السلام، وأوصِهم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ويتذاكروا علم الدين؛ ففي ذلك حياة أمرنا، رحم الله مَن أحيا أمرنا</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الروايات وغيرها قرائن شارحة ومبيّنة للمراد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المقصود بها أئمة أهل البيت علیهم السلام المعصومون دون غيرهم، هذا بالإضافة إلى أنّ الحديث قد صدَّره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موالينا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لا تنطبق إلّا على الأئمّة المعصومين علیهم السلام ؛ لأنّهم هم الولاة، والناس موالٍ لهم، دون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قرائن أُخرى في الروايات تُبيِّن أنَّ المقصود هم الأئمة دون غيرهم؛ فلذلك ذكر العلماء هذه الأخبار ضمن الراويات المرشدة للبكاء على الحسين عَلیه السَلام ، والتي قسموها إلى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استحباب البكاء على الحسين عَلیه السَلام ؛ طبقاً للأحاديث الواردة بشكل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البكاء عليه عَلیه السَلام بما ورد في الأحاديث بشكلٍ خاص</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فذِكرُ العلماء لهذه الروايات ضمن أحاديث البكاء على الحسين عَلیه السَلام لم يأتِ عن غفلةٍ أو جزافٍ، إنّما جاءت عن مراجعة للأخبار ومتونها ورصدها، ففهموا من خلالها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 المعصومين الأربعة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في الأخبار تصريحاً جليَّاً بأنّ ما جرى على الحسين وأهل بيته علیهم السلام لم يجرِ على أحدٍ من المعصومين علیهم السلام ؛ لذلك علا ذِكره وبرز وأصبح المركز في كُلّ عزاء ومأتم يقام على النبي‘ أو أمير المؤمنين عَلیه السَلام ، أو فاطمة عَلیهاالسَلام ، أو أحد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يوم الحسين أقرح جفوننا، وأسبل دموعنا، وأذل عزيزنا بأرض كرب وبلاء، وأورثنا الكرب والبلاء إلى يوم الانقضاء، فعلى مثل الحسين فليبكِ الباكون</w:t>
      </w:r>
      <w:r>
        <w:rPr>
          <w:rFonts w:eastAsia="IRNazanin" w:cs="IRNazanin"/>
          <w:color w:val="111111"/>
          <w:sz w:val="28"/>
          <w:szCs w:val="28"/>
          <w:rtl w:val="true"/>
          <w:lang w:bidi="fa-IR"/>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فمصيبته أورثت الأئمة الكرب والبلاء إلى </w:t>
      </w:r>
      <w:bookmarkStart w:id="216" w:name="pg7540_66638"/>
    </w:p>
    <w:p>
      <w:pPr>
        <w:pStyle w:val="BookText"/>
        <w:rPr/>
      </w:pPr>
      <w:bookmarkEnd w:id="216"/>
      <w:r>
        <w:rPr>
          <w:rFonts w:ascii="IRNazanin" w:hAnsi="IRNazanin" w:eastAsia="IRNazanin"/>
          <w:color w:val="111111"/>
          <w:sz w:val="28"/>
          <w:sz w:val="28"/>
          <w:szCs w:val="28"/>
          <w:rtl w:val="true"/>
          <w:lang w:bidi="fa-IR"/>
        </w:rPr>
        <w:t>يوم القيامة، فكل رواية تحض على البكاء على أهل البيت علیهم السلام فإنّ الإمام الحسين عَلیه السَلام هو المصداق الأبرز والأوضح الذي تجلّت فيه أنواع المصائب والمِحن</w:t>
      </w:r>
      <w:r>
        <w:rPr>
          <w:rFonts w:eastAsia="IRNazanin" w:cs="IRNazanin"/>
          <w:color w:val="111111"/>
          <w:sz w:val="28"/>
          <w:szCs w:val="28"/>
          <w:rtl w:val="true"/>
          <w:lang w:bidi="fa-IR"/>
        </w:rPr>
        <w:t>.</w:t>
      </w:r>
    </w:p>
    <w:p>
      <w:pPr>
        <w:pStyle w:val="Heading5"/>
        <w:numPr>
          <w:ilvl w:val="4"/>
          <w:numId w:val="1"/>
        </w:numPr>
        <w:rPr/>
      </w:pPr>
      <w:bookmarkStart w:id="217" w:name="__RefHeading___Toc2792842_1051229030"/>
      <w:bookmarkStart w:id="218" w:name="_Toc77"/>
      <w:bookmarkEnd w:id="217"/>
      <w:r>
        <w:rPr>
          <w:rtl w:val="true"/>
        </w:rPr>
        <w:t>قراءات دلالية خاطئة</w:t>
      </w:r>
      <w:bookmarkEnd w:id="218"/>
    </w:p>
    <w:p>
      <w:pPr>
        <w:pStyle w:val="BookText"/>
        <w:rPr/>
      </w:pPr>
      <w:r>
        <w:rPr>
          <w:rFonts w:ascii="IRNazanin" w:hAnsi="IRNazanin" w:eastAsia="IRNazanin"/>
          <w:color w:val="111111"/>
          <w:sz w:val="28"/>
          <w:sz w:val="28"/>
          <w:szCs w:val="28"/>
          <w:rtl w:val="true"/>
          <w:lang w:bidi="fa-IR"/>
        </w:rPr>
        <w:t>استعرض الكاتب بعض النصوص الروائية، ثم أشكل عليها؛ بسبب بعض انطباعاته المشوَّشة والناقصة، ذكرها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نصوص رثاء الحسين عَلیه السَلام وقفات في النقد المضموني</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عن الإمام الصادق عَلیه السَلام التي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لتبكيه وتشهق، فتزفر جهنَّم زفرةً لولا أنّ الخزنة يسمعون بكاءها وقد استعدوا لذلك؛ مخافة أن يخرج منها عذق، أو يشرد دُخانها فيحرق أهل الأرض فيكبحونها، ما دامت باكية، ويزجرونها ويوثقون من أبوابها، مخافةً على أهل الأرض، فلا تسكن حتى يسكن صوت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هذا الأمر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أعظم منه ما لم تسمعه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الكاتب في ردِّه لهذه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وبشيء من التأمّل يمكن لمس الطابع السردي الأُسطوري المهيمن على مضمونها؛ فقارئ النصّ يتخيّل له استقرار الإله والملائكة على جانب، يقابله آخر يقطنه أهل الأرض، وأنّ هناك معركة دائمة ومبيّتة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نار جهنّم، فهي ما تفتأ أن تدخل صراعاً مع مَن هو موكّل بها من الملائكة، فتشهق وتزفر فيتدخّل الملائكة؛ حفاظاً ورأفة بأهل الأرض للحدّ من 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هكذا نوع من الخطاب لا يتلاءم مع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هو من شأن المتكلم وهو الإمام، فما ورد في هذا المتن كفيل بإثبات الافتعال والوضع فيه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ونلاحظ على ما ادّعاه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نراجع نصّ الرواية، وعند تدقيق النظر فيها، لا نجد للتصوير المذكور محلاً، إلّا ما كان مترسخاً في ذهن صاحبه لا غير، فغاية ما تثبته الرواية هو تأثّر النار لبكاء وشهيق فاطمة عَلیهاالسَلام ، وأنّ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الكائن الحي كما ستأتي الإشارة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لذلك، وتغيّضت للظلم الذي جرى على أهل البيت علیهم السلام في كربلاء، وأين هذا من الحرب بين طرفين مستقلين كلٌّ منهما إلى جانبٍ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كان الأمر كما تصوّره ذهن الكاتب لكان عليه أن يتصور الطرفية في مجموعة من الآيات القرآنية التي ذكرت أهل السماء والأرض</w:t>
      </w:r>
      <w:r>
        <w:rPr>
          <w:rStyle w:val="FootnoteAnchor"/>
          <w:rtl w:val="true"/>
        </w:rPr>
        <w:footnoteReference w:id="155"/>
      </w:r>
      <w:r>
        <w:rPr>
          <w:rFonts w:ascii="Amiri" w:hAnsi="Amiri" w:eastAsia="Amiri" w:cs="Amiri"/>
          <w:color w:val="111111"/>
          <w:sz w:val="28"/>
          <w:sz w:val="28"/>
          <w:szCs w:val="28"/>
          <w:rtl w:val="true"/>
          <w:lang w:bidi="ar-SA"/>
        </w:rPr>
        <w:t>، وذكرت الملائكة والبشر</w:t>
      </w:r>
      <w:r>
        <w:rPr>
          <w:rStyle w:val="FootnoteAnchor"/>
          <w:rtl w:val="true"/>
        </w:rPr>
        <w:footnoteReference w:id="156"/>
      </w:r>
      <w:r>
        <w:rPr>
          <w:rFonts w:ascii="Amiri" w:hAnsi="Amiri" w:eastAsia="Amiri" w:cs="Amiri"/>
          <w:color w:val="111111"/>
          <w:sz w:val="28"/>
          <w:sz w:val="28"/>
          <w:szCs w:val="28"/>
          <w:rtl w:val="true"/>
          <w:lang w:bidi="ar-SA"/>
        </w:rPr>
        <w:t>، وغيرها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تصوير بعيد كل البعد عن ظاهر الرواية، بل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يخطر على بال أحد إلّا إذا كان همّه الإشكال والاعتراض كيفما كان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الإشكال في كون جهنّم تزفر لشهيق 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الغريب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جهنم مخلوق من مخلوقات الله سبحانه وتعالى،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نَقُولُ لِجَهَنَّمَ هَلِ امْتَلَأْتِ وَتَقُولُ هَلْ مِنْ مَزِيدٍ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فهي كغيرها من الموجودات التي تخضع للسيدة الزهراء عَلیهاالسَلام صاحبة المرتبة العُليا والمنزلة الرفيعة، وتنقاد لها كما ينقاد لها سائر الكائنات، وخصوصاً في مورد البكاء على الحسين عَلیه السَلام الذي ورد عن الإمام الحسن عَلیه السَلام مخاطباً أخاه شهيد كربلاء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أبا عبد الله</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وكما أنّ الوحوش والطير والهوام والسماء والأرض بكت على الحسين عَلیه السَلام ، وهي من خصوصياته عَلیه السَلام ؛ حيث لم ينقل لنا التاريخ أنّ ذلك حدث لغير مصيبة ابن فاطمة عَلیهاالسَلام ، من نبي أو رسول أو </w:t>
      </w:r>
    </w:p>
    <w:p>
      <w:pPr>
        <w:pStyle w:val="BookText"/>
        <w:rPr/>
      </w:pPr>
      <w:r>
        <w:rPr>
          <w:rFonts w:ascii="IRNazanin" w:hAnsi="IRNazanin" w:eastAsia="IRNazanin"/>
          <w:color w:val="111111"/>
          <w:sz w:val="28"/>
          <w:sz w:val="28"/>
          <w:szCs w:val="28"/>
          <w:rtl w:val="true"/>
          <w:lang w:bidi="fa-IR"/>
        </w:rPr>
        <w:t>إمام عدا يحيى بن زكريا، فكذلك زفير جهنم وغضبها لشهيق فاطمة عَلیهاالسَلام ، وبكائها على الإمام الحسين عَلیه السَلام يُعدُّ من خصوصياته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الغرابة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ألمجرد عدم قبول طبعنا وفهمنا القاصر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ترى، هل يحق لنا ردّ الروايات لمجرد آفاقنا الضيقة في عقولنا القاصرة؟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معرفة كيفية زفير جهنم، فهو أمر لا يصلح للاستشكال، فقد لا نفهم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ندرك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ذلك، إلّا أنّ هذا ليس مبرراً للرد؛ إذ إنّنا لا نعلم ولا نعرف الآخرة وقوانينها، وما يجري فيها إلّا من خلال الآيات والروايات المبيّنة لذلك، فتكون هذه الرواية منها، فكما أنّ كيفية بكاء الوحوش والطير والسماء والأرض عليه عَلیه السَلام مجهولة لنا، ولا نحيط بها، فكذلك زفير جهنم لبكاء الزهراء عَلیهاالسَلام ، وهناك عشرات بل مئات الأُمور بل أكثر، التي تحدث عنها النص الديني الثابت، والتي لا يمكن ردّها بوجه، مع كون كيفيتها مجهولة لنا، فإذا حكَّمنا منطق هذا الكاتب بفهم الروايات بل والآيات؛ لما بقى حجر على حجر، فكُلّ هذه الأُمور إذاً غيبية لا يعلم معناها ومفادها إلّا الناطق بها وهم محمّد وآل محمّد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فالإشكال المتني في الرواية إن كان من جهة التصوير الذي ذكره الكاتب، فهو تصوير خاطئ مردود على صاحبه، وإن كان لغرابة الأُمور المذكورة فيها، وعدم معرفة كيفية ذلك، فهو بالإضافة إلى عدم الغرابة، يقتضي ردّ جملة من الأخبار التي تتحدث عن أُمور غيبية غريبة عن بعض الأفهام أيضاً، وهو مرفوض</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زرارة، عن الإمام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إنّ السماء بكت الحسين أربعين صباحاً بالدَّم، وإنّ الأرض بكت أربعين صباحاً بالسواد، وإنّ الشمس بكت أربعين صباحاً بالكسوف والحمرة، وإنّ الجبال تقطعت وانتشرت، </w:t>
      </w:r>
    </w:p>
    <w:p>
      <w:pPr>
        <w:pStyle w:val="BookText"/>
        <w:rPr/>
      </w:pPr>
      <w:r>
        <w:rPr>
          <w:rFonts w:ascii="Amiri" w:hAnsi="Amiri" w:eastAsia="Amiri" w:cs="Amiri"/>
          <w:color w:val="111111"/>
          <w:sz w:val="28"/>
          <w:sz w:val="28"/>
          <w:szCs w:val="28"/>
          <w:rtl w:val="true"/>
          <w:lang w:bidi="ar-SA"/>
        </w:rPr>
        <w:t>وإنّ البحار تفجّرت</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علَّق عليها الكاتب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التكلّف والافتعال، مضافاً للاضطراب المهيمن على نصّها ودلالتها، وهذا لا يصدر إلّا عن مخيلة وضّاعة كالتي عند عبد الله بن عبد الرحمن الأصم، فهو لم يفكر في الذي سوف يحصل عند كسوف الشمس لمدة أربعين يوماً على التوالي؛ فهذا أمر ممتنع حسب قوانين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لكان له انعكاس واسع على صفحات التاريخ، وهكذا لبكاء السماء دماً أربعين يوماً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على كلامه هذا مجموعة من الملاحظات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راجعنا الرواية نجد أنّ أغلب متنها ثابت بأسانيد مستفيضة، بل ومتواترة، فأما النصّ المتقدم من أنّ السماء بكت الحسين عَلیه السَلام أربعين صباحاً، وكذا الأرض، ورد في روايات متواترة، وقد عقد ابن قولويه الباب الثامن والعشرين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العنوان،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بكاء السماء والأرض على الحسين ويحيى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من النصوص التي ذكرها صحيحة الإسناد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الرابع، وهو عن أبي بصير،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الحسين عَلیه السَلام بكى لقتله السماء والأرض واحمرَّتا، ولم تبكيا على أحدٍ قط إلّا على يحيى بن زكريا والحسين بن علي عَلیهِماالسَّلام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التاسع، وهو عن داود بن فرقد،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احمرَّت السماء حين قُتل الحسين عَلیه السَلام سنة ويحيى بن زكريا، وحمرتها بكاؤها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العاشر، وهو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الحسين بن علي، لم يكن له من قبل سمياً، ويحيى بن زكريا عَلیه السَلام لم يكن له من قبل سمياً، ولم تبكِ السماء إلّا عليهما أربعين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تطلع حمراء وتغرب حمراء</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الثاني عشر، وهو عن كليب بن معاوية الأسدي،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تبكِ السماء إلّا على الحسين بن علي، ويحيى بن زكريا عَلیهِماالسَّلام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 عشر والسادس عشر، وغيرها من الروايات الصحيحة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وهنالك روايات أُخرى كثيرة تحدثت عن بكاء السماء على الإمام الحسين عَلیه السَلام ، وقد ورد فيها معنى بكاء السماء من أنّ حمرتها بكاؤها، أو أنّها أمطرت دماً</w:t>
      </w:r>
      <w:r>
        <w:rPr>
          <w:rStyle w:val="FootnoteAnchor"/>
          <w:rtl w:val="true"/>
        </w:rPr>
        <w:footnoteReference w:id="167"/>
      </w:r>
      <w:r>
        <w:rPr>
          <w:rFonts w:ascii="Amiri" w:hAnsi="Amiri" w:eastAsia="Amiri" w:cs="Amiri"/>
          <w:color w:val="111111"/>
          <w:sz w:val="28"/>
          <w:sz w:val="28"/>
          <w:szCs w:val="28"/>
          <w:rtl w:val="true"/>
          <w:lang w:bidi="ar-SA"/>
        </w:rPr>
        <w:t>، أو وقوع شبه أثر البراغيث من الدم</w:t>
      </w:r>
      <w:r>
        <w:rPr>
          <w:rStyle w:val="FootnoteAnchor"/>
          <w:rtl w:val="true"/>
        </w:rPr>
        <w:footnoteReference w:id="168"/>
      </w:r>
      <w:r>
        <w:rPr>
          <w:rFonts w:ascii="IRNazanin" w:hAnsi="IRNazanin" w:eastAsia="IRNazanin"/>
          <w:color w:val="111111"/>
          <w:sz w:val="28"/>
          <w:sz w:val="28"/>
          <w:szCs w:val="28"/>
          <w:rtl w:val="true"/>
          <w:lang w:bidi="fa-IR"/>
        </w:rPr>
        <w:t>، أو أمطرت تراباً أحمر</w:t>
      </w:r>
      <w:r>
        <w:rPr>
          <w:rStyle w:val="FootnoteAnchor"/>
          <w:rtl w:val="true"/>
        </w:rPr>
        <w:footnoteReference w:id="169"/>
      </w:r>
      <w:r>
        <w:rPr>
          <w:rFonts w:ascii="IRNazanin" w:hAnsi="IRNazanin" w:eastAsia="IRNazanin"/>
          <w:color w:val="111111"/>
          <w:sz w:val="28"/>
          <w:sz w:val="28"/>
          <w:szCs w:val="28"/>
          <w:rtl w:val="true"/>
          <w:lang w:bidi="fa-IR"/>
        </w:rPr>
        <w:t>، أو احمرار السماء</w:t>
      </w:r>
      <w:r>
        <w:rPr>
          <w:rStyle w:val="FootnoteAnchor"/>
          <w:rtl w:val="true"/>
        </w:rPr>
        <w:footnoteReference w:id="1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الشمس مثل العلقة</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الأُمور لا تعارض بينها، بل وجوه الجمع فيما بينها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أكثر مضمون هذه الرواية التي غمز فيها الكاتب هو ثابت من خلال روايات كثيرة أُخرى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بكاء الملائكة على الحسين عَلیه السَلام ، فقد عُقد له في الكامل الباب السابع والعشرين، وأُورد تحته جملة من الأخبار نُورد بعض صحاحها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الفضيل بن يسار،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لا تأتونه؟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أربعة آلاف مَلك يبكون عند قبره إلى يوم القيامة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الفضيل،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قبر الحسين عَلیه السَلام أربعة آلاف ملك، شعثٌ غُبر، يبكونه إلى يوم القيامة، 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يحرسونه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حمزة،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وكّل بقبر الحسين عَلیه السَلام أربعة آلاف ملك، شعث غُبر، يبكونه من طلوع الفجر إلى زوال الشمس، فإذا زالت الشمس هبط أربعة آلاف ملك، وصعد أربعة آلاف ملك، فلم يزل يبكونه حتّى يطلع الفجر</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في هذا المعنى استفاضت، بل وصلت إلى حدّ التواتر الذي لا يحتاج معه للبحث في أسانيدها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اختضاب واحدة من العلويات، ولا </w:t>
      </w:r>
    </w:p>
    <w:p>
      <w:pPr>
        <w:pStyle w:val="BookText"/>
        <w:rPr/>
      </w:pPr>
      <w:r>
        <w:rPr>
          <w:rFonts w:ascii="IRNazanin" w:hAnsi="IRNazanin" w:eastAsia="IRNazanin"/>
          <w:color w:val="111111"/>
          <w:sz w:val="28"/>
          <w:sz w:val="28"/>
          <w:szCs w:val="28"/>
          <w:rtl w:val="true"/>
          <w:lang w:bidi="fa-IR"/>
        </w:rPr>
        <w:t xml:space="preserve">اكتحلت ولا رجّلت حتّى قُتل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قد ورد في جملة من الأخبار غير هذا الخبر، كما رواه الكشّي 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امتشطت فينا هاشمية، ولا اختضبت حتّى بعث إلينا المختار برؤوس الذين قتلوا الحسين عَلیه السَلام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بكاء الجَنّة والنار، وكذلك أهل الجنّة والنار، فقد ورد في أخبار معتبرة؛ إذ روى ابن قولويه بسنده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عبد الله الحسين بن علي عَلیهِماالسَّلام لما مضى بكت عليه السماوات السبع، والأرضون السبع، وما فيهن وما بينهن، ومَن ينقلب عليهن، والجنة والنار، وما خلق ربنا، وما يُرى وما لا يُرى</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فجملة كبيرة من مضمون الرواية ثابت في نصوص صحيحة، وبعضها مستفيض، بل ومتواتر، فلا معنى للطعن بالرواية، ونسبتها إلى الوضع والقصة بسبب 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استبعد كسوف الشمس بدعوى أنّه حدث يخالف قانون الطبيعة، وهذا أغرب من سابقه؛ إذ كيف يمكن ردّ الخبر باستبعاد أهل الطبيعة، وإلّا لزم ردّ جميع المعاجز والكرامات التي هي من البديهيات الدينية؛ إذ إنّها جميعاً تخالف قانون الطبيعة الظاهري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الوارد في الرواية هو أنّ الشمس بكت الحسين عَلیه السَلام أربعين صباحاً بالكسوف والحمرة، وفي خبرٍ آخر أنّها صارت كالعلقة من شدة الاحمرار، وهذا لا يعني بالضرورة حصول الكسوف المصطلح عند علماء الفلك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هذا لا يستبعد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المقصود هو أثر الكسوف، وهو احمرار الشمس حمرة شديدة كأنّها مكسوفة ومُسودّة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بوقوعه لكان له انعكاس واسع على صفحات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يشبه اعتراض السلفية على رواية ردّ الشمس للإمام علي عَلیه السَلام ؛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لو رجعت لكان ذلك حدثاً عالمياً يشهده حتّى النصارى وغيرهم، ولذكروه في تواريخهم، مع أنّنا لا نرى لذلك أثراً ولا عيناً فيما دَوَّنوه من التاريخ يُشير إلى واقع هذه الظاهرة الكونية الغريبة والنادرة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كلامٌ لا يحتاج ردُّه إلى مؤنةٍ كبيرة؛ لأنّه متى صدق أصحاب الأديان الأُخرى مع أنفسهم حتّى نحتاجهم في إثبات حادثة جليلة في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كانوا ملتفتين إلى هذا الأمر حين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تصوروا وقوع عاصفة رملية جعلت الشمس تحمرّ وتكون كالعلقة، خصوصاً وأنّ السماء نزل منها تراباً أحمر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من تقطيع الجبال وانتشارها لا يعني أنّ ذلك الأمر محسوس، بل قد يكون الأمر بشكل غير ملحوظ للعيان، كما ذكرت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الْجِبَالَ تَحْسَبُهَا جَامِدَةً وَهِيَ تَمُرُّ مَرَّ السَّحَابِ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فالقرآن يخبر بحركة الجبال التي لا نشاهدها حسّاً، ولو قال ألف عالم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كلامه أمام خبر القرآن بحركتها، فضلاً عن أنّ العلم قد أثبت ذلك أيضاً مؤخراً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بكير، عن الإمام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حججت مع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لو نُبش قبر الحسين بن علي عَلیه السَلام هل كان يُصاب في قبره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بكير، ما أعظم مسائلك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مع أبيه وأمه وأخيه في منزل رسول الله‘، ومعه يرزقون ويحبرون، وإنّه لعن يمين العرش متعلّقٌ 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أنجز لي ما وعدتني، وإنّه لينظر إلى </w:t>
      </w:r>
    </w:p>
    <w:p>
      <w:pPr>
        <w:pStyle w:val="BookText"/>
        <w:rPr/>
      </w:pPr>
      <w:r>
        <w:rPr>
          <w:rFonts w:ascii="Amiri" w:hAnsi="Amiri" w:eastAsia="Amiri" w:cs="Amiri"/>
          <w:color w:val="111111"/>
          <w:sz w:val="28"/>
          <w:sz w:val="28"/>
          <w:szCs w:val="28"/>
          <w:rtl w:val="true"/>
          <w:lang w:bidi="ar-SA"/>
        </w:rPr>
        <w:t>زوّاره، وإنّه أعرف بهم وبأسمائهم وأسماء آبائهم وما في رحالهم من أحدهم بولده، وإنّه لينظر إلى مَن يبكيه فيستغفر له، ويسأل أباه الاستغفار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الباكي، لو علمت ما أعدَّ الله لك لفرحت أكثر ممّا حزنت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علّق الكاتب على هذا الحديث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هذا الحديث أقلُّ غرابةً من بين أحاديث عبد الله الأصمّ، إلّا أنّ ما يُؤاخذ عليه هنا هو السؤال المطروح من قِبل عبد الله بن بكير، فهو لا يتناسب مع شخصيةٍ بوزن ابن بكير، ناهيك عن المبالغة في ثناء الإمام عَلیه السَلام على سؤال ابن بكير في الرواية، إذا علمنا أنّ السؤال غاية في السذاجة، وهو مستبعدٌ أساساً من ابن بكير</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استبعاد هكذا سؤال من عبد الله بن بكير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محله أساساً؛ فإنّ الكاتب نسي مراجعة ترجمة ابن بكير؛ حيث نصَّ الرجاليون على أنّه فَطَحيُّ المذهب وإن كان ثقةً في نفسه، فمَن زاغ في الإمامة واعتقد بإمامة عبد الله بن جعفر، وترك الإمام موسى الكاظم عَلیه السَلام ، وهو يجلس عند الصادق عَلیه السَلام ، كيف لا يجوز عليه أن يصدر منه هذا السؤال؟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الغرض من هذا الكلام الطعن في وثاقته، وردّ رواياته، وإنّما أردنا التنبيه على أنّ الشخص مهما ارتفع وعلا يمكن صدور الهفوات منه، وإن كان مستقيم الاعتقاد، فما بالك بأمثال ابن بكير الذي أنكر الإمام من بعد سيده وأُستاذه وإمامه جعفر بن محمّد 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حينئذٍ لاستبعاد صدور مثل هذا السؤال عن ابن بكير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الاستبعاد لا يُعدُّ دليلاً على ردّ الرواية؛ لأنّ المدار على الدليل، لا على الاستحسان والذوق، فما دام الشيء ممكن الحصول في نفسه فلا مانع من تحققه بعد قيام الدليل عليه، ولا يدفعه الاستبعاد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للاستبعاد في جواب الإمام الصادق عَلیه السَلام ، فإنّ الإمام كان بصدد بيان مقام ومنزلة الإمام الحسين عَلیه السَلام ، وهذا موضوع لا بدّ أن يُعظَّم ويذكر بأجلّ الكلمات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مسمع بن عبد الملك كردين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مسمع، أنت من أهل العراق، أما تأتي قبر الحسين عَلیه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رجلٌ مشهورٌ عند أهل البصرة، وعندنا مَن يتَّبع هوى هذا الخليفة، وعدوّنا كثير من أهل القبائل من النصّاب وغيرهم، ولست آمنهم أن يرفعوا حالي عند وُلد سليمان؛ فيمثّلون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تذكر ما 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واستعبر لذلك حتّى يرى أهلي أثر ذلك عليّ، فأمتنع من الطعام حتّى يستبين ذلك في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دمعتك، أما إنّك من الذين يُعدّون من أهل الجزع لنا، والذين يفرحون لفرحنا، ويحزنون لحزننا، ويخافون لخوفنا، ويأمنون إذا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الموجَع قلبه لنا يفرح يوم يرانا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الكوثر ليفرح بمحبنا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يا كردين ممَّن تُروى منه، وما من عين بكت لنا إلّا نُعِّمت بالنظر إلى الكوثر، وسقيت منه مَن أحبّنا، وإنّ الشارب منه ليُعطى من اللذة والطعم والشهوة له أكثر مما يُعطاه مَن هو دونه في حبّنا، وإنّ على الكوثر أمير المؤمنين عَلیه السَلام ، وفي يده عصا من عوسج، يحطِّم بها أعداءنا، فيقول الرجل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إمامك فلان فاسأله أن يشفع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يتبرأ منّي إمامي الذي 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ورائك فقل للذي كنت تتولاه وتُقدِّمُه على الخلق فاسأله إذا كان خير الخلق عندك أن يشفع لك، فإنّ خير الخلق حقيقٌ أن لا يُردَّ إذا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أهلك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زادك الله ظمأً، وزادك الله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يقدر على الدنو من الحوض ولم يقدر عليه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عن أشياء قبيحة، وكفٌّ عن شتمنا أهل البيت إذا ذكرنا، وترك أشياء اجترى عليها غيره، وليس ذلك لحبّنا ولا لهوى منه لنا، ولكن ذلك لشدة اجتهاده في عبادته وتدينه، ولما قد شغل نفسه به عن ذكر الناس، فأمّا قلبه فمنافق، ودينه النّصب باتباع أهل النّصب وولاية الماضين وتقدّمه لهما على 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علّق الكاتب على هذه الرواية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يتعارض مطلع الرواية مع المعهود من نصوص الأئمّة علیهم السلام ، إلّا أنّه سرعان ما ينحرف محتوى النصّ عن مساره ليقترب من ملامح الوضع والافتعال، حتّى يطغى على القسم الأخير من الرواية تناقضٌ واضحٌ في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فرض شخص متديِّن ورع عن القبائح، وكافٍّ عن عداء أهل البيت علیهم السلام ، ثُمّ يكون في داخله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التديُّن بمنزلةٍ تُوصلُه إلى حدود الحوض، فيُكلِّم أمير المؤمنين، وهذا لا يتوافق مع صفة النفاق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فرضنا جدلاً بوجود رجل موالٍ لشخصين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نابعٌ عن جهله وقصوره، وهو أمرٌ لا يستوجب غضب أمير المؤمنين له؛ بحيث يتسبّب بشدة الجوع والعطش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فهذه الرواية أيضاً لا يمكن نسبتها للإمام الصادق عَلیه السَلام ، بل يُرجَّح أن تكون هي الأُخرى من نسج خيال عبد الله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بعض الملاحظات على كلام الكاتب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الكاتب لم يُفرِّق بين مقامي النّصب الفقهي والنّصب العقائدي، وللتفريق بينهما لا بدّ من التذكير بمقام الإمامة الإلهية وبمنزلة أهل البيت علیهم السلام ؛ حتى يتّضح ما يترتب على إنكار إمامتهم علیهم السلام ، فإنّه قد 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يُدافع عن </w:t>
      </w:r>
    </w:p>
    <w:p>
      <w:pPr>
        <w:pStyle w:val="BookText"/>
        <w:rPr/>
      </w:pPr>
      <w:r>
        <w:rPr>
          <w:rFonts w:ascii="IRNazanin" w:hAnsi="IRNazanin" w:eastAsia="IRNazanin"/>
          <w:color w:val="111111"/>
          <w:sz w:val="28"/>
          <w:sz w:val="28"/>
          <w:szCs w:val="28"/>
          <w:rtl w:val="true"/>
          <w:lang w:bidi="fa-IR"/>
        </w:rPr>
        <w:t>المخالفين الرافضين لإمامة أهل البيت علیهم السلام ، وإن كان على حساب الآيات والروايات الواردة عن أهل العصمة والطهارة علیهم السلام ، وقد نسوا أو تناسوا كلام السيدة الزهراء عَلیهاالسَلام حينما خاطبت المهاجرين والأنصار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اختار الله لنبيه دار أنبيائه ظهرت خُلَّة النفاق وسَمُل جِلباب الدين، ونطق كاظم الغاوين ونبغ حامل الآفلين، وهدر فنيق المبطلين، فخطر في عرصاتكم، وأطلع الشيطان رأسه من مغرزه صارخاً بكم، فوجدكم لدعائه مستجيبين، وللغرّة فيه ملاحظين، فاستنهضكم فوجدكم خِفافاً، وأجمشكم فألفاكم غضاباً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 خوف الفتنة، ألا في الفتنة سقطوا، وإنّ جهنم لمحيطةٌ بالكافرين، فهيهات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بكم، وأنّى تؤفكون، وهذا كتاب الله بين أظهركم، وزواجره بينة، وشواهده لائحة، وأوامره واضحة، أرغبةً عنه تُدبرون، أم بغيره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للظالمين بدلاً، ومَن يبتغِ غير الإسلام ديناً فلن يُقبل منه وهو في الآخرة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الآن تزعمون أن لا إرث لنا، أفحكم الجاهلية تبغون؟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أحسن من الله حكماً لقومٍ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ويهاً معشر المهاجرين، أأُبتزُّ إرث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الكتاب أن ترث أباك ولا أرث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شيئاً فرياً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الباعث على تسويد هذه الكلمات من قِبل الكاتب هو عدم اطّلاعه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حُسن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روايات الإمامة ومقام أهل البيت علیهم السلام ، لذلك سنورد جملة من الروايات الصحيحة المبينة لذلك، لعلّها تنفع القارئ وترفع الغشاوة عن عين الكاتب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الكليني في الكافي بسنده،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معرفة الإمام منكم واجبة على جميع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بعث محمّداً‘ إلى الناس أجمعين رسولاً وحجةً على جميع خلقه في أرضه، فمَن آمن بالله وبمحمّدٍ رسول الله واتّبعه وصدّقه، فإنّ معرفة الإمام واجبة عليه، ومَن لم يؤمن بالله </w:t>
      </w:r>
    </w:p>
    <w:p>
      <w:pPr>
        <w:pStyle w:val="BookText"/>
        <w:rPr/>
      </w:pPr>
      <w:r>
        <w:rPr>
          <w:rFonts w:ascii="Amiri" w:hAnsi="Amiri" w:eastAsia="Amiri" w:cs="Amiri"/>
          <w:color w:val="111111"/>
          <w:sz w:val="28"/>
          <w:sz w:val="28"/>
          <w:szCs w:val="28"/>
          <w:rtl w:val="true"/>
          <w:lang w:bidi="ar-SA"/>
        </w:rPr>
        <w:t>وبرسوله ولم يتبعه ولم يصدقه ويعرف حقهما، فكيف يجب عليه معرفة الإمام، وهو لا يؤمن بالله ورسوله ويعرف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يؤمن بالله ورسوله ويصدق رسوله في جميع ما أنزل الله، يجب على أولئك حق معرفتكم؟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هؤلاء يعرفون فلاناً 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الله هو الذي أوقع في قلوبهم معرفة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أوقع ذلك في قلوبهم إلّا الشيطان، لا والله، ما ألهم المؤمنين حقنا إلا الله عزّ وجلّ</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أيضاً عن أبي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يعبد الله مَن يعرف الله، فأمّا مَن لا يعرف الله فإنّما يعبد هكذا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الله عزّ وجلّ وتصديق رسوله‘ وموالاة علي عَلیه السَلام ، والائتمام به وبأئمة الهدى علیهم السلام والبراءة إلى الله عزّ وجلّ من عدوهم، هكذا يُعرف الله عزّ وجلّ</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أيضاً،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والصوم والحج والولاية، ولم ينادَ بشيء ما نُودي بالولاية يوم الغدير</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 بسنده عن عيسى بن السري،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بدعائم الإسلام التي لا يسع أحداً التقصير عن معرفة شيء منها، الذي مَن قصر عن معرفة شيء منها فَسد دينه ولم يقبل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عمله، ومَن عرفها وعمل بها صلح له دينه وقُبل منه عمله، ولم يضق به مما هو فيه لجهل شيء من الأُمور جهله؟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والإيمان بأنّ محمّداً رسول الله‘، والإقرار بما </w:t>
      </w:r>
    </w:p>
    <w:p>
      <w:pPr>
        <w:pStyle w:val="BookText"/>
        <w:rPr/>
      </w:pPr>
      <w:r>
        <w:rPr>
          <w:rFonts w:ascii="Amiri" w:hAnsi="Amiri" w:eastAsia="Amiri" w:cs="Amiri"/>
          <w:color w:val="111111"/>
          <w:sz w:val="28"/>
          <w:sz w:val="28"/>
          <w:szCs w:val="28"/>
          <w:rtl w:val="true"/>
          <w:lang w:bidi="ar-SA"/>
        </w:rPr>
        <w:t>جاء به من عند الله، وحقٌّ في الأموال الزكاة، والولاية التي أمر الله عزّ وجلّ بها، ولاية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الولاية شيءٌ دون شيء فضلٌ يُعرف لِمَن أخذ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لا تكون إلّا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وأحوج ما تكون إلى ما أنت عليه إذا بلغت نفسك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وانقطعت عنك الدنيا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أمرٍ حَسنٍ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بصائر الدرجات بسنده عن أبي الحسن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ولاية علي مكتوب في جميع صحف الأنبياء، ولن يبعث الله نبيّاً إلا بنبوة محمّد‘ وولاية وصيه علي عَلیه السَلام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 بسنده عن إسماعيل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رجل على أبي جعفر عَلیه السَلام ومعه صحيفة،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صحيفة مخاصم يسأل عن الدين الذي يُقبل فيه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هذا الذي أُريد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شريك له، وأنّ محمّداً‘ عبده ورسوله، وتُقرُّ بما جاء من عند الله، والولاية لنا أهل البيت، والبراءة من عدونا والتسليم لأمرنا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المجلسي معلّقاً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ريب في أنّ الولاية والاعتقاد بإمامة الأئمّة علیهم السلام والإذعان لها من جملة أُصول الدين، وأفضل من جميع الإعمال البدنية؛ لأنّها مفتاحهن،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تُفتح أبواب معرفة تلك الأُمور وحقائقها، وشرائطها وآدابها، أو مفتاح قبولهن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المنصوب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الدليل عليهن، يدلُّ من قِبل </w:t>
      </w:r>
    </w:p>
    <w:p>
      <w:pPr>
        <w:pStyle w:val="BookText"/>
        <w:rPr/>
      </w:pPr>
      <w:r>
        <w:rPr>
          <w:rFonts w:ascii="Amiri" w:hAnsi="Amiri" w:eastAsia="Amiri" w:cs="Amiri"/>
          <w:color w:val="111111"/>
          <w:sz w:val="28"/>
          <w:sz w:val="28"/>
          <w:szCs w:val="28"/>
          <w:rtl w:val="true"/>
          <w:lang w:bidi="ar-SA"/>
        </w:rPr>
        <w:t>الله الناس على آدابهم وأحكامها، والعمود الخشبة التي يقوم عليها البيت</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العلاّمة المجلسي جواب كافٍ في دفع كلام الكاتب، وبيان الوهم الذي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روايات كثيرة تتحدث عن الإمامة، ومنزلة الإمام، ودوره وموقعه في دائرة الدين الإسلامي، فما نقلناه جزءاً يسيراً، ومَن شاء فليراجع أبواب معرفة الإمام وغيرها، في الكافي وغيره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يتبين أنّ الأصل في الإيمان الإتيان به كاملاً، وهو الإيمان بالله ورسوله والأئمّة علیهم السلام ، فمَن آمن بهم قُبل عمله، ومَن لم يؤمن بهم لا يُقبل منه عملٌ، حتّى لو حصلت له العصمة العملية عن الوقوع في الذنوب، وأتى بكل الواجبات؛ لأنّ الله وعد المؤمنين بالثواب، والمؤمن لا يكون كذلك إلّا بالإيمان بالإمام، فكما عرف الشيخين وآمن بهما، يسعه معرفة الإمام والإيمان به، إلّا أنّه اعتمد على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وقلَّده أمره فسار خلفه؛ لذلك قال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دينه النّصب باتّباع أهل النصب، وولاية الماضين، وتقدّمه لهما على كل أحد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فالنّصب هنا نصبٌ اعتقادي وليس فقهياً، وهذا ما لم يفهمه الكاتب، فإنّ النّصب يختلف بحسب الحالة، فالنصب الفقهي هو المدار في الإسلام وعدمه، والطهارة والنجاسة، وهو يُعرَّف بأنّه التدين بِبُغض أهل البيت علیهم السلام ، قال السيد الخوئي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الفرقة الملعونة التي تنصب العداوة وتُظهر البغضاء لأهل البيت علیهم السلام ، كمعاوية ويزيد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في نجاستهم وكفرهم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وهؤلاء يترتب عليهم الخروج من الإسلام والحكم بكفرهم ونجاستهم وعدم التزويج منهم وتوريثهم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النّصب العقائدي، فهو غير النّصب الفقهي؛ إذ النّصب العقائدي هو موالاة أعداء أهل البيت علیهم السلام ، وعدم التبرِّي منهم، وإن أحب أهل البيت علیهم السلام ، وهذا ما أشارت إليه الرواية المتقدمة حينما سأله أبو حمزة عن معرفة الله تعالى،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والائتمام به وبأئمة الهدى علیهم السلام والبراءة إلى الله عزّ وجلّ من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يُعرف الله عزّ وجلّ</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تبيّن بما تقدم سبب عدم سقي الإمام علي بن أبي طالب عَلیه السَلام له؛ لأنّه أنكر دين الله تعالى، ولم يعرف ربه، ولم يؤمن به؛ فلذلك لا يكون ممن يدخل ضمن الوعد الإلهي بإثابة المحسنين، وهو يعتقد بإمامة أبي بكر وعمر، فلا معنى لأن يطلب السقي والارتواء ممن جحده وأنكره، وهو ساقي حوض الكوثر، والذائد عنه المنافقين كما تُذاد الإبل الغريب عن حوضها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أجاب الإمام عَلیه السَلام عن السبب الذي أوصل هكذا شخص إلى حوض الكوثر، وهو أنّه كان يتورع عن شتم أهل البيت علیهم السلام ، وأنه تارك لأشياء قبيحة؛ فلأجل ذلك منّ الله عليه بأن جعله ينظر إلى حوض الكوثر، إذ إن الاقتراب والنظر إلى الحوض في حد ذاته كرامة ونعمة وتفضل من الله تعالى على عباده، أمّا الشرب فهو الفوز والفلاح؛ لأنّ الشارب من ماء الكوثر سيرتوي إلى آخر عمره ولا يظمأ أبداً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تبيَّن أيضاً سبب غضب أمير المؤمنين عَلیه السَلام ؛ لأنّ هذا الشخص ترك علياً عَلیه السَلام ووالى غيره، فقد جاء شيئاً فريّاً، وكلُّ ذلك كان باختياره وانتخابه؛ إذ كيف يقدم أبا بكر وعمر على علي بن أبي طالب عَلیه السَلام ، فهذه بذاتها ترك للحق الذي أمر به الله ورسوله، ونكرانٌ للجميل الذي قدّمه الإمام عَلیه السَلام إلى الإسلام، وهو القائل</w:t>
      </w:r>
      <w:r>
        <w:rPr>
          <w:rFonts w:eastAsia="IRNazanin" w:cs="IRNazanin"/>
          <w:color w:val="111111"/>
          <w:sz w:val="28"/>
          <w:szCs w:val="28"/>
          <w:rtl w:val="true"/>
          <w:lang w:bidi="fa-IR"/>
        </w:rPr>
        <w:t xml:space="preserve">: </w:t>
      </w:r>
      <w:bookmarkStart w:id="219" w:name="pg7540_66654"/>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الله إليهم رحمةً، وأطلعنا عليهم رأفةً، وأسفر بنا عن الحجب، نوراً لِمَن اقتبسه، وفضلاً لِمَن اتّبعه، وتأييداً لِمَن صدّقه، فتبوؤا العزَّ بعد الذلة، والكثرة بعد القلة، وهابتهم القلوب والأبصار، وأذعنت لم الجبابرة وطوائفها، وصاروا أهل نعمةٍ مذكورة، وكرامةٍ ميسورة، وأمنٍ بعد خوف، وجمع بعد كوف</w:t>
      </w:r>
      <w:r>
        <w:rPr>
          <w:rStyle w:val="FootnoteAnchor"/>
          <w:rtl w:val="true"/>
        </w:rPr>
        <w:footnoteReference w:id="192"/>
      </w:r>
      <w:r>
        <w:rPr>
          <w:rFonts w:ascii="Amiri" w:hAnsi="Amiri" w:eastAsia="Amiri" w:cs="Amiri"/>
          <w:color w:val="111111"/>
          <w:sz w:val="28"/>
          <w:sz w:val="28"/>
          <w:szCs w:val="28"/>
          <w:rtl w:val="true"/>
          <w:lang w:bidi="ar-SA"/>
        </w:rPr>
        <w:t>، وأضاءت بنا معد بن عدنان، وأولجناهم باب الهدى، وأدخلناهم دار السلام، وأشملناهم ثوب الإيمان، وفلجوا بنا في العالمين، وأبدت لهم أيام الرسول آثار الصالحين، من حامٍ مجاهد، ومصلٍّ قانت، ومعتكفٍ زاهد، حتّى إذا دعا الله عزّ وجلّ نبيّه‘، ورفعه إليه، لم يكن ذلك بعده إلا كلمحةٍ من خفقة، أو وميضٍ من برقة، إلى أن رجعوا على الإعقاب، وانتكصوا على الأدبار، وطلبوا بالأوتار، وأظهروا الكتائب، وردموا الباب، وفلوا الديار، وغيّروا آثار رسول الله‘، ورغبوا عن أحكامه، وبعدوا من أنواره، واستبدلوا بمستخلفه بديلاً اتخذوه، وكانوا ظالمين، وزعموا أنّ مَن اختاروا من آل أبي قحافة أوْلى بمقام رسول الله‘ ممن اختار رسول الله‘ لمقامه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أول شهادة زور وقعت في الإسلام شهادتهم أنّ صاحبهم مستخلَف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قليلٍ يجدون غبَّ ما يعملون، وسيجدون التالون غبَّ ما أسّسه الأوّلون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حقٌّ لهم عند أمير المؤمنين عَلیه السَلام ، وهو مخيَّر في سقيهم من عدمه، فإن فعل فمن فضله وإحسانه، وإن رفض فمن عدله وإنصافه؛ لأنّهم أخّروه واجترأوا عليه</w:t>
      </w:r>
      <w:r>
        <w:rPr>
          <w:rFonts w:eastAsia="IRNazanin" w:cs="IRNazanin"/>
          <w:color w:val="111111"/>
          <w:sz w:val="28"/>
          <w:szCs w:val="28"/>
          <w:rtl w:val="true"/>
          <w:lang w:bidi="fa-IR"/>
        </w:rPr>
        <w:t>.</w:t>
      </w:r>
    </w:p>
    <w:p>
      <w:pPr>
        <w:pStyle w:val="Heading5"/>
        <w:numPr>
          <w:ilvl w:val="4"/>
          <w:numId w:val="1"/>
        </w:numPr>
        <w:rPr/>
      </w:pPr>
      <w:bookmarkStart w:id="220" w:name="__RefHeading___Toc2792844_1051229030"/>
      <w:bookmarkStart w:id="221" w:name="_Toc78"/>
      <w:bookmarkEnd w:id="220"/>
      <w:r>
        <w:rPr>
          <w:rtl w:val="true"/>
        </w:rPr>
        <w:t>نتيجة ونقاش</w:t>
      </w:r>
      <w:r>
        <w:rPr>
          <w:rtl w:val="true"/>
        </w:rPr>
        <w:t>:</w:t>
      </w:r>
      <w:bookmarkEnd w:id="2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الكاتب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المآرب المريضة لدى المعاندين المناهضين لثقافة عاشوراء ومبدأ الإمامة، ومساعيهم في تحريفها من خلال </w:t>
      </w:r>
    </w:p>
    <w:p>
      <w:pPr>
        <w:pStyle w:val="BookText"/>
        <w:rPr/>
      </w:pPr>
      <w:r>
        <w:rPr>
          <w:rFonts w:ascii="Amiri" w:hAnsi="Amiri" w:eastAsia="Amiri" w:cs="Amiri"/>
          <w:color w:val="111111"/>
          <w:sz w:val="28"/>
          <w:sz w:val="28"/>
          <w:szCs w:val="28"/>
          <w:rtl w:val="true"/>
          <w:lang w:bidi="ar-SA"/>
        </w:rPr>
        <w:t>دسّ الأحاديث الموضوعة والنصوص المحرَّفة، وهذه حقيقة تجعل نصب أعيننا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استعاضة حركة عاشوراء الحماسية بمظاهر البكاء والاستكانة، وتحولها إلى بضاعة وتجارة مقايضة بالجنّة هي من أهداف أعداء عاشوراء المشؤومين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فكر عاشوراء وثقافتها الالتزام بالتثبّت من صحة الروايات أو عدمها قبل تداولها، وإنّ دافع المظلومية والبكاء وتحريك الأحاسيس ليس معياراً كافياً في نقل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غير صحيحة بين طيّات الحوادث التاريخية قد يتناقلها حتى الأعلام من الرجاليين والفقهاء كابن قولويه؛ لذا يجب أن لا تكون مؤلفاتهم بمنأى عن النقد والتحقيق</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فنناقش 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لاحظنا فيما تقدم أنّ الروايات التي ضعّفها مؤيدة بأسانيد أُخرى صحيحة ومستفيضة، بل يصل بعضها إلى حد التواتر، فالأجدر به مراجعة قراءته للأحاديث من جهةٍ، والاطلاع على علم الرجال والجرح والتعديل من جهةٍ أُخرى، ثم بعد ذلك يحكم بالمآرب المريضة عند بعض رواة الشيعة الذين حكم عليهم بهذا الحكم القاسي، والمجانب للحق والحقيقة، والذي سوف يتحمّل تبعاته في المستقبل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الكاتب 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فهم الإمامة الإلهية كما لاحظنا؛ حيث استبعد عدم الإيفاء للمخالف بالوعد مع التزامه وعدم عدائه لأهل البيت علیهم السلام ، وكيف أشفق عليه، مع أنّ الروايات المتواترة تنصُّ على أنّ الإمامة الركن </w:t>
      </w:r>
    </w:p>
    <w:p>
      <w:pPr>
        <w:pStyle w:val="BookText"/>
        <w:rPr/>
      </w:pPr>
      <w:r>
        <w:rPr>
          <w:rFonts w:ascii="Amiri" w:hAnsi="Amiri" w:eastAsia="Amiri" w:cs="Amiri"/>
          <w:color w:val="111111"/>
          <w:sz w:val="28"/>
          <w:sz w:val="28"/>
          <w:szCs w:val="28"/>
          <w:rtl w:val="true"/>
          <w:lang w:bidi="ar-SA"/>
        </w:rPr>
        <w:t>الأصيل في الدين؛ وإنكارها مستلزمٌ للجهل بالله سبحانه وتعالى، ولا تنفعه صلاة ولا صوم ولا حج، بل وجملة من الأخبار تُكفّر مُنكر الإمامة، فالأحرى به مراجعة فهمه لمعنى الإمامة ودراستها من جديد؛ لتصحيح اعتقاده بها، ثم بعد ذلك ليحكم على مَن حرَّف الإمامة بما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ذنبنا إذا وردت الأخبار الصحيحة والمستفيضة عن أهل بيت النبيّ علیهم السلام بالحثّ على البكاء، واستذكار عاشوراء، والاستعبار وذرف الدموع أو التباكي، وأنّ الفاعل يحصل على الثواب الجزيل، والخير الوفير، والسعادة والسرور، والحشر مع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الكاتب الاعتراض فليعترض على الأئمّة علیهم السلام ، وليعترض على النبي الأكرم‘ وعلى علي وفاطمة والحسن علیهم السلام الذين بكوا الحسين قبل مقتله وشهادته، وليس ذلك إلّا حزناً عليه وألماً لما يلمّ به وبأهل بيته علیهم السلام ، وليس لأجل قضيّة سياسيّة أو مشروع دولة، كما رام الكاتب ذلك من خلال تصوير البكاء والحزن مسألة مبتذلة أو تجارة كاسدة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الروايات والأخبار تحوِّل قضية الإمام الحسين عَلیه السَلام إلى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تصوّر الكاتب بذهنه القاصر أو المُقصّر، ثم لو كان هناك مَن يتاجر بذلك فما ذنب الإمام الحسين عَلیه السَلام والباكين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يشبه حال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نؤمن بالله تعالى؛ لأنّ المخالفين آمنوا، ولا نؤمن بعيسى عَلیه السَلام ؛ لأنّ النصارى يؤمنون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مضحك للثكلى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أحد أنّه لا ضرورة من التثبُّت من صحة الروايات، فالكل مُجْمع على ضرورة هذا الأمر، ولكن لو كانت الروايات متكثرة، وكثيرٌ منها بأسانيد صحيحة، فلا سبيل إلى إنكارها بسبب ضعف أسانيد بعضها، ومَن يفعل ذلك فهو الجاهل أو المُغرض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أحد من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العلماء والمحقّقين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مصادرنا الحديثية لا يجوز البحث فيها والنقد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مَن ادَّعى صحة أسانيد الكتب الأربعة بالخصوص أو الكافي فقط، إلّا أنّ هذا لا يعني العمل بجميع رواياتها، بل هي قابلة للنقاش، بل حتى هذه الدعوى نُسخت، واستقر الرأي على ضرورة متابعة جميع الأسانيد وفي أي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الكاتب الناشئ يصوّر للقارئ أنّه هو صاحب هذا الفتح العلمي الذي غاب عن كبار العلماء، فيا هذا،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منع التحقيق والتثبت في المسائل التاريخية، بل وغير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العقائدية أو الفقهية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 أنت وتُطالب برفع هذا المنع؟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الدعوة إلى التثبت والتحقيق إن كان الغرض منها دعوة مَن هم على شاكلة الكاتب في النّقد والدراسة، فعذراً ثُمّ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كما قال الأعمش لأبي حنيفة حينما زاره، فقال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لو لا التثقيل عليك لزدت في عيادتك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عليَّ لثقيل وأنت في بيتك، فكيف إذا دخلت عليّ؟</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فكلامك أثقل وقتنا وأضاعه، فكيف إذا ما كتب أمثالك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أو 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فسيضيع العمر ويذهب هدراً في مراجعة الأخبار والآثار بعدكم، وتوضيح أوَّليات علم الحديث وفقهه لأمثالكم</w:t>
      </w:r>
      <w:r>
        <w:rPr>
          <w:rFonts w:eastAsia="Amiri" w:cs="Amiri" w:ascii="Amiri" w:hAnsi="Amiri"/>
          <w:color w:val="111111"/>
          <w:sz w:val="28"/>
          <w:szCs w:val="28"/>
          <w:rtl w:val="true"/>
          <w:lang w:bidi="ar-SA"/>
        </w:rPr>
        <w:t xml:space="preserve">. </w:t>
      </w:r>
      <w:bookmarkStart w:id="222" w:name="pg7540_66658"/>
    </w:p>
    <w:p>
      <w:pPr>
        <w:pStyle w:val="Heading2"/>
        <w:numPr>
          <w:ilvl w:val="1"/>
          <w:numId w:val="1"/>
        </w:numPr>
        <w:rPr/>
      </w:pPr>
      <w:bookmarkStart w:id="223" w:name="__RefHeading___Toc2792846_1051229030"/>
      <w:bookmarkStart w:id="224" w:name="_Toc79"/>
      <w:bookmarkEnd w:id="222"/>
      <w:bookmarkEnd w:id="223"/>
      <w:r>
        <w:rPr>
          <w:rtl w:val="true"/>
        </w:rPr>
        <w:t>دِرَاسَاتٌ في تارِيخ وَتُرَاثِ النَهضَةِ الحُسَينِيَّة</w:t>
      </w:r>
      <w:bookmarkEnd w:id="224"/>
    </w:p>
    <w:p>
      <w:pPr>
        <w:pStyle w:val="Heading3"/>
        <w:numPr>
          <w:ilvl w:val="2"/>
          <w:numId w:val="1"/>
        </w:numPr>
        <w:rPr/>
      </w:pPr>
      <w:bookmarkStart w:id="225" w:name="__RefHeading___Toc2792848_1051229030"/>
      <w:bookmarkStart w:id="226" w:name="_Toc80"/>
      <w:bookmarkEnd w:id="225"/>
      <w:r>
        <w:rPr>
          <w:rtl w:val="true"/>
        </w:rPr>
        <w:t>اشارة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مراسيم العزاء الحسيني</w:t>
      </w:r>
    </w:p>
    <w:p>
      <w:pPr>
        <w:pStyle w:val="BookText"/>
        <w:rPr/>
      </w:pPr>
      <w:r>
        <w:rPr>
          <w:rFonts w:ascii="Amiri" w:hAnsi="Amiri" w:eastAsia="Amiri" w:cs="Amiri"/>
          <w:color w:val="111111"/>
          <w:sz w:val="28"/>
          <w:sz w:val="28"/>
          <w:szCs w:val="28"/>
          <w:rtl w:val="true"/>
          <w:lang w:bidi="ar-SA"/>
        </w:rPr>
        <w:t>قراءة نقدية في مذكرات الأجانب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مسلسل الحسن والحسين عَلیهِماالسَّلام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التشويه المتعمد للحقائق التاريخية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7540_66660"/>
      <w:bookmarkStart w:id="228" w:name="pg7540_66660"/>
      <w:bookmarkEnd w:id="228"/>
    </w:p>
    <w:p>
      <w:pPr>
        <w:pStyle w:val="Heading3"/>
        <w:numPr>
          <w:ilvl w:val="2"/>
          <w:numId w:val="1"/>
        </w:numPr>
        <w:rPr/>
      </w:pPr>
      <w:bookmarkStart w:id="229" w:name="pg7540_66660"/>
      <w:bookmarkStart w:id="230" w:name="__RefHeading___Toc2792850_1051229030"/>
      <w:bookmarkStart w:id="231" w:name="_Toc81"/>
      <w:bookmarkEnd w:id="229"/>
      <w:bookmarkEnd w:id="230"/>
      <w:r>
        <w:rPr>
          <w:rtl w:val="true"/>
        </w:rPr>
        <w:t>مَراسیمُ العَزاء الحُسَیني قِرَاءَةٌ نَقدِیَّةٌ في مُذَکرّاتِ الاَجَانِب الشيخ رسول جعفريان ترجمة</w:t>
      </w:r>
      <w:r>
        <w:rPr>
          <w:rtl w:val="true"/>
        </w:rPr>
        <w:t xml:space="preserve">: </w:t>
      </w:r>
      <w:r>
        <w:rPr>
          <w:rtl w:val="true"/>
        </w:rPr>
        <w:t>حيدر الأسدي</w:t>
      </w:r>
      <w:bookmarkEnd w:id="231"/>
    </w:p>
    <w:p>
      <w:pPr>
        <w:pStyle w:val="Heading4"/>
        <w:numPr>
          <w:ilvl w:val="3"/>
          <w:numId w:val="1"/>
        </w:numPr>
        <w:rPr/>
      </w:pPr>
      <w:bookmarkStart w:id="232" w:name="__RefHeading___Toc2792852_1051229030"/>
      <w:bookmarkStart w:id="233" w:name="_Toc82"/>
      <w:bookmarkEnd w:id="232"/>
      <w:r>
        <w:rPr>
          <w:rtl w:val="true"/>
        </w:rPr>
        <w:t>اشارة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مَراسیمُ العَزاء الحُسَیني قِرَاءَةٌ نَقدِیَّةٌ في مُذَکرّاتِ الاَجَانِب</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إنّ هذا البحث يرمي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من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استعراض ودراسة ما جاء في مذکرات الأجانب حول مراسيم العزاء الحسيني في إيران بالخصوص، أيّام شهر محرّم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وبطبيعة الحال، لا يمكننا في هذا المختصر الوجيز بيان کلّ ما جاء في مذکراتهم ورحلاتهم حول مراسيم العزاء في شهر محرّم؛ لأنّ ذلك يستدعي منّا تأليف موسوعة مستقلّة، وهو خارج عن هذا المختصر الذي نحن بصدد بيانه، وفي هذا الضوء سيختصّ بحثنا بنقل ودراسة بعض الرؤى والتصورات في هذا المجال، وربما تخطّينا ذلك وأوردنا جانباً ممّا وقعوا فيه من الأخطاء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بالالتفات هو عدم خلوّ معظم تلك المذكّرات والرحلات من ذكر مراسيم العزاء في شهر محرّم، والسبب في ذلك أنّ هذه المراسيم كانت غالباً ما تبعث على دهشتهم واستغرابهم؛ لما تحويه من مفاهيم وجوانب وأبعاد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جهة الشكل والصورة، أو من جهة المضمون والمحتوى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أغلب هذه </w:t>
      </w:r>
    </w:p>
    <w:p>
      <w:pPr>
        <w:pStyle w:val="BookText"/>
        <w:rPr/>
      </w:pPr>
      <w:r>
        <w:rPr>
          <w:rFonts w:ascii="IRNazanin" w:hAnsi="IRNazanin" w:eastAsia="IRNazanin"/>
          <w:color w:val="111111"/>
          <w:sz w:val="28"/>
          <w:sz w:val="28"/>
          <w:szCs w:val="28"/>
          <w:rtl w:val="true"/>
          <w:lang w:bidi="fa-IR"/>
        </w:rPr>
        <w:t xml:space="preserve">المذکّرات قد کُتب في العصر الأوربي الحديث، وهو ما يتزامن مع العهد الصفوي وما بعده؛ ولذا تأثّرت بشکل کبير بالفکر الأوربي الحديث، المتأثّر بالنهضة الغربية وفلسفتها الحديثة، التي تنظر إلى العادات والأعراف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إلى الفکر ومعتقدات سائر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بنظرة مختلفة، تتفاوت عن تصورات العهود الماضية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ينبغي الالتفات إلى ضعف إدراك كُتّاب هذه المذكّرات للثقافة والأعراف الإسلاميّة والإيرانيّة؛ فإنّ أغلب هؤلاء هم من السُوّاح والرُّحل الذين لا يمکثون في البلدان إلّا أشهراً معدودة، أو على الأكثر لا يتجاوز بقاؤهم السنة أو السنتين، أو أکثر من ذلك بقليل، فيتعلّمون في أثناء هذه الفترة القليلة شيئاً من اللغة الفارسية؛ ما أدّى إلى عدم اطّلاعهم على واقع الأُمور بشكل صحيح، فكان ذلك سبباً لوقوعهم في الأخطاء والاشتباهات الفاحشة حينما يُقيِّمون ما يشاهدونه، ولا نستبعد التعمّد في ذکر بعض القضايا بشکل مقلوب ومشوّش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نستعرض فيما يلي بعض تلك الأخطاء والاشتباهات، سواء فيما يرتبط بشهر محرّم الحرام، أو بعموم المسائل الدينية الأُخرى؛ لتکون شاهداً ومؤيداً لما قلناه، من عدم وعيهم وقلّة فهمهم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هاردينغ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السفير البريطاني في عهد الملك الإيراني مظفر الدين شاه؛ حيث يكتب في مذكراته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زوجة علي عَلیه السَلام هي بنت يزدجرد آخر ملوك الساسانيين في إيران</w:t>
      </w:r>
      <w:r>
        <w:rPr>
          <w:rStyle w:val="FootnoteAnchor"/>
          <w:rtl w:val="true"/>
        </w:rPr>
        <w:footnoteReference w:id="197"/>
      </w:r>
      <w:r>
        <w:rPr>
          <w:rFonts w:ascii="Amiri" w:hAnsi="Amiri" w:eastAsia="Amiri" w:cs="Amiri"/>
          <w:color w:val="111111"/>
          <w:sz w:val="28"/>
          <w:sz w:val="28"/>
          <w:szCs w:val="28"/>
          <w:rtl w:val="true"/>
          <w:lang w:bidi="ar-SA"/>
        </w:rPr>
        <w:t>، وهو نفسه وبهذه الرؤية قد تكلّم كثيراً وفي صفحات متتالية عن مراسيم الشيعة، بل وتطرّق لبيان فِرَقِهم ومنظماتهم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دروويل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المؤرِّخين المعروفين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لاحظ منارة أحد المساجد قد تهدَّمت،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منارة المساجد التي تعتبر وسيلة وعلامة </w:t>
      </w:r>
    </w:p>
    <w:p>
      <w:pPr>
        <w:pStyle w:val="BookText"/>
        <w:rPr/>
      </w:pPr>
      <w:r>
        <w:rPr>
          <w:rFonts w:ascii="IRNazanin" w:hAnsi="IRNazanin" w:eastAsia="IRNazanin"/>
          <w:color w:val="111111"/>
          <w:sz w:val="28"/>
          <w:sz w:val="28"/>
          <w:szCs w:val="28"/>
          <w:rtl w:val="true"/>
          <w:lang w:bidi="fa-IR"/>
        </w:rPr>
        <w:t>لجلب أنظار القريب والبعيد، قد أُهملت وتُرکت ليطالها الهدم والانهيار؛ بسبب حقد الإيرانيين وحسدهم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هذا المؤرِّخ نفسه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في إيران قبل الصفوية لا يتجاوز عددهم الثلاث آلاف عائلة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کذلك عندما يتعرّض لذکر صلاة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کان يمكنه أن يشاهد ذلك من أيّ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الإيرانيين وخلافاً للأتراك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أهل السنّة في العهد العثماني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صلاتهم من وقوف، وبشکل هادئ وبطيء، ولا يضعون رؤوسهم على الأرض إلّا ثلاث مرات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قد تطرّق إلى بعض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جهله أكثر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بعد انقضاء العادة الشهرية عند وقت الظهر وبعد الغسل يصلّين ما فاتهن من الصلوات من جلوس</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يخفى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يدّعي أنّه الأكثر دقّة وموضوعية من الآخرين في نقل الوقائع والمعلومات، وکان ينتقد سائر الکتابات الأُخرى في هذا المجال،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مع الأسف الشديد في کثير من هذه الموارد کان الاعتماد على الظنّ، والحدْس، والوهم والتقارير الفارغة، أکثر من لحاظ الحقيقة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هذه المذکّرات مع احتوائها على اشتباهات وأغلاط، لا تخلو من الفائدة، </w:t>
      </w:r>
      <w:bookmarkStart w:id="234" w:name="pg7540_66663"/>
    </w:p>
    <w:p>
      <w:pPr>
        <w:pStyle w:val="BookText"/>
        <w:rPr/>
      </w:pPr>
      <w:bookmarkEnd w:id="234"/>
      <w:r>
        <w:rPr>
          <w:rFonts w:ascii="IRNazanin" w:hAnsi="IRNazanin" w:eastAsia="IRNazanin"/>
          <w:color w:val="111111"/>
          <w:sz w:val="28"/>
          <w:sz w:val="28"/>
          <w:szCs w:val="28"/>
          <w:rtl w:val="true"/>
          <w:lang w:bidi="fa-IR"/>
        </w:rPr>
        <w:t>بل إنّ فيها مطالب فريدة من نوعها، خصوصاً فيما نقلته لنا من وصف مراسيم العزاء في عهد الصفويين؛ حيث وصفت لنا صوراً مفصّلة وجميلة عن مراسيم العزاء الحسيني، من قبيل ذكر الحشود والمجاميع الكبيرة التي تخرج للعزاء، وبيان الهيئة والحال التي هم عليها، وما يُصنع من تمثيل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الزمان، ممّا قد لا نجده في زمان ومکان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اليوم بحاجة لمثل هذه المصادر، خصوصاً لِمَن يريد التحقيق والتدقيق في مثل هذه القضايا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أسلفنا سابقاً، فإنّ البحث يتمحوّر حول بعض نقولات وكتابات هؤلاء الأجانب والسوّاح، ومن زوايا خاصّة، نستعرضها في إطار العناوين التالية</w:t>
      </w:r>
      <w:r>
        <w:rPr>
          <w:rFonts w:eastAsia="IRNazanin" w:cs="IRNazanin"/>
          <w:color w:val="111111"/>
          <w:sz w:val="28"/>
          <w:szCs w:val="28"/>
          <w:rtl w:val="true"/>
          <w:lang w:bidi="fa-IR"/>
        </w:rPr>
        <w:t>:</w:t>
      </w:r>
    </w:p>
    <w:p>
      <w:pPr>
        <w:pStyle w:val="Heading4"/>
        <w:numPr>
          <w:ilvl w:val="3"/>
          <w:numId w:val="1"/>
        </w:numPr>
        <w:rPr/>
      </w:pPr>
      <w:bookmarkStart w:id="235" w:name="__RefHeading___Toc2792854_1051229030"/>
      <w:bookmarkStart w:id="236" w:name="_Toc83"/>
      <w:bookmarkEnd w:id="235"/>
      <w:r>
        <w:rPr>
          <w:rtl w:val="true"/>
        </w:rPr>
        <w:t>السخرية الناتجة عن سوء الفهم</w:t>
      </w:r>
      <w:bookmarkEnd w:id="236"/>
    </w:p>
    <w:p>
      <w:pPr>
        <w:pStyle w:val="BookText"/>
        <w:rPr/>
      </w:pPr>
      <w:r>
        <w:rPr>
          <w:rFonts w:ascii="IRNazanin" w:hAnsi="IRNazanin" w:eastAsia="IRNazanin"/>
          <w:color w:val="111111"/>
          <w:sz w:val="28"/>
          <w:sz w:val="28"/>
          <w:szCs w:val="28"/>
          <w:rtl w:val="true"/>
          <w:lang w:bidi="fa-IR"/>
        </w:rPr>
        <w:t xml:space="preserve">إنّ الرحّالة وأصحاب المذکّرات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کانوا بمرأى ومسمع ممّا يُقام في مراسيم العزاء 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يستطيعوا وفي موارد كثيرة إدراك عمق بعض تلك الأحداث، فيُعبِّرون أحياناً عن هذه المراسيم بأنّها نوع من اللعب والتسلية، وفي أحيانٍ أُخرى يعبِّرون عنها بأنّها سبب للصراع والجدال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سبيل المثال، يكتب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شخص إيطالي کان يعيش في إيران في عهد الملك شاه عباس الأول، وکان مشغولاً بالتبشير المسيحي، وکان مهتمَّاً بالجانب الديني للمجتمع الإيراني، يکتب في مذکّراته حول الملك شاه عباس،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الملك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بلحاظ أُموره الشخصية أو الحکومية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مسلماً حقيقياً وراسخ المعتقَد، ولا يمکن أن يتخلّى عن دينه ويعتقد بدين المسيح، إلّا بنزول معجزة من السماء، وأنا أعلم أنّه ثابت ومتعصّب لدينه، ويبذل کل جهوده، وکلّ قواه وما يملك لأجل إعلاء کلمة الإسلام، ولا يتوانى عن ذلك، ولا يُلام على تعصبه؛ لأنّه </w:t>
      </w:r>
    </w:p>
    <w:p>
      <w:pPr>
        <w:pStyle w:val="BookText"/>
        <w:rPr/>
      </w:pPr>
      <w:r>
        <w:rPr>
          <w:rFonts w:ascii="IRNazanin" w:hAnsi="IRNazanin" w:eastAsia="IRNazanin"/>
          <w:color w:val="111111"/>
          <w:sz w:val="28"/>
          <w:sz w:val="28"/>
          <w:szCs w:val="28"/>
          <w:rtl w:val="true"/>
          <w:lang w:bidi="fa-IR"/>
        </w:rPr>
        <w:t>معتقِد بأنّه يعمل بوظيفته الدينيّة الشرعية الملقاة على عاتقه، وأتمنّى على ملوکنا أن تكون لهم مثل هذه الشدّة والتعصب في تقوية إيمان العيسويين وعقيدتهم، وأتمنّى أن يتأسّوا ويقتدوا بهذا الرجل</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مراسيم العزاء في محرّم، ودور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وزير أصفهان وأمين خزانة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مجموعة من الخيّالة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يتقدَّمون أمام الجمهور على جانبَي ساحة العزاء؛ ليفتحوا الطريق لعبور المجموعات المُعزّية، کي لا تقع بعض المصادمات بين المعزّين التي قد تؤدّي إلى الجرح والموت أحياناً، کما حدث ذلك في أکثر من مرّة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فإنّ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في بعض الأحيان، ولأجل النزهة والفرجة يدخل بين المجاميع المعزّية، ويخلق بينهم الشجار والصدام، ثمّ ينسلّ سريعاً وبکلّ مهارة إلى خارج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ويقف إلى نافذة منزلٍ من المنازل ينظر متفرجاً لما يحدث، ولما تؤول إليه هذه المصادمات من نتائج سيئة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صحّة هكذا فهم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شك وتأمّل كبيرين، فربما تکون مشاهدته قد صادفت حضور الملك في ذلك اليوم الذي قد وقع فيه صِدام ونزاع بين المعزّين، وإلّا فإنّ إيقاع الشجار والصدام بين المعزّين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وبواسطة الملك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معنى له، ويبقى محلاً للشك والترديد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في مکان آخر عند مقارنته بين عزاء الإمام علي عَلیه السَلام في أيام شهر رمضان وعزاء الإمام الحسين عَلیه السَلام في أيام شهر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لا فرق من ناحية الشکل والمضمون بين مراسيم العزاء التي تُقام للحسين، وما يُقام للإمام علي عَلیه السَلام ، إلّا أنّ المراسيم في </w:t>
      </w:r>
      <w:bookmarkStart w:id="237" w:name="pg7540_66665"/>
    </w:p>
    <w:p>
      <w:pPr>
        <w:pStyle w:val="BookText"/>
        <w:rPr/>
      </w:pPr>
      <w:bookmarkEnd w:id="237"/>
      <w:r>
        <w:rPr>
          <w:rFonts w:ascii="IRNazanin" w:hAnsi="IRNazanin" w:eastAsia="IRNazanin"/>
          <w:color w:val="111111"/>
          <w:sz w:val="28"/>
          <w:sz w:val="28"/>
          <w:szCs w:val="28"/>
          <w:rtl w:val="true"/>
          <w:lang w:bidi="fa-IR"/>
        </w:rPr>
        <w:t xml:space="preserve">عاشوراء أکثر تفصيلاً، وأنّ المجاميع التي تخرج للعزاء تکون أکبر وأعظم، وأكثر حرارةً وإثارة، وعواطف الناس فيها تشتدّ أكثر، ويكون شوقه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الحرب والعِراك والخشبة والعصا</w:t>
      </w:r>
      <w:r>
        <w:rPr>
          <w:rStyle w:val="FootnoteAnchor"/>
          <w:rtl w:val="true"/>
        </w:rPr>
        <w:footnoteReference w:id="205"/>
      </w:r>
      <w:r>
        <w:rPr>
          <w:rFonts w:ascii="Amiri" w:hAnsi="Amiri" w:eastAsia="Amiri" w:cs="Amiri"/>
          <w:color w:val="111111"/>
          <w:sz w:val="28"/>
          <w:sz w:val="28"/>
          <w:szCs w:val="28"/>
          <w:rtl w:val="true"/>
          <w:lang w:bidi="ar-SA"/>
        </w:rPr>
        <w:t>أشدّ وأكثر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زار إيران شخص آخر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آنطونيو دوغوه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قسّ إسباني، وقد أظهر فهمه المغلوط عن مراسيم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لدى الإيرانيين مراسيم تُسمى مراسيم عاشوراء، أو مراسيم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وهو الحسين بن علي، وتمتدّ هذه المراسيم إلى عشرة أيام، وخلال هذه الفترة يترکون کل أعمالهم اليومية، لکن لم يتّضح لي أنّ هذه العشرة أيام هل هي عيد أم 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قسماً من الناس يضحکون ويغنّون ويرقصون، وقسماً آخر يبکون ويأنّون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النهار يجولون في الأزقّة مولولين صارخين، ويقرأون الرثاء مع العزف الموسيقي، وبعض مسلح، والبعض الآخر بلا سلاح، وقسم کبير من الناس يحملون بأيديهم العصي، التي قد يصل طولها إلى خمسة أو ستّة أقدام وبألوان مختلفة، وفي الأغلب ينقسمون إلى مجموعتين، وبتلك العصي يبدؤون بالعِراك والضرب الشديد المؤدّي في بعض الأحيان إلى موت عدد منهم</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2792856_1051229030"/>
      <w:bookmarkStart w:id="239" w:name="_Toc84"/>
      <w:bookmarkEnd w:id="238"/>
      <w:r>
        <w:rPr>
          <w:rtl w:val="true"/>
        </w:rPr>
        <w:t>العطش في كربلاء وصنع خزانات المياه</w:t>
      </w:r>
      <w:bookmarkEnd w:id="23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لعطش شهداء كربلاء مكانة خاصّة في مراسيم العزاء عند الشيعة، ويختصّ جانب كبير منها بذکر هذه القضية؛ لما لها من الأثر الروحي الواضح في إثارة العواطف والمشاعر ضد الجيش الأُموي، لکن الأجنبي عندما يشاهد هذا الجانب من المراسيم، فإنّه ينظر إليه من جهة أُخرى جديرة بالتأمّل، يكتب أحدهم حول </w:t>
      </w:r>
      <w:bookmarkStart w:id="240" w:name="pg7540_66666"/>
    </w:p>
    <w:p>
      <w:pPr>
        <w:pStyle w:val="BookText"/>
        <w:rPr/>
      </w:pPr>
      <w:bookmarkEnd w:id="240"/>
      <w:r>
        <w:rPr>
          <w:rFonts w:ascii="Amiri" w:hAnsi="Amiri" w:eastAsia="Amiri" w:cs="Amiri"/>
          <w:color w:val="111111"/>
          <w:sz w:val="28"/>
          <w:sz w:val="28"/>
          <w:szCs w:val="28"/>
          <w:rtl w:val="true"/>
          <w:lang w:bidi="ar-SA"/>
        </w:rPr>
        <w:t>هذه النقطة،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واحدة من العلل الأساسية لصناعة خزانات المياه وسقاية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الأُمور الخيريّة عند الإيرانيين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اهتمامهم بقضية عطش الحسين وأصحابه في هذه الواقعة</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الاستنتاج قريب من الواقع؛ فإنّه بالتفاتة بسيطة، ومع ملاحظة ما يوجد على أرصفة الطُرق من مخازن المياه والبرّادات، وما کُتب عليها من عبارات، وما يرتبط بهذا الموضوع ممّا هو متداوَل في الثقافة العامّة عند الناس، يتّضح وبشكل جلي دور العطش في كربلاء وأثره في انتشار ظاهرة تقديم المياه للحشود المعزّية</w:t>
      </w:r>
      <w:r>
        <w:rPr>
          <w:rFonts w:eastAsia="IRNazanin" w:cs="IRNazanin"/>
          <w:color w:val="111111"/>
          <w:sz w:val="28"/>
          <w:szCs w:val="28"/>
          <w:rtl w:val="true"/>
          <w:lang w:bidi="fa-IR"/>
        </w:rPr>
        <w:t>.</w:t>
      </w:r>
    </w:p>
    <w:p>
      <w:pPr>
        <w:pStyle w:val="Heading4"/>
        <w:numPr>
          <w:ilvl w:val="3"/>
          <w:numId w:val="1"/>
        </w:numPr>
        <w:rPr/>
      </w:pPr>
      <w:bookmarkStart w:id="241" w:name="__RefHeading___Toc2792858_1051229030"/>
      <w:bookmarkStart w:id="242" w:name="_Toc85"/>
      <w:bookmarkEnd w:id="241"/>
      <w:r>
        <w:rPr>
          <w:rtl w:val="true"/>
        </w:rPr>
        <w:t>مراسيم العزاء والجنبة العاطفية</w:t>
      </w:r>
      <w:bookmarkEnd w:id="242"/>
    </w:p>
    <w:p>
      <w:pPr>
        <w:pStyle w:val="BookText"/>
        <w:rPr/>
      </w:pPr>
      <w:r>
        <w:rPr>
          <w:rFonts w:ascii="IRNazanin" w:hAnsi="IRNazanin" w:eastAsia="IRNazanin"/>
          <w:color w:val="111111"/>
          <w:sz w:val="28"/>
          <w:sz w:val="28"/>
          <w:szCs w:val="28"/>
          <w:rtl w:val="true"/>
          <w:lang w:bidi="fa-IR"/>
        </w:rPr>
        <w:t>إنّ إقامة العزاء على الإمام الحسين عَلیه السَلام من الأُمور الأساسية التي نفذت وتجذّرت في أعماق نفوس عموم الناس، وكان لها الأثر الکبير في إيجاد التحوّل والتغيّر في نفوس الشيعة؛ ومن ثَمَّ نجد أنّ تلك المذکّرات تؤکّد على تفاعل الناس الشديد مع هذه المراسيم، وأنّ ذلك نابع من قلوبهم الحَرَّى، فكانوا يبكون بشدّة على شهداء كربلاء وعلى رأسهم الإمام الحسين عَلیه السَلام ، وقد كتب السفير الإسباني في رحلته بهذا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كلام الوعّاظ والخطباء له تأثير كبير بحيث يجعل النساء تبكي بشدّة، ويضربن على وجوههن وصدورهن بأيديهن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أيام العزاء تعلو أصوات البکاء، بحيث يُسمع ذلك في كلّ غرفة من غرف بيت السفير ودهاليزه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بعض هؤلاء السائحين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يصعب عليه إدراك هذا التفاعل الکبير من قِبَل الناس، وما يمارسونه من مراسيم للعزاء والبكاء والنحيب، من أجل حادثةٍ مضى عليها أكثر من ألف عام، وهي قد تبدو في نظر أولئك السوّاح حادثة </w:t>
      </w:r>
    </w:p>
    <w:p>
      <w:pPr>
        <w:pStyle w:val="BookText"/>
        <w:rPr/>
      </w:pPr>
      <w:r>
        <w:rPr>
          <w:rFonts w:ascii="IRNazanin" w:hAnsi="IRNazanin" w:eastAsia="IRNazanin"/>
          <w:color w:val="111111"/>
          <w:sz w:val="28"/>
          <w:sz w:val="28"/>
          <w:szCs w:val="28"/>
          <w:rtl w:val="true"/>
          <w:lang w:bidi="fa-IR"/>
        </w:rPr>
        <w:t>صغيرة، فيدهشهم ما يرونه من الناس من بکاء ونحيب، وبشکل جاد وواقعي؛ ولذا جاء في واحدة من هذه المذکّرات والرحلات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مثل هذه الأماكن يرقى الخطيبُ المنبرَ، وفي کلّ يوم يتعرّض لذکر شيء من وقائع كربلاء أو ما يرتبط بها، ثمّ يوضِّحها ويعلّق عليها، ثمّ يردد الصوت الحسن مع الاهتزاز والحرکة الكثيرة، وفي الواقع هذا نوع من أداء الکلمات باللحن الموسيقي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يصل إلى المواضع الحساسة والمؤثّرة، يبدأ بالإثارة لنفسه وللحضور، إلى أن يصل للذروة، فيبدأ بالبکاء مع الحاضرين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أو تظاهراً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وتعلوهم حالة الکآبة والحزن</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تعبيره عن بكاء الخطيب والحضور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أو 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غير منصف، أو هو نوع من الفهم المغلوط، وقد يکون ناتجاً من عدم تصديقهم وإدراكهم لمثل هذه القضايا؛ فإنّ هذا النوع من مراسيم العزاء للإمام الحسين بن علي عَلیهِماالسَّلام لم يکن له ما يُماثله فيما يتعلَّق بعيسى المسيح عَلیه السَلام ، الذي صُلِبَ وحيداً غريباً، حسب اعتقادهم الذي لا يقبله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يکتب أحد القساوسة ممّن حضر إحدى المجالس التي أُقيمت للإمام علي عَلیه السَلام ، في وصف هذا النوع من المجالس والبکاء والنحيب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الخطيب إذا ارتقى الکرسي 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يلف رداءه ويجمعه، وبعد أن يخيِّم السكوت والترقُّب على الحاضرين، يبدأ بالوعظ والإرشاد، وقد كان الإنصات والانتباه من قِبل الحاضرين بنحوٍ کنت أتمنّى أن يستمع الحاضرون والمجتمعون في الكنيسة إلى كلامي ووعظي كما ينصت ويصغي هؤلاء لما يقوله الخطيب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المحيِّرة في موعظة هذا الخطيب هي استرساله بالکلام، فقد تکلَّم خمسين دقيقة کاملة وبتواصل، وفي تمام هذه المدّة لم يراجع ورقة أو کتاباً أبداً، ومن اللطيف </w:t>
      </w:r>
    </w:p>
    <w:p>
      <w:pPr>
        <w:pStyle w:val="BookText"/>
        <w:rPr/>
      </w:pPr>
      <w:r>
        <w:rPr>
          <w:rFonts w:ascii="IRNazanin" w:hAnsi="IRNazanin" w:eastAsia="IRNazanin"/>
          <w:color w:val="111111"/>
          <w:sz w:val="28"/>
          <w:sz w:val="28"/>
          <w:szCs w:val="28"/>
          <w:rtl w:val="true"/>
          <w:lang w:bidi="fa-IR"/>
        </w:rPr>
        <w:t>أنّ حاله كان يوحي بأنّه مستعدّ للاستمرار في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أثناء الوعظ، وعندما كان يشير إلى بعض القضايا المؤلمة من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هيجان الناس إلى أوجه، وتسيل الدموع من أعيُن الجميع بغزارة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شاهدت هذا الحال، سألت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كم مرّة بكيت لمصيبة وعذاب المسيح؟ وبعد أن استذكرت الماضي وما سبق من ذكريات، فلم أجد ما يدلّ على أنّي قد أقمت العزاء على عيسى المسيح كما يقيمه هؤلاء</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يصل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العزاء والبكاء على الإمام الحسين عَلیه السَلام ،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استماعي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ذکَّرني بما تحمّله عيسى المسيح من الآلام والتعذيب لأجل الحرية، وسألت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يجب علينا نحن أتباع المسيح في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نقيم مراسيم نظير المراسيم التي يقيمها المسلمون للحسين؟ ولا شك في أنّ الفارق بين موت الحسين وموت المسيح شاسع جداً، بحيث نحن المسيحيون 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عيسى، ها نحن ذا الذين قتلناك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أيّ حالٍ، فإنّ المسيحيين لم يعهدوا مشاهدة مثل هذه المراسيم للعزاء، وبهذه السعة، بل لم يُعهد مثل هذا الأمر عند سائر الشعوب والملل، والسبب في ذلك هو أنّ ثقافة الشيعة تكوّنت في ظل ظروف المقاومة والشهادة والإباء؛ ما جعل كلّ شيعي يتفاعل ويتعاطف مع شهداء كربلاء بكلّ وجوده وكيانه،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كنت مع الإمام الحسين عَلیه السَلام فأنال الشهادةَ والفوز العظيم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ويكتب أحد القساوسة أيضاً في وصف هذا العزاء والبكاء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أُصِيب بالدهشة والتعجّب ممّا شاهده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بداية الأمر يتراءى لنا أنّنا ننظر إلى أُناس قد أُركسوا في أعماق ظلمة الحزن والأسى، لکن سرعان ما تنجلي هذه الرؤية، </w:t>
      </w:r>
    </w:p>
    <w:p>
      <w:pPr>
        <w:pStyle w:val="BookText"/>
        <w:rPr/>
      </w:pPr>
      <w:r>
        <w:rPr>
          <w:rFonts w:ascii="IRNazanin" w:hAnsi="IRNazanin" w:eastAsia="IRNazanin"/>
          <w:color w:val="111111"/>
          <w:sz w:val="28"/>
          <w:sz w:val="28"/>
          <w:szCs w:val="28"/>
          <w:rtl w:val="true"/>
          <w:lang w:bidi="fa-IR"/>
        </w:rPr>
        <w:t>وتنکشف لنا الحقيقة وتتّضح لنا المبالغة الشديدة التي غمرتنا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جانب المعزّين القريبين منّا يوجد أُناس لا يعيرون أيَّ أهمّية لما يقع أمامهم، وکنّا نرى أُناساً قد سال الدمع على خدودهم، وقد احمرّت صدورهم، بل أُدمِيَت من الضرب واللطم، ثمّ بعد ذلك کانوا يتنحّون جانباً ويشترکون ويتكلّمون مع المحيطين بهم بنشاط وحيوية، ويشربون الشاي معاً، وربما تعاملوا على بيع أو شراء قبضة من المکسَّرات، وکأنّ العزاء لم يکن، وعند رؤية هذه الأُمور يميل حكمنا على هذه التعزية والبكاء إلى التطرُّف،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إقامة هذا العزاء ما هو إلّا أمر شكلي خالص، وقد تکون هذه الرؤية المتطرِّفة خاطئة كما كانت عليه الرؤية الأُولى</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تعابير عديدة ومتنوِّعة حول مراسيم العزاء التي يقيمها الشيعة، ولا يتيسّر لنا نقل جميعها في هذا المختصر، فنقتصر على الإشارة لبعضها بإيجاز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تلك التعابير الواردة في هذا المجال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فصاحة وبلاغة هؤلاء الخطباء تؤثِّر في المستمعين وتبكيهم إلى حدٍ كبير، بحيث لا يمکن لكلام أيِّ فنان حقيقي من فناني مسرحنا الحزين أن يصل إليه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أکثر هؤلاء المعزّين يقرحون جباههم ويجرحون أذرعهم وصدورهم بالخناجر، بقلب طاهر وإيمان صادق</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في تلك المذكّرات زوايا وجوانب كثيرة حول عروض التمثيل لواقعة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فاعتبرها بعضُهم مجرّد عرض ليس إلّا، وعدّها البعضُ الآخر من الآثار الفنّية الفاخرة التي لا تبتعد كثيراً عن الواقع الحقيقي؛ ولذا نرى </w:t>
      </w:r>
      <w:bookmarkStart w:id="243" w:name="pg7540_66670"/>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شاهد إحدى تلك العروض يكتب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رؤية هذا المشهد المثير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يقلّ عن الواقعة الحقيقية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أدهشني، والذي زاد تعجُّبي وحيرتي أنّه بعد انتهاء العرض والتمثيل، رأيت الأربعة آلاف فارس الذين اشتركوا في المراسيم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رعاية النظم والاحتياط، وبعدما جرى بينهم من المبارزة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بکامل الصحّة والسلامة ولم يُجرح أحدٌ منهم قط</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2792860_1051229030"/>
      <w:bookmarkStart w:id="245" w:name="_Toc86"/>
      <w:bookmarkEnd w:id="244"/>
      <w:r>
        <w:rPr>
          <w:rtl w:val="true"/>
        </w:rPr>
        <w:t>خلود الحسين بن علي عَلیهِماالسَّلام</w:t>
      </w:r>
      <w:bookmarkEnd w:id="245"/>
    </w:p>
    <w:p>
      <w:pPr>
        <w:pStyle w:val="BookText"/>
        <w:rPr/>
      </w:pPr>
      <w:r>
        <w:rPr>
          <w:rFonts w:ascii="Amiri" w:hAnsi="Amiri" w:eastAsia="Amiri" w:cs="Amiri"/>
          <w:color w:val="111111"/>
          <w:sz w:val="28"/>
          <w:sz w:val="28"/>
          <w:szCs w:val="28"/>
          <w:rtl w:val="true"/>
          <w:lang w:bidi="ar-SA"/>
        </w:rPr>
        <w:t>إنّ مفهوم العزّة في الإسلام له قيمته ومكانته الخاصّة، والذين ينطبق عليهم مفهوم العزّة هم المؤمنون، الذين نذروا أنفسهم للأهداف والمبادئ الدينيّة، وفي ظل جهود هؤلاء نالت الأُمّة الإسلامية العزّة والكرامة، ولا شك في أنّ العزّة لله ولرسوله وللمؤمنين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وبعد مرور أكثر من ألف سنة على شهادة الحسين بن علي عَلیهِماالسَّلام ، لم تستطع تلك السنين أن تسلب العزّة من الحسين عَلیه السَلام في هذه الدنيا، ولو أن شخصاً تأمّل فيما يراه أيام محرّم، لعرف سرَّ تلك العزّة؛ لما يراه في قلوب الناس من المعرفة والمحبّة لسيد الشهداء عَلیه السَلام ، ومن المناسب أن ننقل في هذا المضمون ما سطَّره السائح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غرترودبل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الظهيرة بقليل ترتفع أصوات المعزّين وتملأ فضاء القرية، حيث يجتمع سكّانها ويشكلون المجاميع، ثمّ يخرجون إلى الشوارع، فيجتازون منطقة خالية متصحِّرة إلى أن يصلوا إلى الشارع الرئيسي، ويصور لنا الألم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خيَّم على هؤلاء المعزّين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الاحترام لبطلِهم الشجاع، الذي يرقد في وادي كربلاء منذ اثني عشر قرناً من الزمن، وقد کان احتراماً من نوع خاصّ</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الكثير من الأبطال والشجعان الذين تألّموا وعُذِّبوا بأشدّ ألوان </w:t>
      </w:r>
      <w:bookmarkStart w:id="246" w:name="pg7540_66671"/>
    </w:p>
    <w:p>
      <w:pPr>
        <w:pStyle w:val="BookText"/>
        <w:rPr/>
      </w:pPr>
      <w:bookmarkEnd w:id="246"/>
      <w:r>
        <w:rPr>
          <w:rFonts w:ascii="IRNazanin" w:hAnsi="IRNazanin" w:eastAsia="IRNazanin"/>
          <w:color w:val="111111"/>
          <w:sz w:val="28"/>
          <w:sz w:val="28"/>
          <w:szCs w:val="28"/>
          <w:rtl w:val="true"/>
          <w:lang w:bidi="fa-IR"/>
        </w:rPr>
        <w:t>العذاب، وقد تحمَّلوه بکلّ رجولة وبطولة، ولکن لم يخلد منهم إلّا القليل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يتمنّى أن يبقى ذكره إلى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الأُمنية التي يحملها کلّ شخص قد شارف اسمه على الاندثار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موته وبهذا الشکل المفجع، وما أصابه من السهام والنبال في أماكن عديدة من جسده، لم يکن عبثاً، وإذا کانت مراسيم دفنه قبل اثني عشر قرناً قد تمّت بشكل متواضع ومختصر، فإنّ أصداءها لا زالت مدويةً عِبرَ القرون وإلى يومنا هذا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هناك كلاماً آخر حول مراسيم العزاء ذكره أحد المؤرِّخين البريطانيين المعاصرين، وهو يصف ما شاهده قبل الثورة الإسلامية، وكان قد كتبه بعد انتصارها،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شاهدته خلال ذلك اليوم قد أدهشني، وکنت مستغرباً أيّما استغراب، وأنا أرى مصيبة الحسين وشهادته، قد سرت إلى هذا الحدّ في شرايين الإيرانيين وتجذَّرت في أعماق نفوسهم، والناس تعتقد بأنّ لمصيبة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والآلام التي عاناها قبل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وقدرة أعلى وأکبر من قوّة السلاح، والکلّ موقن بأنّ شهادة الحسين أثبتت أنّ قوّة الحقّ والحقيقة قادرة على مواجهة الباطل والانتصار على قواه العسكرية، وباعتقادي أنّ من المحال أن نجد أحداً قد شاهد مراسيم العزاء في ذلك اليوم وفي سوق أصفهان الکبير بالتحديد، ثمّ يتعجّب کيف حدثت ثورة في إيران وبهذا الحجم، قد هزّت وزلزلت العالم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التي أثبتت أنّ الشهادة والتضحية بالدماء تمهد للانتصار</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2792862_1051229030"/>
      <w:bookmarkStart w:id="248" w:name="_Toc87"/>
      <w:bookmarkEnd w:id="247"/>
      <w:r>
        <w:rPr>
          <w:rtl w:val="true"/>
        </w:rPr>
        <w:t>صور ومشاهد حول كيفيّة إقامة مراسيم العزاء الحسيني</w:t>
      </w:r>
      <w:bookmarkEnd w:id="2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السائح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زار إيران في عهد الملك شاه عباس الأول، </w:t>
      </w:r>
    </w:p>
    <w:p>
      <w:pPr>
        <w:pStyle w:val="BookText"/>
        <w:rPr/>
      </w:pPr>
      <w:r>
        <w:rPr>
          <w:rFonts w:ascii="IRNazanin" w:hAnsi="IRNazanin" w:eastAsia="IRNazanin"/>
          <w:color w:val="111111"/>
          <w:sz w:val="28"/>
          <w:sz w:val="28"/>
          <w:szCs w:val="28"/>
          <w:rtl w:val="true"/>
          <w:lang w:bidi="fa-IR"/>
        </w:rPr>
        <w:t>كتب حول مراسيم عزاء عاشوراء،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کيفيّة مراسيم العزاء في عاشوراء تكون بالنحو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على الجميع حالة من الغمّ والحزن، وقد ارتدوا ملابس العزاء، ذات اللون الأسود، وهو لون الملابس التي لا تلبس إلّا في مثل هذه المناسبات، وفي مثل هذه الأيام لا يحلقون شعر رؤوسهم ولا لحاهم ولا يذهبون إلى الحمام، بالإضافة إلى هذا، فإنّهم ليس فقط لا يرتكبون المعاصي والذنوب، وإنّما يمنعون أنفسهم من کلّ ألوان الفرح والتسلية، وکثير من المتسوِّلين </w:t>
      </w:r>
      <w:r>
        <w:rPr>
          <w:rStyle w:val="FootnoteAnchor"/>
          <w:rtl w:val="true"/>
        </w:rPr>
        <w:footnoteReference w:id="218"/>
      </w:r>
      <w:r>
        <w:rPr>
          <w:rFonts w:ascii="IRNazanin" w:hAnsi="IRNazanin" w:eastAsia="IRNazanin"/>
          <w:color w:val="111111"/>
          <w:sz w:val="28"/>
          <w:sz w:val="28"/>
          <w:szCs w:val="28"/>
          <w:rtl w:val="true"/>
          <w:lang w:bidi="fa-IR"/>
        </w:rPr>
        <w:t>في أزقّة المدينة المزدحمة يدخلون أنفسهم في الجرار التي صنعت من الطين المفخور ودُفنت في الأرض، فيُدخلون بدنهم في داخلها بالكامل، بل وبعض رؤوسهم أيضاً، حتى يخيّل للناظر عندما يراهم بأنّهم قد دُفنوا تحت الأرض، ويستمرون على هذه الحالة من طلوع الشمس إلى غروبها، بل وإلى منتصف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مجموعة أُخرى تخرج في الساحات والأزقّة وأمام بيوت الناس، وهم عُراة إلّا من قطعة قماش صغيرة سوداء أو کيس غامق اللون يسترون به العورة، وقد طُليت أجسامهم من الرأس إلى القدم بمادّة سوداء لامعة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نظير ما نستعمله في طلاء غمد السيف أو المعادن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ذلك لإبراز الحزن وحجم المصيبة وشدّة الألم في عزاء الحسين، ومعهم أيضاً جماعة عراة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كهيئتهم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طُليت أجسامهم باللون الأحمر، وهو ما يُعَبِّر عن الدماء التي أُريقت في كربلاء، وعن الأعمال القبيحة التي ارتُكبت في حقّ الحسين، والکلّ يردد الألحان الحزينة في رثاء الحسين وفي ذکر المصائب التي جرت عليه، ويحملون بأيديهم قطعتين من الخشب أو العظام ويضربون الواحدة بالأُخرى، فيرتفع منها الصوت الحزين مع شيء من الحرکة والاهتزاز للرأس والجسم، والتي تُعبِّر عن الحزن والألم الدائم، وإن كانت تشبه الرقص كثيراً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الحالة والهيئة يحملون بأيديهم أوعية صغيرة، تُقدَّم أمام الجماهير المحتشدة والمحيطة بساحة العرض، يضع فيها الناس النقود بعنوان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w:t>
      </w:r>
    </w:p>
    <w:p>
      <w:pPr>
        <w:pStyle w:val="BookText"/>
        <w:rPr/>
      </w:pPr>
      <w:r>
        <w:rPr>
          <w:rFonts w:ascii="IRNazanin" w:hAnsi="IRNazanin" w:eastAsia="IRNazanin"/>
          <w:color w:val="111111"/>
          <w:sz w:val="28"/>
          <w:sz w:val="28"/>
          <w:szCs w:val="28"/>
          <w:rtl w:val="true"/>
          <w:lang w:bidi="fa-IR"/>
        </w:rPr>
        <w:t xml:space="preserve">الظهيرة وفي وسط الساحة التي تجمهر فيها الناس يرتقي المنبر شخصٌ، وفي الأغلب يکون هذا الشخص والخطيب من ذرية محمد، ويلقب في إيران بالسيد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وعلامته أن يضع على رأسه عمامة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ويُلقّب هؤلاء الأشخاص في ترکيا بالأمير، وفي مصر بالشريف، ومن الملاحظ أنّ ذراري محمد في ترکيا دائماً يلبسون العِمّة الخضراء، وهذا بخلاف ما رأيته في إيران، فإنّهم لا يلبسونها إلّا في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المنبر مُطلاً على جميع الحضور من النساء والرجال، والحضور بين واقف وجالس على الأرض، والبعض اتّخذ له مقعداً صغيراً يجلس عليه، ثمّ يبدأ الخطيب بذکر وصف الحسين، وتفصيل ما جرى عليه من القتل والسبي، والمهم أنّه يبذل کلّ ما بوسعه لإبکاء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المراسيم تُقام عند النهار في المساجد، وأمّا في الليل فإنّها تُقام في الأماكن العامّة وبعض البيوت التي أُنيرت بالأضواء الكثيرة، مع وضع علامات العزاء والأعلام السوداء، وتستمرّ هذه التعازي وذکر المصائب بکلّ قوّة وشدّة، والحضور يبکون بأصوات مرتفعة، خاصّة النساء اللائي يضربن صدورهن، وفي آخر فقرات الرثاء يردد الجميع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في اليوم الأخير، وهو اليوم العاشر من محرّم، الذي قُتل فيه الحسين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صادف هذا اليوم في هذه السنة الثامن من شهر يناير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يجتمع الناس من كافّة أحياء أصفهان والقرى المجاورة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بالشکل الذي ذکرته مسبقاً في مناسبة استشهاد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ويشکّلون عدّة مجاميع، ثمّ يسيرون رافعين معهم الرايات والأعلام، وعلى الخيل تُحمل الأسلحة والعمائم المختلفة، ويُخرجون معهم النوق التي وضع عليها الصناديق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کلّ واحد من هذه الصناديق ثلاثة من الصِبْيَة وتارةً أربعة، وهذا الأمر يرمز إلى سبي أطفال الحسين الشهيد، إضافة إلى ذلك، فإنّ كلّ مجموعة من تلك المجموعات تحمل نعشاً رمزياً، وقد لُفّ هذا النعش بقطعة من </w:t>
      </w:r>
    </w:p>
    <w:p>
      <w:pPr>
        <w:pStyle w:val="BookText"/>
        <w:rPr/>
      </w:pPr>
      <w:r>
        <w:rPr>
          <w:rFonts w:ascii="IRNazanin" w:hAnsi="IRNazanin" w:eastAsia="IRNazanin"/>
          <w:color w:val="111111"/>
          <w:sz w:val="28"/>
          <w:sz w:val="28"/>
          <w:szCs w:val="28"/>
          <w:rtl w:val="true"/>
          <w:lang w:bidi="fa-IR"/>
        </w:rPr>
        <w:t xml:space="preserve">المخمل الأسود، ويوضع على النعش عادة عمامة خضراء وسيف، وفي أطراف التابوت توضع أنواع الأسلحة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 نحو ذلك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هذا يُحمل على أطباق تُحمل على الرؤوس، وعندما يبدأ الملحِّن أو العازف بالعزف، يبدأ هؤلاء بالحرکة مع القفز والوثوب والدوران، وبالتبع فکلّ تلك الأطباق تدور معهم، وذلك يخلق منظراً مثيراً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يکتب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تاورنيه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أحد السوّاح الأجانب في العهد الصفوي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والآن نتحدث حول أکبر المراسيم الدينيّة لدى الإيرانيين، المتعلّقة بالحسن والحسين ابني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اليوم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بثمانية أو عشر أيام يبدأ المتحمِّسون من الشيعة بِطَلْي أجسامهم باللون الأسود، بعد ما يخلعون جميع ما يلبسون إلّا قطعة من القماش صغيرة يسترون بها عوراتهم، ويحملون في كلّ يد حجراً كبيرة، ويجولون في الأزقّة والطرق ويضربون تلك الأحجار بعضها بالبعض الآخر، وقد عبست وتوتّرت وجوههم وأجسامهم، ويصرخون باستمرار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حسين، حسن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ويکررون هذا العمل إلى أن تتعب أفواههم، بحيث تخرج منها الرغوة، ويبقون على هذه الحالة إلى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الليل، فهناك أُناس مقدَّسون يأتون بهم إلى دورهم وبيوتهم ويطعمونهم أفضل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الأيام وحينما تغرب الشمس تُنصب المنابر في أغلب الأزقّة والساحات، ويشتغل الوعّاظ بالنصح والإرشاد وتهيئة الناس لذلك اليوم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أكتب تلك المراسيم کما رأيتها رأي العين عام </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 xml:space="preserve">م في الثلاثين من شهر يوليو، وكان قد عيَّن لنا المشرف العامّ ورئيس البلاط الملکي في ذلك اليوم مکاناً جيداً في ساحة العرض، تقابل القاعة الملکية، وأنا وبعض الهولنديين ذهبنا إلى هناك للمشاهدة، وعند الساعة السابعة صباحاً جلس الملك صفي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 غيَّر اسمه إلى الملك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کبار البلاط، على سرير قد وُضع وسط القاعة الملکية، وقد کان جميع الأشراف واقفين، وبعد أن جلس الملك على ذلك السرير خرج من الجانب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بيگلربيگي</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وقد رکب حصاناً جميلاً مع مجموعة فتيان من أولاد الأشراف والنجباء، وبدأوا بترتيب الناس المتجمهرة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البيگلربيگي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بإدخال المجاميع المعزّية، وكانت کلّ واحدة من تلك المجاميع تحمل معها نعشاً يرفعه ثمان إلى عشرة منهم، وقد زُيِّن هذا النعش بأنواع الرسوم کالورود والأغصان والشُّجيرات الصغيرة، وجعلوا على کلّ نعش تابوتاً صغيراً ملفوفاً بالقماش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دخول المجموعة الأُولى تدخل أمامها ثلاثة من الخيول مزيّنة بالسروج والأحزمة الفاخرة، وتعلو هذه الأحصنة القسي والنبال والسيوف والدروع والخناجر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اقتربوا من الملك هرولوا وهم يقفزون ومعهم النعش والتابوت يهتز ويتحرّك بحرکتهم کأنّه في حالة من الرقص، والبعض منهم يرمي بقبعته أو حزامه إلى السماء، ثمّ يعود إليه فيمسکه، وآخرون يجعلون أصابعهم في أفواههم للصفير، وکما ذکرنا سابقاً فإنّ مجموعة أُخرى عُراة يرکضون ويقفزون إلى السماء ويضربون تلك الأحجار بعضها بالبعض، وهم يصرخون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حسين، حسن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يکررون هذا العمل حتى أن تتعب أفواههم؛ بحيث تخرج منها الرغوة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المجموعة بعد أن تدور في الساحة مرتين أو ثلاث، تأتي مجموعة أُخرى وتصنع کما صنعت المجموعة الأُولى من الحرکات والقفز، ويتقدَّمها أيضاً ثلاثة من الخيول، وهي تمثّل الخيل التي يركبها الشهداء عند ذهابهم إلى الحرب، وعند دخول المجموعة الجديدة من المعزّين تتنحّى المجموعة الأُولى إلى جانب؛ لينفتح الطريق أمام المجموعة الجديدة، وفي بعض تلك التوابيت التي تحملها المجاميع تمثال طفل راقد، والناس من حوله يبکون ويتصارخون، وهؤلاء الأطفال تمثّل طفلَي الحسين، الذين </w:t>
      </w:r>
    </w:p>
    <w:p>
      <w:pPr>
        <w:pStyle w:val="BookText"/>
        <w:rPr/>
      </w:pPr>
      <w:r>
        <w:rPr>
          <w:rFonts w:ascii="Amiri" w:hAnsi="Amiri" w:eastAsia="Amiri" w:cs="Amiri"/>
          <w:color w:val="111111"/>
          <w:sz w:val="28"/>
          <w:sz w:val="28"/>
          <w:szCs w:val="28"/>
          <w:rtl w:val="true"/>
          <w:lang w:bidi="ar-SA"/>
        </w:rPr>
        <w:t>قبض عليهما وقتلهما خليفةُ بغداد يزيد بعد شهادة الحسين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اللاتي حضرن ذلك المکان بأعداد كبيرة من أجل مشاهدة تلك المراسيم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رؤيتهن الأطفال يصحنَ ويبکينَ بأجمعهن في آن واحد، وهنّ يعتقدن أنّ هذه الدموع توجب غفران ذنوبهن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إلى جانب قاعة الملك سرير خشبي عالٍ، في أسفل القاعة بخمسة أو ستّة أقدام، وقد وُضعت عليه سجّادة، وعلى ذلك السرير کرسي ذو مقبضين، وعليه قماش أسود وقد ارتقاه خطيبٌ، وحوله ستّة آخرون، وقد تعرّض الخطيب إلى ذکر مصيبة وشهادة الحسن والحسين بمقدار نصف ساعة، وفور انتهائه من الخطبة أهدى الملك إليه حُلّة، وکذلك لأولئك الستّة من الخطباء، لکن حلّة الخطيب المتکلِّم کانت أفضل وأفخر من تلك الحُلل، وبعد أن لبسوا تلك الحُلل الملکية، عاد الخطيب مرّة أُخرى وجلس على الكرسي، وأخذ يدعو لسلامة الملك وطول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استغرقت هذه المراسيم خمس ساعات، من الصباح حتى الظهر، ثمّ انصرف الملك بعدها ورجع إلى القصر، أمّا الناس والمجاميع المعزّية فقد خرجوا من الساحة وهم يحملون معهم تلك النعوش، يطوفون بها شوارع وأزقّة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فيغوئروا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مذكراته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البيت الذي يُقيم فيه السفير بجوار مسجد أصفهان الکبير، وهذا الموقع أتاح لنا الفرصة لمشاهدة المراسيم ومجالس الوعظ والعزاء التي تُقام في هذه الأيام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عشرة إلى اثني عشر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 المساجد والأسواق والأماكن العامّة الأُخرى، والتي يشترك فيها النساء والرجال والشيوخ والشباب، وإنّ خطباء </w:t>
      </w:r>
    </w:p>
    <w:p>
      <w:pPr>
        <w:pStyle w:val="BookText"/>
        <w:rPr/>
      </w:pPr>
      <w:r>
        <w:rPr>
          <w:rFonts w:ascii="IRNazanin" w:hAnsi="IRNazanin" w:eastAsia="IRNazanin"/>
          <w:color w:val="111111"/>
          <w:sz w:val="28"/>
          <w:sz w:val="28"/>
          <w:szCs w:val="28"/>
          <w:rtl w:val="true"/>
          <w:lang w:bidi="fa-IR"/>
        </w:rPr>
        <w:t>ووعّاظ هذه المجالس هم من علماء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يرتقون المنابر العالية في تلك التجمعات ويتکلَّمون بکلّ حُرقة وحماس ويبيّنون خصوصيات ووصف موت أو شهادة الحسين، إمامهم الکبير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وجميع النساء من کلّ الأصناف والطبقات، يستمعن بكلّ دقّة وإنصات إلى المجالس التي تقام في المسجد كلّ يوم، والتي يتصدّى لها أفضل وأحسن الخطباء العلماء والفقهاء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هؤلاء الخطباء يرتقون منابر عالية شبيهة بما يُرى في الکنائس في مکان الإنشاد؛ بمعنى أنّ هؤلاء الخطباء كأصحاب الوعظ في أوربا، فبعد ارتقائهم ستّ أو سبع مراقٍ من المنبر والجلوس على قمته، يبدأون بوعظ الناس بکلّ شوق وحماس، مستخدمين حركات اليدين والوجه والسواعد وبأشكال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الخطباء يلبسون في هذه الأيام ملابس أكثر احتراماً من ملابسهم في بقية الأيام العادية، فيضعون على الکتفين وعلى الظهر والبطن قطعة کبيرة من القماش الأسود، ويتدلَّى شريط منها إلى القدمين عرضه شبر، ويضعون على العِمّة قطعة قماش سوداء تُغطي کلّ العِمّة 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والخطيب في نهاية خطابته يعرج على المصيبة ويذکر القضايا الحزينة، وعمدة تلك القضايا هو الذمّ واللعن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غصب الخلافة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فصّل الكلامَ حول مراسيم محرّم وعاشوراء السفيرُ الفرنسي في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يوجن أوبن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کان سفيراً لفرنسا في عامي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ونحن نذكر خلاصة نقولاته وتحليلاته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أيام القتل عند الشيعة أيام مهمّة وحساسة للغاية، وهي الأيام العشرة الأُولى من شهر محرّم، واليوم العاشر منه الذي يصادف فيه شهادة الإمام الحسين، ويوم </w:t>
      </w:r>
    </w:p>
    <w:p>
      <w:pPr>
        <w:pStyle w:val="BookText"/>
        <w:rPr/>
      </w:pPr>
      <w:r>
        <w:rPr>
          <w:rFonts w:ascii="IRNazanin" w:hAnsi="IRNazanin" w:eastAsia="IRNazanin"/>
          <w:color w:val="111111"/>
          <w:sz w:val="28"/>
          <w:sz w:val="28"/>
          <w:szCs w:val="28"/>
          <w:rtl w:val="true"/>
          <w:lang w:bidi="fa-IR"/>
        </w:rPr>
        <w:t>العشرين من صفر وهو يوم أربعين الإمام الحسين، فإنّ هذه الأيام من أهمّ أيام العزاء، ويضاف إلى ذلك أيام السابع والعشرين والثامن والعشرين والتاسع والعشرين من شهر صفر، لما فيها من ذکرى وفاة الإمام الرضا والإمام الحسن والنبي؛ لأجل ذلك فإنّ شهرَي محرّم وصفر أشهُر الحزن والألم من أوّلها إلى آخرها، ولا تُقام خلال هذين الشهرين أيّ مراسيم للفرح والسرور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والجنود يحملون بنادقهم بالمقلوب، والسادة يلبسون الملابس السوداء، وفي هذه الأيام تُکسى جدران المساجد بالحلل السوداء، وفي أغلبها يصعد الخطباء والوعّاظ المنابرَ لذِکر أحداث 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والجدير بالذکر أنّ الخطباء والوعّاظ يصنَّفون من علماء الشيعة وروحانييهم، وهم أعلى من طبقة قرّاء المصائب والسير؛ فإنّ هؤلاء القرّاء في الحقيقة هم رواة للأحداث والوقائع فقط، ويقرأونها على الناس بلحن خاصّ، وأمّا الخطباء والوعّاظ فهم من سلك العلماء المتبحِّرين في الدراسة وتفسير القرآن والحديث والتاريخ، ولهم الباع الطويل في فن الخطابة والوعظ، وباستطاعتهم التحدُّث في الأُمور الدينيّة والأخلاقية، وأحياناً في السياسة أيضاً؛ ولهذا تجتمع المجاميع الغفيرة للاستماع إليهم، وقد انحصر وجود مثل هؤلاء الخطباء في المدن الکبيرة، والبعض منهم قد وصل إلى ذروة الشهرة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الخطباء المشهورين لهم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کقرّاء المصائب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إبکاء الناس ولا يغفلون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کان الکلام، فإنّه مجرّد الإشارة إلى صعيد كربلاء يكفي لأن تعلو أصوات الإيرانيين بالبکاء والنحيب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يقتضيه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ينتخب آية من القرآن ويتلوها، ثمّ يترجم کلماتها إلى الفارسية، وبعد ذلك يشرع في تفسير الآية، وفي النهاية يختم الکلام بذکر شيء من كتب المقاتل التي تختصّ بذكر تفاصيل وجزئيات حياة الشهداء وتاريخهم، فينتخب 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مناسبة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ويتلوها على الحضور، وأكثر هذه الوقائع </w:t>
      </w:r>
    </w:p>
    <w:p>
      <w:pPr>
        <w:pStyle w:val="BookText"/>
        <w:rPr/>
      </w:pPr>
      <w:r>
        <w:rPr>
          <w:rFonts w:ascii="IRNazanin" w:hAnsi="IRNazanin" w:eastAsia="IRNazanin"/>
          <w:color w:val="111111"/>
          <w:sz w:val="28"/>
          <w:sz w:val="28"/>
          <w:szCs w:val="28"/>
          <w:rtl w:val="true"/>
          <w:lang w:bidi="fa-IR"/>
        </w:rPr>
        <w:t>ترتبط ببيان حياة وشهادة الأئمة الثلاث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عندما يتعرّض لذِکر الإمام الأول والثاني لا بدّ أن يعرج إلى الإمام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ّمجالس العزاء طوال أشهُر الحزن والعزاء تقام بكثرة في كلّ مكان، خصوصاً في العشرة الأُولى من شهر محرّم، وفي اليوم العاشر ترى الجميع ينفجرون بالبکاء والنحيب، وتلتهب جموع الشيعة في ذلك اليوم حماسة وحرارة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الأيام العشرة الأُولى من شهر محرّم تفتح جميعُ الحسينيات أبوابَها أمام المعزّين بجميع أطيافهم وأصنافهم، حتى ينالوا الثواب بالبكاء وذرف الدموع، وتناول الغداء أو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اليوم العاشر بأيام تهيئ مجاميع العزاء نفسها للخروج في التظاهرات والمسيرات الكبيرة في يوم عاشوراء، ذكرى شهادة الإمام الحسين، ولکلّ حي ومسجد وصنف من الناس موکبُ عزاء يختصّ به، ويتولّى إدارته أحد الأشخاص، وکلّ موکب يعرف باسم خاصّ، وأمّا نفقات ومصاريف هذه المواكب فإنّها تُوفَّر بواسطة سکنة الأحياء ومساعدة الأثرياء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ويُهيأ مکان خاصّ لإيداع ما يحتاجه الموكب من السجاد والمصابيح والمرايا والأعلام وغيرها من الأمتعة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حركة هذه المواكب في المدن في أيام الشهادات، وفي الليالي العشرة الأُولى من شهر محرّم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وأعظم أيام الحِداد والعزاء، ففي الصباح الباكر من هذا اليوم تتشکّل المجاميع المعزّية في الجهات الأربع من المدينة، وتبدأ بالتدفّق إلى السوق، وقبل التجمع في سوق الخُضار يذهبون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أولاد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بزوغ الفجر يملأون الساحة وأسطح الدور المجاورة لها، ويعلون الجدران، ثمّ تبدأ المجاميع المعزّية والمواكب بالوصول إلى ساحة السوق من خلال الطرق والأزقّة المؤدّية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مجموعة علامة ورمز يختصّ بها، من قبيل کفّ العباس، </w:t>
      </w:r>
    </w:p>
    <w:p>
      <w:pPr>
        <w:pStyle w:val="BookText"/>
        <w:rPr/>
      </w:pPr>
      <w:r>
        <w:rPr>
          <w:rFonts w:ascii="IRNazanin" w:hAnsi="IRNazanin" w:eastAsia="IRNazanin"/>
          <w:color w:val="111111"/>
          <w:sz w:val="28"/>
          <w:sz w:val="28"/>
          <w:szCs w:val="28"/>
          <w:rtl w:val="true"/>
          <w:lang w:bidi="fa-IR"/>
        </w:rPr>
        <w:t>والأعلام الخضراء والسوداء التي يُشدّ بعضها ببعض، أو البيارق والکتل العجيبة والغريبة التي عليها الريش والشفار الحديدية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اللاطمين على الصدور يتحرّكون في صفوف منتظمة وبصدور مكشوفة، ومع لحن منتظم يضربون على صدورهم، فتحمرّ صدورهم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يضربون على أکتافهم بالسلاسل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طلوا رؤوسهم بالطين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يرفعون أيديهم كالرياضيين ويهزّونها بشدّة ويضربون بها على صدورهم المکشوفة، وتتکرر هذه الحرکة مع صراخ خاصّ من قِبَل أعضاء المجاميع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ومجموعة تنادي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وتجيبها مجموعة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والبعض الآخر يردّد الأشعار والرثاء مع النائح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يتمتم الکلّ بأنين ونحيب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فداءً للشفاه العطشى، اسقوا مولاي قليلاً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على رؤوسنا؛ فإنّ الحسين لم يلفّ في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عاشوراء، يا ليتنا کنّا في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کلّ عام تجتمع تلك المجاميع المعزّية في المکان المعهود وتُقيم المراسيم، والأکثر شهرة من تلك المجاميع والمواکب هو موکب تجّار الأقمشة، وحي الميرزا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يکتفي الشيعة بالاستماع إلى المجالس والنوح والبکاء على الأئمة، بل إضافة إلى ذلك يقيمون مراسيم التمثيل والشبيه التي تجسِّد مصائب قادتهم، حتى يمكنهم دركها ولمسها بشكل محسوس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مراسيم التمثيل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والتي تعود جذورها إلى العهد الصفوي في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اتّسعت وانتشرت بشکل کبير في القرن الأخير، بحيث قد أُعدّ لها في القرى والمدن أماكن خاصّة مزيّنة بالأقمشة السوداء والسجّاد والمرايا والمصابيح الخاصّة، ثمّ تُقام فيها تلك المراسيم التي تجسّد الوقائع المؤلمة التي وقعت في كربلاء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وإنّي قد رأيت بأُمّ عيني في مدينة قم ممثّلون يؤدّون كيفيّة شهادة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طهران يوجد في کلّ حي مکان خاصّ لإقامة العزاء، کالحسينية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وتُأمّن تکاليفه من الأوقاف أو من تبرعات سکنة الحي، وإنّ الشخصيات المعروفة، لهم الرغبةُ الکبيرة بأن تکون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بيوتهم الشخصية، تقام فيها المراسيم في کلّ ليلة وبشکل مستمرّ، بما يرتبط بتلك الليلة في محرّم من مراسيم وتشابيه خاصّة بها، وإنّ أعظم وأفخم مراسيم الشبيه في الأيام العشرة الأُولى من المحرّم تقام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أو التکية الملکية، والحضور للمشاهدة متاح للجميع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تبدأ المراسيم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عند الظهر بقراءة المصيبة، ثمّ في الساعة الثالثة والساعة السابعة عصراً تقام المراسيم الدينية ومراسيم التمثيل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الفعاليات التي تقام في النهار تكون دينيّة أخلاقية خالصة، ويخصص القسم الخلفي من التکية أو ساحة التمثيل لمكان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الشخص الذي يدير التمثيلية، وهو شخص کبير السنّ له لحية بيضاء، يبدأ أولاً بتعريف نفسه للحضّار، وقد ارتدى ملابس طويلة ماسکاً بيده خشبة، وفي حزام ظهره لفائف من الورق تحتوي على أدوار ممثلي مراسيم الشبيه، وهذا الشخص له سبع وثلاثون سنة من الخبرة في إدارة مراسيم الشبيه الملکية، وکان لأبيه هذا الدور من قبله، وهذا الراوي وأبوه هما اللذان ساهما في إيصال هذه المراسيم التي تقام إلى ما هي عليه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ويقتبس موضوع التمثيل من سيرة الشهداء أو من بعض الحكايات 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انتخابه للقصّة ونوع التمثيل الذي يقام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تابع لأوامر الملك مطلقاً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برامج السنة الحالية کالتالي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الأول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المدينة؛ لأنّ الإمام الحسين قبل الرحيل إلى كربلاء وللمرّة الأخيرة زار قبر النبي وودّعه، وإنّه قبل هذا قد بعث ابن عمّه مسلم بن عقيل إلى الکوفة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مسلم بن عقيل وطفليه البريئين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الإمام الحسين إلى كربلاء وشهادة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العباس، وهو أخو الإمام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علي الأكبر، وهو ابن الإمام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القاسم بن الإمام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أهل بيت الحسين سبايا إلى قصر يزيد في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الإمام الحسين، 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تلطُّفهم عليَّ، استطعت أن أُشاهد ثلاثة عروض من البرامج المتقدِّمة، وهي مراسيم اليوم الثاني واليوم الثالث واليوم الخامس من شهر محرَّم، وکذلك عرض المساء في اليوم السابع؛ وذلك لما هو المألوف في السنوات السابقة من إرسال الدولة الدعوة الرسمية إلى ممثلي الدول الأجنبية المقيمين في إيران للحضور والمشاركة في برنامج المساء لهذا اليوم، وقد شاهدته بمعية زملائي</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العروض الدينيّة عندما تُعرض في الساحة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تؤدّي إلى أن تتعالى أصوات جميع الحاضرين بالصياح والصراخ والبكاء والنحيب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والنساء اللاتي حضرن في الجانب الآخر من ساحة العرض قد علت أصوات نحيبهن؛ بحيث ترى لهن اهتزازاً من کثرة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المقصورة التي کنتُ جالساً فيها کان المسنّون من الرجال لا ينقطعون عن البکاء لحظة واحدة؛ بحيث کانت المناديل التي يمسحون بها الدموع مبتلّة، ولا تفارق أعينهم أبداً، وفي مثل هذه الحالات يکون الحسّ والشعور </w:t>
      </w:r>
    </w:p>
    <w:p>
      <w:pPr>
        <w:pStyle w:val="BookText"/>
        <w:rPr/>
      </w:pPr>
      <w:r>
        <w:rPr>
          <w:rFonts w:ascii="IRNazanin" w:hAnsi="IRNazanin" w:eastAsia="IRNazanin"/>
          <w:color w:val="111111"/>
          <w:sz w:val="28"/>
          <w:sz w:val="28"/>
          <w:szCs w:val="28"/>
          <w:rtl w:val="true"/>
          <w:lang w:bidi="fa-IR"/>
        </w:rPr>
        <w:t>الوطني له الأثر الأكبر والغلبة على الحسّ الديني؛ لأنّه لا يمکن إنکار موضوع التغيير التاريخي في إيران، وإنّ سببه هو التأثّر بأحداث الطفّ وواقعة كربلاء، والأثر المباشر الذي تؤدّيه تلك المراسيم التي تُقام لآل علي؛ بحيث أوجدت التظاهرات والاحتجاجات الوطنية الخالصة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ليدي شيل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الأُمور حول مراسيم العزاء في محرَّم في العهد القاجاري، ننقل خلاصتها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يصادف شهر ديسمبر من هذا العامّ شهر محرَّم، فترة المآتم والحزن والنياحة للإيرانيين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الشهر يقيم الشيعة مراسيم بعنوان الذکرى السنوية لمصيبة الإمام الحسين وأهل بيته في صعيد كربلاء، ولهذه الواقعة أثر کبير في نفوس الإيرانيين؛ بحيث يحيونها بشکل عرض وتمثيل مسرحي، وهذا يشبه ما کان يُقام من الطقوس الدينيّة في بريطانيا وبقية الأماكن في العهود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وتسمع أصوات الحنين والأنين وبشکل مستمرّ من کلّ جانب ومکان، مع اللعن والسبّ والشتم لمستحقيه الذين ارتکبوا هذه الجريمة الکبرى في حقّ سبط النبي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تلتهب عواطف الناس من 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الحالة بهم إلى شتم وسبّ مَن يقوم بتمثيل دور الشمر، ويكون من الصعب أن يخلص نفسه من شرّ نظرات الناس الغاضبة، وخصوصاً من ضربات النساء بأيديهن وأرجلهن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إحدى برامج هذه الأيام العشرة يعرض مشهد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يحکي أحد السفراء الخياليين لإحدى الدول الأوربية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تکون تلك الدولة المعنية هي اليونان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قصر يزيد، وقد كان حاضراً عندما يؤتى برأس الحسين إلى يزيد، وعند مشاهدته هذا المنظر يعترض على هذه المجزرة الوحشية؛ ولأجل هذا </w:t>
      </w:r>
    </w:p>
    <w:p>
      <w:pPr>
        <w:pStyle w:val="BookText"/>
        <w:rPr/>
      </w:pPr>
      <w:r>
        <w:rPr>
          <w:rFonts w:ascii="Amiri" w:hAnsi="Amiri" w:eastAsia="Amiri" w:cs="Amiri"/>
          <w:color w:val="111111"/>
          <w:sz w:val="28"/>
          <w:sz w:val="28"/>
          <w:szCs w:val="28"/>
          <w:rtl w:val="true"/>
          <w:lang w:bidi="ar-SA"/>
        </w:rPr>
        <w:t>الاعتراض ينال الشهادة في آخر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يُرتدى من الألبسة في مراسيم التمثيل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تناسب أزياء تلك الأزمنة في النوعيّة والکيفيّة، فتشابه ما کان يرتديه الإمام الحسين وأصحابه وأهل بيته، ثمّ يبدأ العرض ابتداءً بمسيرهم إلى الکوفة، ولتصوير الموقف بشکل أفضل تُساق الإبل والخيول المدرّعة بأنواع الدروع، وعليها الهوادج المکلَّلة، وفي الوقت نفسه تسمع أصوات الطبول والأبواق عن قُرب وبُعد، وبعد مدّة وجيزة يظهر جيش يزيد، ثمّ يخطب قائد الجيش خطبة، وبعدها يبرز إليه الإمام الحسين وهو يتكلَّم على شكل نياحة، وبعد لحظات يرجع إلى وسط الساحة وقد امتلأ جسمه وفرسه بالسهام الخشبية، ثمّ يُمنع عنه ماء نهر الفرات؛ فتشتدّ النياحة نتيجة ذلك، ويبدأ القتال، ثمّ بعد قليل يأتي الشمر غاضباً برفقة الخيّالة المدرّعة، فيخطب بهم، ثمّ يجيبه الإمام الحسين بكلّ وقار مع ما به من حزن على مصيبة عياله، ثمّ يخرج أبناء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الأكبر وعلي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للقتال، وبعد فترة وجيزة يأتون بجسديهما إلى الداخل، وفي النهاية يستعرضون مقتل سكينة ورقية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 الإمام الحسين الصغيرتين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يجعل صراخ الحاضرين يصل إلى أوجه، إلى أن ينزل جبرائيل من السماء إلى الأرض مع جميع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لهم أجنحة ذات بهرجة ولمعان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مستنکرين ومتنفِّرين من هذا العمل البشع بحقّ أولاد النبي، وقد حضر أيضاً ملك الجنّ مع جيشه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ذلك يحضر ثلاثة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وعيسى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حزينين متألّمين لهذه المصيبة الکبرى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نهاية العرض يقوم الشمر بفعلته الشنيعة وسط شدّة غيظ الحاضرين وحزنهم، وفي اليوم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الأخير من مراسيم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مراسيم الدفن لجسد الإمام الحسين وأجساد أهل بيته في كربلاء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مستغربة ومندهشة جداً وأنا أحضر مثل هذا المجلس الذي يحضره </w:t>
      </w:r>
    </w:p>
    <w:p>
      <w:pPr>
        <w:pStyle w:val="BookText"/>
        <w:rPr/>
      </w:pPr>
      <w:r>
        <w:rPr>
          <w:rFonts w:ascii="IRNazanin" w:hAnsi="IRNazanin" w:eastAsia="IRNazanin"/>
          <w:color w:val="111111"/>
          <w:sz w:val="28"/>
          <w:sz w:val="28"/>
          <w:szCs w:val="28"/>
          <w:rtl w:val="true"/>
          <w:lang w:bidi="fa-IR"/>
        </w:rPr>
        <w:t xml:space="preserve">آلاف الناس من الذين يغمرهم الحزن والألم العميق، وللإيرانيين حالات خاصّة في البکاء والعويل؛ لما يظهرون من الأصوات العجيبة في أثناء البکاء، حتى إنّه في بعض الأحيان تُسمَع أصواتٌ تشبه الضحك والقهقهة، وعندما يبدأ أحد الحضور بالبکاء يبکي معه البقية أُسوة به، وفجأة يعمّ البكاءُ الجميعَ، بل في بعض الأحيان أشعر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دموعي تريد أن تتدفّق وتسيل لما أسمعه من كثرة البكاء والعويل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أُشارك النساء الإيرانيات المحيطة بي في مراسيم العزاء، وکان هذا الأمر باعثاً على سرورهن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أعترف وأُذعن بأنّ بعض تلك المشاهد کانت تُؤدّى بشكل دقيق وحسّاس؛ بحيث كانت غاية في التأثير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ويكتب السائح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المعاصر للعهد الصفوي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يوم الإثنين المصادف الثالث والعشرين من شهر أغسطس وفي غرّة الشهر الجديد، بدأت مراسيم حزينة جداً، وإنّ الإيرانيين يقيمون هذه المراسيم في کلّ عامّ بمناسبة وفاة اثنين من أئمتهم، وهما الحسن والحسين أبناء علي، وإنّ هذين الإمامين قد قُتلا قرب بغداد على يد عمر بن سعد، وتستمرّ هذه المراسيم لمدّة عشرة أيام، وطوال هذه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جميع الساحات والطرق العامّة والأزقّة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المصابيح، وتُنشر الأعلام السوداء، وتُنصب المقاعد عند مداخل الأزقّة، يجلس عليها الخطباء، وفي فترات متفرِّقة يذكرون مناقب القتلى ومصائبهم، ويحضر سکّان الأحياء جميعهم تلك المراسيم، وهم بين مَن يرتدي الثياب الغامقة والحمراء بعنوان أنّها لباس للعزاء</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وتكتب أيضاً السائحة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کار لاسرنا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مذکراتها التي طبعت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والطقوس في إيران</w:t>
      </w:r>
      <w:r>
        <w:rPr>
          <w:rFonts w:eastAsia="IRNazanin" w:cs="IRNazanin"/>
          <w:color w:val="111111"/>
          <w:sz w:val="28"/>
          <w:szCs w:val="28"/>
          <w:rtl w:val="true"/>
          <w:lang w:bidi="fa-IR"/>
        </w:rPr>
        <w:t xml:space="preserve">): </w:t>
      </w:r>
      <w:bookmarkStart w:id="249" w:name="pg7540_66686"/>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تقام المراسيم الدينيّة الخاصّة في الذکرى السنوية لوفاة أهل بيت علي، وإنّ شهر محرَّم عند الشيعة يُشبه الأسبوع المقدّس عند المسيحيين، وتقام مراسيم التمثيل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الشهر، وتُعرض فيها مصائب أولاد الإمام وأصحابه</w:t>
      </w:r>
      <w:r>
        <w:rPr>
          <w:rFonts w:eastAsia="IRNazanin" w:cs="IRNazanin"/>
          <w:color w:val="111111"/>
          <w:sz w:val="28"/>
          <w:szCs w:val="28"/>
          <w:rtl w:val="true"/>
          <w:lang w:bidi="fa-IR"/>
        </w:rPr>
        <w:t>».</w:t>
      </w:r>
    </w:p>
    <w:p>
      <w:pPr>
        <w:pStyle w:val="Heading4"/>
        <w:numPr>
          <w:ilvl w:val="3"/>
          <w:numId w:val="1"/>
        </w:numPr>
        <w:rPr/>
      </w:pPr>
      <w:bookmarkStart w:id="250" w:name="__RefHeading___Toc2792864_1051229030"/>
      <w:bookmarkStart w:id="251" w:name="_Toc88"/>
      <w:bookmarkEnd w:id="250"/>
      <w:r>
        <w:rPr>
          <w:rtl w:val="true"/>
        </w:rPr>
        <w:t>التكية واقامة مراسيم العزاء</w:t>
      </w:r>
      <w:bookmarkEnd w:id="251"/>
    </w:p>
    <w:p>
      <w:pPr>
        <w:pStyle w:val="BookText"/>
        <w:rPr/>
      </w:pPr>
      <w:r>
        <w:rPr>
          <w:rFonts w:ascii="Amiri" w:hAnsi="Amiri" w:eastAsia="Amiri" w:cs="Amiri"/>
          <w:color w:val="111111"/>
          <w:sz w:val="28"/>
          <w:sz w:val="28"/>
          <w:szCs w:val="28"/>
          <w:rtl w:val="true"/>
          <w:lang w:bidi="ar-SA"/>
        </w:rPr>
        <w:t>التكية واقامة مراسيم العزاء</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ثمّ تتابع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کار لاسرنا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يُستعمل في تزيين وتجميل التکية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مراسيم التمثيل يبعث على الدهشة في حدّ ذاته؛ لما فيه من السجّاد والأقمشة الملوّنة المعلّقة على الجدران، وأنواع الحرير والورود الاصطناعية والمرايا، وأماكن الشموع ذوات الفروع المتعددة، وأنواع الثريّات التي تزيد المكان بهجةً وجمالاً، وقد رُسمت على الجدران رسومٌ عجيبة غريبة ملوّنة بألوان مختلفة، وتُحاط المنصّات الخاصّة بالأقمشة المطرَّزة الجميلة، ويُحيط بها سور لطيف من القماش في وسط باحة التکية لائق بها، وهذا السور المُشبَّك هو ستارة توضع لکي لا يُرى ما خلفه ممَّن حضر في تلك المنصّة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الوضع داخل التکية فريد من نوعه، ولا يُشبه ما هو موجود في داخل المسرح الأوربي، وفي وسط جموع الناس سُقاة يحملون على أکتافهم جراراً مملوءةً بالماء وبأيديهم الأقداح يسقون الحضور؛ تخليداً لذكر عطاشى أهل بيت علي، ويرى بينهم في بعض الأحيان فتيان من الأُسر المعروفة والکبيرة وقد ارتدوا الملابس الجميلة؛ لأنّ القيام بأيّ عمل في التکية يُعدّ نوعاً من الفرائض والواجبات الدينيّة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تبدأ مراسيم التمثيل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قريب من الظهر، وتنتهي عند الغروب، ولا يترك الملكُ وزوجاته والمحيطون به التکيةَ إلى أن تنتهي المراسيم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وبعض من قُرّاء المصائب يضربون صدورهم ويرتفع صوت عالٍ من ضرباتهم المتناسقة على صدورهم العارية، وفي نهاية کلّ فقرة من المصيبة يعلو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سماع هذه الأسماء يشتدّ الضرب على الصدر والرأس، وترافق صوت قارئ المراثي أصوات الطبول والآلات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كلّ فقرة من فقرات الرثاء يضربون جميعاً على صدورهم، ثمّ بعد ذلك تصدر من بعضهم حركات بشكل جماعي، تارة من الرِّجْل اليمنى وأُخرى من اليسرى تماثل حرکات الرقص، وفي الوقت نفسه يلطمون بيدٍ ويضربون الطبول أو الآلات باليد الأُخرى، ثمّ يهمهمون همهمة حزينة مؤلمة، ويرددون في ختامها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تکرار هذه الکلمة، ومع تذکر الآلام والمصائب التي قد تحمَّلها الإمام، ترتفع أصوات آلاف الحاضرين بالبکاء والنحيب، وتلتقي مع أصوات بکاء المؤدّين للأدوار ونحيبهم، ومع توحيد صوت النياحة واللطم وضرب الأقدام 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فشيئاً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يشتدّ تأثّر المشاهدين وتجيش عواطفهم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الأشخاص الذين لا يستطيعون أن يتحمّلوا تكاليف تلك المراسيم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كاملة بمفردهم، يقبلون من غيرهم جانباً من تلك التكاليف، وفي بعض الأحيان تشترك جماعة في شراء الأرض أو استئجارها لمدّة شهر محرّم، ويُعدّ وقف الأموال أو إهداء الهدايا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كالأقمشة أو السجّاد أو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التکية عملاً حسناً يُحمد عليه، وإنّ الأشياء الموقوفة أو المُهداة تُعدّ وديعة مقدّسة، وعادةً ما تودع عند أحد العلماء، وعند حلول شهر العزاء يطلب صاحب محل إقامة العزاء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أهالي الحي أن يجعلوا ما عندهم من وسائل الزينة تحت تصرُّفه لتجهيز ذلك المحل، وهو طلب لا يُردّ أبداً، كما أنّ أصحاب المحال التجارية يساهم كلّ منهم في تهيئة بعض المستلزمات، ويزيّنون ساحة العرض بأنواع وسائل الزينة؛ وذلك لأجل التعصُّب الديني، ولأجل لفت انتباه الزبائن، كما أنّهم يتکفّلون أيضاً بکل نفقات تزيين ساحة </w:t>
      </w:r>
      <w:bookmarkStart w:id="252" w:name="pg7540_66688"/>
    </w:p>
    <w:p>
      <w:pPr>
        <w:pStyle w:val="BookText"/>
        <w:rPr/>
      </w:pPr>
      <w:bookmarkEnd w:id="252"/>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لشخصيات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تأثّر الشيعة وحزنهم في اليوم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ذکرى استشهاد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بقية الأيام؛ فإنّه في هذا اليوم تخرج مجموعات من الناس وهي تنادي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واحسيناه واحسيناه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ويشجّون رؤوسهم بالسيوف، ويهرولون حول المدينة بعويلهم ودمائهم، ويهرول هؤلاء المتشدّدون في الشوارع، برؤوس مكشوفة وثياب بيضاء طويلة من الرأس إلى القدم ملطخة بالدم، إلى أن يُغمى عليهم من شدّة التعب، وعند غروب الشمس يوزّع عليهم طعام العشاء من قِبَل أعضاء مجموعتهم، أو من قِبَل المؤمنين الذين أعدّوا طعاماً وفاءً لنذرهم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التاريخ والسيرة المؤلمة لآل علي، والمصائب والمحن التي جرت عليهم هي الموضوع الرئيس لهذه المراسيم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وأحياناً قبل عرض هذه المراسيم تُعرض مراسيم ترتبط بقصص وأساطير دينية أُخرى</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792866_1051229030"/>
      <w:bookmarkStart w:id="254" w:name="_Toc89"/>
      <w:bookmarkEnd w:id="253"/>
      <w:r>
        <w:rPr>
          <w:rtl w:val="true"/>
        </w:rPr>
        <w:t>دخول السبايا إلى الشام</w:t>
      </w:r>
      <w:bookmarkEnd w:id="254"/>
    </w:p>
    <w:p>
      <w:pPr>
        <w:pStyle w:val="BookText"/>
        <w:rPr/>
      </w:pPr>
      <w:r>
        <w:rPr>
          <w:rFonts w:ascii="IRNazanin" w:hAnsi="IRNazanin" w:eastAsia="IRNazanin"/>
          <w:color w:val="111111"/>
          <w:sz w:val="28"/>
          <w:sz w:val="28"/>
          <w:szCs w:val="28"/>
          <w:rtl w:val="true"/>
          <w:lang w:bidi="fa-IR"/>
        </w:rPr>
        <w:t xml:space="preserve">وهنا ننقل مشهداً من مشاهد مراسيم الشبيه التي وصفته السائحة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کارلاسرنا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الخليفة عند سماعه خبر دخول السبايا إلى الشام قد استرّ کثيراً، وفي اللحظة نفسها أهدى لقائده حُلّة ثمينة، إلّا أنّ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وصول السبايا إلى بوابة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أغضب الحاضرين بشدّة، وفي هذا الوقت علت أصوات النساء بالبکاء والعويل من كلّ جانب، والرجال يضربون على رؤوسهم وصدورهم، وحتى الممثِّل باعتباره مسلماً مؤمناً يبكي مع الحاضرين ويذرف الدمع باستمرار، ما يمنعه من أداء دوره بشكل جيد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بعد ذلك يُعرض مشهد جديد على المسرح، يؤدّي فيه أحدهم دور قائد شامي مع علمه وعلم الجماهير المشاهِدة ببشاعة هذا الدور والتنفُّر منه، ثمّ تدخل قافلة الأسرى والسبايا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المتكوّنة من نساء وأطفال عائلة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الساحةَ، ويُدار بهم في شوارع وأزقّة الشام لفترة من الزمن، وبعض الناس الوضيعين ترميهم بالحجارة، ثمّ ينزل الأسرى من المحامل ويُظهرون على منصّة العرض، وهم مقيّدون بالسلاسل والأغلال، فيشتدّ غضب المشاهِدين في هذا الوقت مرّة أُخرى، ثمّ يضعون على رؤوس الشهداء الرمل والتبن، ثمّ يقذفهم قائد جيش يزيد بأنواع الشتائم والسباب، ويحمل جنوده رأس الإمام ورؤوس أصحابه، وقد وضعوها في أوعية من الفضة وهي مُغطَّاة بقماش أحمر 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الخليفة وقائد جيشه سُكارى فرحين بهذا النصر، لکنّ المشاهِدين لتأثّرهم وحزنهم تسيل دموعهم بشدّة ويصرخون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بقية الممثّلين قد نسوا أدوارهم وراحوا فقط يبكون مع بقية المشاهدين، وفي الأثناء يقع حادث جديد يغيِّر هذا الوضع، وهو دخول السفير الفرنسي وهو يرتدي الملابس الرسمية الموحّدة في اللون، وهو جالس في العربة وأمامه وخلفه حشد من الخدم والحشم، ثمّ مجموعة من الفرسان الذين يرتدون الثياب الفاخرة مع مجموعة من الغلمان والسُّعاة يحملون معهم أواني مملوءة بالفواكه والحلويات وأنواع الهدايا، ويتقدَّم الجميع لاستقبال السفير</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مراسيم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محرَّم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يدخل الممثّلون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لهم مهارة کبيرة في أداء أدوارهم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المسرحَ، والکلّ يحمل معه الأوراق التي کُتبت فيها نصوص الأدوار، وقد ارتدوا الملابس العربية، ولا يوجد أيّ ديكور أو منظر مفتعل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البدء بالتمثيل ترتفع الأصوات من جميع أنحاء ساحة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بلعن </w:t>
      </w:r>
    </w:p>
    <w:p>
      <w:pPr>
        <w:pStyle w:val="BookText"/>
        <w:rPr/>
      </w:pPr>
      <w:r>
        <w:rPr>
          <w:rFonts w:ascii="IRNazanin" w:hAnsi="IRNazanin" w:eastAsia="IRNazanin"/>
          <w:color w:val="111111"/>
          <w:sz w:val="28"/>
          <w:sz w:val="28"/>
          <w:szCs w:val="28"/>
          <w:rtl w:val="true"/>
          <w:lang w:bidi="fa-IR"/>
        </w:rPr>
        <w:t xml:space="preserve">معاوية وأصحابه، مصحوباً بالبکاء والنحيب المؤلم مع الصراخ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ويتبعه العويل من کلّ جانب ومکان، وحتى الممثِّلين أنفسهم تسيل مدامعهم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يجلس إلى جانبي أُستاذ مع كونه من المشككين، إلّا أنّه كان يبکي بکلّ صدق وحُرقة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وصل الحزن والأسى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خيَّم على جميع الحاضرين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أوجه عند إجراء بقية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وباعتقادي أنّه لا يستطيع أحد في هذا العالم أن يصفَ حالة الغضب والبؤس والشفقة في قلوب أولئك الناس، وقد امتلأ فضاء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 يزيد والشمر بغضب شديد، مع الاستغاثة بالأئمة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تدفَّقت أصوات البكاء الغاضبة من الصدور الملتهبة بکلّ صدق واعتزاز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أنّ مثل هذا الحزن والألم لم يکن فيه تصنُّع، بل هو ألم يجيش في الصدور، وتأثّر صادق لأُمّة تذرف الدموع إيماناً منها بشهادة أئمتها، وإبداءً لغضبها واشمئزازها ممَّن ارتكب هذه الجريمة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لم ارَ في أيّ مکان مثل هذا العرض العجيب؛ بحيث أرى جمعاً غفيراً من الناس وهم في حالة من الغشيان والإغماء، ووضعهم النفسي يتغيّر شيئاً فشيئاً من غضب وحشي إلى يأس شديد، ومن حزن بلا نهاية إلى غضب عارم</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دوغوبينو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الفرنسي حول مراسيم العزاء في محرَّم في مذکّراته التي عنونها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سنوات في آسيا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أشهر هذه العروض التمثيلية هي ما يُعرض في شهر محرّم، وموضوعها هو قتل ابن عليّ وأهل بيته في صحراء كربلاء، وإنّ هذا العرض والذي يُسمى بالعزاء </w:t>
      </w:r>
    </w:p>
    <w:p>
      <w:pPr>
        <w:pStyle w:val="BookText"/>
        <w:rPr/>
      </w:pPr>
      <w:r>
        <w:rPr>
          <w:rFonts w:ascii="Amiri" w:hAnsi="Amiri" w:eastAsia="Amiri" w:cs="Amiri"/>
          <w:color w:val="111111"/>
          <w:sz w:val="28"/>
          <w:sz w:val="28"/>
          <w:szCs w:val="28"/>
          <w:rtl w:val="true"/>
          <w:lang w:bidi="ar-SA"/>
        </w:rPr>
        <w:t>يستمرّ عشرة أيام، وفي كلّ يوم يستغرق العرض ثلاث ساعات إلى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الأشعار التي تُلقى عند العرض غالباً ما تكون جميلة جداً وحزينة، وتُقرأ بشكل متتابع وبحماس ونشاط، ولا يوجد أيّ إشكال من إطالة هذه المراسيم؛ لأنّ الإيرانيين لا يسأمون ولا يتعبون من الاستماع إلى ذکر المصائب والمتاعب، والقلق والخوف والغربة التي جرت على مقدَّسيهم ومحبوبيهم، ويبكي الحضور من صميم قلوبهم وترتفع أصواتهم بالنحيب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التفاعل والتأثُّر حقيقي وواقعي لكثير من الناس؛ لأنّه لا يمكن أن لا يتأثَّر الشخص عند مشاهدة هذا العرض، وإنّي قد رأيت بعض الأوربيين قد اعتراهم الحزن والألم، وهناك قليل من الناس كان تأثُّرهم ظاهرياً، وهم أولئك الذين طغت أصوات بکائهم وعويلهم على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الأحيان يرتقي المنبر عالم ديني ويُمسك بسياق الحديث بانسيابية تامّة، حتى يبيّن للمجتمعين كثرة المصائب التي مرت على الأئمة، ثمّ يدخل في ذکر تفاصيل وجزئيات مصائبهم وأحزانهم، فيشرح الوقائع ويلعن الخلفاء الظلمة، ثمّ يقرأ الأشعار، وفي هذه اللحظات يبدأ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وبالأخصّ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صدورهم بشدّة وبانسجام تامّ وبصوت واحد، وبكل حماس يرددون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بعد ذلك يُعطى وقت للاستراحة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ريتشاردز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خصص فصلاً کاملاً من مذكراته لشهر محرَّم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مراسيم شهر محرّم تُقام في مدينة يزد بشکل حماسي ومفجع، حتى أنّها تتحوّل في بعض الأحيان إلى نوع من الجنون الديني، وفي الساحة التي تقع في مقابل المدخل الرئيس للسوق أُعدّت سقالة کبيرة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عبارة عن نوع من التابوت الضخم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کلّ عام تُغطّى بالأقمشة والأحزمة وتُوضع عليها أنواع المرايا، ثمّ يُحمل هذا الشيء الضخم والعجيب على أکتاف المئات من الرجال ويُدار به في الساحة المرکزية أمام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تبدأ هذه المراسيم، يقرأ رجال الدين نوعاً خاصاً من الأناشيد، ومجاميع من الناس تضرب على صدورها، وأُخرى تضرب على متونها بالسلاسل، وهؤلاء الذين يضربون على متونهم بالسلاسل قد لبسوا سراويل سوداء عريضة وقمصاناً روسية عريضة مکشوفة الکتفين، ويوثقونها بأحزمة من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الرجال والصِّبْية يضربون ظهورهم المكشوفة بالسلاسل حتى تسودّ وتُجرح، ومجموعة أُخرى مع أنغام خاصّة يضربون بالأيدي على صدورهم المکشوفة حتى تحمرّ، فيرتفع في الأثناء صوت عجيب وغريب متكوّن من ضرب الأيدي على تلك الصدور الجوفاء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تمام الوقت الذي تُعرض فيه هذه المراسيم المؤلمة والمفجعة، تجلس النساء والأطفال على قارعة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مندهشة ممّا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البكاء والعويل، مُعَبِّرةً عن حزنها وتعاطفها مع شهداء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التعاطف والشعور الديني في مدينة يزد أشدّ ممّا هو عليه في بقية مدن إيران، وقبل شهر محرّم تنعقد في الأسواق مجالس الوعظ وقراءة المصائب، وفي مدّة إجراء هذه المراسيم يُمنع دخول الأجانب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الأماكن الخاصّة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مجالس الوعظ والعزاء تحرِّك مشاعر الناس الدينيّة، وتوجب التفاعل معها بشدّة؛ بحيث يتوجّب ذلك أن يضربوا أنفسهم بالسلاسل</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مذکّراته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ذکرى ألم وموت تلك الجماعة الفريدة وإمامها المقدَّس، تحزن أيران بأسرها، وذلك الرجل القدِّيس الذي تحمّل الجوع والعطش، وهو الواسطة بين الخلق والخالق، لم يَرَ أيَّ رحمة من الناس، وهو الذي رأى وقوع أبنائه تحت رماح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سقط على التراب صار جسمه ميداناً للأعداء، وأخذوا رأسه إلى الخليفة دلالة على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شغلت هذه القصّة الحزينة أذهان نصف العالم الإسلامي، ولم يمحِ أثرَ هذه الواقعة الأليمة تمادي القرون الكثيرة التي مُلئت بالفجائع والمصائب، بل ولم تخفف تلك القرون ذلك الإحساس والتأثّر الذي تثيره تلك الواقعة؛ والسبب في ذلك أنّ الأبحاث الدينية تزيل غبار الأزمنة عن وجه تلك الواقعة من جهة، ومن جهة أُخرى الأحداث المُرّة لتلك الواقعة، والشجاعة المتجلّية فيها، كل ذلك يبيّن سبب خلودها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أعداء الحسين تأثَّروا وتألّموا لما شاهدوه من مقاومته وصبره، وتفاني أصحابه وتضحيتهم، وشدّة عواطف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سجَّله التاريخ في ذلك اليوم الفظيع، يوم العاشر من المحرّم مليء بالمشاعر والعواطف الإنسانية التي تهزّ الناس، وتنقل تأثُّرَهم من جيل إلى 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من الضروري أن يکون الإنسان معتقداً بما تعتقده الشيعة حتى يتّخذ موقفاً من تلك الحرب التي لا أمل فيها، وتحت تلك الشمس الحارقة، أو يتصوّر ذلك الموقف الفظيع، وهو جلوس الإمام أمام الخيمة محتضناً طفله المذبوح، أو يتصوّر رفع إناء صغير من الماء لتلك الشفاه التي أصابها النَّبل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واحدة من نصوص مراسيم العزاء يقول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يسيرون والمنايا تسير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ذلك المسير الليلي وفي تلك الصحراء، وجنباً إلى جنب جيش الحرّ، والخليفة ذهب لاستقبال قدره الذي خلَّف وراءه ذكرى أبدية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55" w:name="pg7540_66694"/>
    </w:p>
    <w:p>
      <w:pPr>
        <w:pStyle w:val="Heading3"/>
        <w:numPr>
          <w:ilvl w:val="2"/>
          <w:numId w:val="1"/>
        </w:numPr>
        <w:rPr/>
      </w:pPr>
      <w:bookmarkStart w:id="256" w:name="__RefHeading___Toc2792868_1051229030"/>
      <w:bookmarkStart w:id="257" w:name="_Toc90"/>
      <w:bookmarkEnd w:id="255"/>
      <w:bookmarkEnd w:id="256"/>
      <w:r>
        <w:rPr>
          <w:rtl w:val="true"/>
        </w:rPr>
        <w:t>مُسَلسَلُ الحَسَن و الحُسَین علیهماالسَّلام التَّشویه المعُتَعَمَّدُ للحقائق التّاریخِیَّة السيد حازم الميالي</w:t>
      </w:r>
      <w:bookmarkEnd w:id="257"/>
    </w:p>
    <w:p>
      <w:pPr>
        <w:pStyle w:val="Heading4"/>
        <w:numPr>
          <w:ilvl w:val="3"/>
          <w:numId w:val="1"/>
        </w:numPr>
        <w:rPr/>
      </w:pPr>
      <w:bookmarkStart w:id="258" w:name="__RefHeading___Toc2792870_1051229030"/>
      <w:bookmarkStart w:id="259" w:name="_Toc91"/>
      <w:bookmarkEnd w:id="258"/>
      <w:r>
        <w:rPr>
          <w:rtl w:val="true"/>
        </w:rPr>
        <w:t>إطلالة</w:t>
      </w:r>
      <w:bookmarkEnd w:id="259"/>
    </w:p>
    <w:p>
      <w:pPr>
        <w:pStyle w:val="BookText"/>
        <w:rPr/>
      </w:pPr>
      <w:r>
        <w:rPr>
          <w:rFonts w:ascii="Amiri" w:hAnsi="Amiri" w:eastAsia="Amiri" w:cs="Amiri"/>
          <w:color w:val="111111"/>
          <w:sz w:val="28"/>
          <w:sz w:val="28"/>
          <w:szCs w:val="28"/>
          <w:rtl w:val="true"/>
          <w:lang w:bidi="ar-SA"/>
        </w:rPr>
        <w:t>لقد دخل التمثيل التلفزيوني والسينمائي في الآونة الأخيرة على خط الخلاف المذهبي، والصراع الطائفي المحتدم بين المذاهب والطوائف الإسلاميّة؛ لما تتمتّع به هذه الآليّة من قدرة على الوصول إلى عدد أكبر من طبقات المجتمع وفئاته؛ لاستخدامها دور العرض السينمائي المنتشرة في كلّ مكان، وجهاز التلفاز الذي لا يخلو منه بيت الآن، لا سيما بعد انتشار الفضائيّات والمحطات التلفزيونية التي تبثّ عِبْرَ الأقمار الاصطناعية، وكذلك لتفاعل الناس مع التجسيد الحي للقصّة والحدث، علاوة على أنّ هناك مساحة أوسع في التمثيل لإيضاح الفكرة وتبيان المراد؛ نظراً لما يتطلّبه العمل التمثيلي من سيناريو وحوار، مع وجود المؤثرات الصوتية والتصويرية والإيحاءات الأُخرى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العيب ليس في استخدام هذه الوسيلة أو تلك في إيصال ما يراد إيصاله، وإنّما المشكلة في غياب الإنصاف والموضوعيّة وطمس الحقائق في استخدام هذه الوسيلة أو تلك؛ خدمةً للمطامع الضيّقة والأغراض الشخصيّة، ومن مظاهر هذه المشكلة التي تحدَّثنا عنها ما تمّ عرضه في الآونة الأخيرة من مسلسل تاريخي ديني </w:t>
      </w:r>
    </w:p>
    <w:p>
      <w:pPr>
        <w:pStyle w:val="BookText"/>
        <w:rPr/>
      </w:pP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يتناول حقبة حساسة وخطرة من تاريخ الأُمّة الإسلاميّة الممتدة من سنة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التي شهدت أحداثاً مهمّة، ووقائع كان لها تأثير على حاضر الأُمّة ومستقبلها؛ ففيها ثار المسلمون على الخليفة عثمان بسبب سوء إدارته للدولة الإسلاميّة، وتسليمه مقدَّرات المسلمين إلى أقاربه من بني أُميّة الذين اشتُهروا بفسادهم وظلمهم، ولم يسمع الخليفة لمطالبات الناس باستبدالهم أو الحدّ من تعسُّفهم؛ فآل الأمر إلى مقتله على يد عدد من الصحابة والتابعين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شهدت هذه المدّة خلافة أمير المؤمنين عَلیه السَلام وما رافقها من حروب وأحداث مؤلمة خُتمت باستشهاد أمير المؤمنين عَلیه السَلام ؛ لينفتح بذلك عهد من الاضطرابات والحوادث بوصول بني أُميّة إلى سدّة الحكم ليرتكبوا أفضع جريمة عرفها التاريخ، ألا وهي فاجعة كربلاء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هذا المسلسل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زُيِّف التاريخُ على نطاق واسع جداً، وذُبحت فيه الحقيقةُ على نصب التعصُّب المذهبي والطائفي، ورُصدت له ميزانية ضخمة، واشتركت في إنتاجه وتصويره وتهيئته كوادر فنيّة متقدِّمة، وقام بأداء شخصياته ممثلون على مستوى عالٍ من الموهبة الفنيّة والأداء المهني، وكانوا من جنسيات عربية متعددة، وأُجيز تصوير المسلسل في الأردن، ومنحت نقابة الفنانين الأردنية تصاريح لفريق العمل لتصوير أحداث المسلسل في الأردن، كما صُوِّرت مشاهد منه في سوريا والمغرب ولبنان والإمارات العربية المتحدة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عارض الأزهر وبعض الهيئات العلمية والنقابية عرض المسلسل، ليس لما فيه من تزويرٍ لحقائق التاريخ وهضم لحقّ الإمام عليّ والحسن والحسين علیهم السلام ، وبسبب ما جرى عبر حلقاته من تلميع لصورة معاوية ويزيد ومروان وأشباههم؛ بل بسبب تجسيد شخصيات الصحابة والحسنين عَلیهِماالسَّلام أمام الجمهور ليس إلّا</w:t>
      </w:r>
      <w:r>
        <w:rPr>
          <w:rFonts w:eastAsia="IRNazanin" w:cs="IRNazanin"/>
          <w:color w:val="111111"/>
          <w:sz w:val="28"/>
          <w:szCs w:val="28"/>
          <w:rtl w:val="true"/>
          <w:lang w:bidi="fa-IR"/>
        </w:rPr>
        <w:t xml:space="preserve">!! </w:t>
      </w:r>
      <w:bookmarkStart w:id="260" w:name="pg7540_66696"/>
    </w:p>
    <w:p>
      <w:pPr>
        <w:pStyle w:val="BookText"/>
        <w:rPr/>
      </w:pPr>
      <w:bookmarkEnd w:id="260"/>
      <w:r>
        <w:rPr>
          <w:rFonts w:ascii="Amiri" w:hAnsi="Amiri" w:eastAsia="Amiri" w:cs="Amiri"/>
          <w:color w:val="111111"/>
          <w:sz w:val="28"/>
          <w:sz w:val="28"/>
          <w:szCs w:val="28"/>
          <w:rtl w:val="true"/>
          <w:lang w:bidi="ar-SA"/>
        </w:rPr>
        <w:t>وعَرَض القائمون على المسلسل قائمةً بعددٍ من علماء السنّة ممّن أجازوا عرض المسلسل، وكان من بينهم بعضُ الشيعة أيضاً؛ من باب ذرّ الرماد في العيون وإيهام المشاهد البسيط بأنّ علماء الفريقين موافقون على ما يقدِّمه هذا المسلسل من مادّة تاريخيّة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إنّ أرباب هذا العمل أجادوا في كلّ شيء إلّا في تقديم الحقيقة التاريخيّة للمتلقّي؛ فجاؤوا بواقع تاريخي معكوس ومنكوس في أغلب مشاهد المسلسل، فلو ارتأينا أن نقف عند كلّ مفردة ونُجيب عنها إجابة وافية لاحتاج ذلك ربما إلى مجلدات عديدة، ولكن سنشير إلى أبرز المحاور العامّة التي أراد أصحاب هذا العمل إيصالها إلى الجمهور، وسنعلّق على هذه المحاور أو الأهداف بما يسمح به المقام؛ لتحصين المشاهد المسلم ممّا قد تنتجه مستقبلاً المؤسسات السلفيّة وغيرها من أفلام ومسلسلات قد تصبّ في خدمة المنظومة الأُموية، سعياً لغسل أدمغة المسلمين؛ ليتوافقوا عقيدةً وسلوكاً مع هوى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محاور</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792872_1051229030"/>
      <w:bookmarkStart w:id="262" w:name="_Toc92"/>
      <w:bookmarkEnd w:id="261"/>
      <w:r>
        <w:rPr>
          <w:rtl w:val="true"/>
        </w:rPr>
        <w:t>المحور الأول</w:t>
      </w:r>
      <w:r>
        <w:rPr>
          <w:rtl w:val="true"/>
        </w:rPr>
        <w:t xml:space="preserve">: </w:t>
      </w:r>
      <w:r>
        <w:rPr>
          <w:rtl w:val="true"/>
        </w:rPr>
        <w:t>تسويق أسطورة عبد الله بن سبأ</w:t>
      </w:r>
      <w:bookmarkEnd w:id="262"/>
    </w:p>
    <w:p>
      <w:pPr>
        <w:pStyle w:val="Heading5"/>
        <w:numPr>
          <w:ilvl w:val="4"/>
          <w:numId w:val="1"/>
        </w:numPr>
        <w:rPr/>
      </w:pPr>
      <w:bookmarkStart w:id="263" w:name="__RefHeading___Toc2792874_1051229030"/>
      <w:bookmarkStart w:id="264" w:name="_Toc93"/>
      <w:bookmarkEnd w:id="263"/>
      <w:r>
        <w:rPr>
          <w:rtl w:val="true"/>
        </w:rPr>
        <w:t>اشارة</w:t>
      </w:r>
      <w:bookmarkEnd w:id="26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من أهمّ الأهداف والغايات التي كان يرمي إليها مَن يقف وراء هذا المشروع تقديم أُحدوثة ابن سبأ اليهودي من جديد، وجعله هو المحرِّك الأساس لخيوط الفتنة ومهندس الانقلاب على الخليفة الثالث، وهذا ما بدا واضحاً من خلال أحداث المسلسل؛ ففي المشهد الثالث من الحلقة الأُولى يظهر أحد كهنة اليهود مع ابن سبأ وهو يرشّحه للقيام بمهمته،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حان الوقت يا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المقابل يرحِّب ابن سبأ بهذا الاختيار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انتظر هذه اللحظة طويلاً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فيبدأ عمله بوتيرة قويّة وينجح في جمع الأنصار والأتباع، ويدبِّر المؤامرات ويلقّح الفتن، فيتسبب في حريق هائل في كيان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في تسويقهم لأُسطورة ابن سبأ من جديد أرادوا أن يحققوا ثلاث غايات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التغطية على الثورة الشعبيّة على الخليفة الثالث مع ما لها من مبررات واقعية، والتي قادها عدد من الصحابة وأبنائهم وكبار التابعين، وتصويرها على أنّها مؤامرة دبّرها يهودي مندسّ بين المسلمين فألّب الأوضاع على الخليفة انتقاماً من الدين الإسلامي ونبيه صلّى الله عليه و آله و سلّم الذي هزمهم في معاركه معهم، وكذلك للحدّ من انتشار هذا الدين الجديد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جعل ابن سبأ الشمّاعة التي يعلّقون عليها كلّ الخلافات والصراعات الحاصلة بين الصحابة، فيكون بذلك كبش الفداء الأُسطوري الذي يحفظ بدمه الصور الناصعة التي رسموها للصحابة في مخيلتهم، يقول الدكتور أحمد محمود 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هذا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ويبدو أنّ مبالغة المؤرّخين وكتّاب الفرَق في حقيقة الدور الذي قام به ابن سبأ يرجع إلى سبب آخر غير ما ذهب إليه الدكتور طه حسين، فلقد حدثت في الإسلام أحداث سياسية ضخمة، كمقتل عثمان، ثُمّ حرب الجمل، وقد شارك فيها كبار الصحابة وزوجة الرسول، وكلّهم يتفرَّقون ويتحاربون، وكلّ هذه الأحداث تصدم وجدان المسلم المتتبّع لتاريخه السياسي، أن يبتلي تاريخ الإسلام هذه الابتلاءات، ويشارك فيها كبار الصحابة الذين حاربوا مع رسول الله‘، وشاركوا في وضع أُسس الإسلام، كان لا بدّ أن تُلقى مسؤولية هذه الأحداث الجسام على كاهل أحد، ولم يكن من المعقول أن يحتمل وزر ذلك كلّه صحابة أجلاّء أبلوا مع رسول الله‘ بلاءً حسناً؛ فكان لا بدّ أن يقع عبء ذلك كلّه على ابن سبأ، فهو الذي أثار الفتنة التي أدّت لقتل عثمان، وهو الذي حرّض الجيشين </w:t>
      </w:r>
      <w:bookmarkStart w:id="265" w:name="pg7540_66698"/>
    </w:p>
    <w:p>
      <w:pPr>
        <w:pStyle w:val="BookText"/>
        <w:rPr/>
      </w:pPr>
      <w:bookmarkEnd w:id="265"/>
      <w:r>
        <w:rPr>
          <w:rFonts w:ascii="Amiri" w:hAnsi="Amiri" w:eastAsia="Amiri" w:cs="Amiri"/>
          <w:color w:val="111111"/>
          <w:sz w:val="28"/>
          <w:sz w:val="28"/>
          <w:szCs w:val="28"/>
          <w:rtl w:val="true"/>
          <w:lang w:bidi="ar-SA"/>
        </w:rPr>
        <w:t>يوم الجمل على الالتحام على حين غفلة من عليّ وطلحة والزبير</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الغاية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بيان أنّ مذهب الشيعة اخترعه رجل يهودي يريد الكيد بالإسلام، فلا ربط لعقائدهم بالدين الإسلامي، كالقول بالإمامة والوصية لعلي عَلیه السَلام ، قال الدكتور طه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السبئية وصاحبهم ابن السوداء إنّما كان متكلّفاً منحولاً قد اختُرع بآخرة حين كان الجدال بين الشيعة وغيرهم من الفرق الإسلاميّة، أراد خصوم الشيعة أن يدخلوا في أُصول هذا المذهب عنصراً يهودياً إمعاناً في الكيد لهم والنيل منهم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2792876_1051229030"/>
      <w:bookmarkStart w:id="267" w:name="_Toc94"/>
      <w:bookmarkEnd w:id="266"/>
      <w:r>
        <w:rPr>
          <w:rtl w:val="true"/>
        </w:rPr>
        <w:t>عبد الله بن سبأ</w:t>
      </w:r>
      <w:r>
        <w:rPr>
          <w:rtl w:val="true"/>
        </w:rPr>
        <w:t xml:space="preserve">.. </w:t>
      </w:r>
      <w:r>
        <w:rPr>
          <w:rtl w:val="true"/>
        </w:rPr>
        <w:t>تكرار واجترار</w:t>
      </w:r>
      <w:bookmarkEnd w:id="267"/>
    </w:p>
    <w:p>
      <w:pPr>
        <w:pStyle w:val="BookText"/>
        <w:rPr/>
      </w:pPr>
      <w:r>
        <w:rPr>
          <w:rFonts w:ascii="Amiri" w:hAnsi="Amiri" w:eastAsia="Amiri" w:cs="Amiri"/>
          <w:color w:val="111111"/>
          <w:sz w:val="28"/>
          <w:sz w:val="28"/>
          <w:szCs w:val="28"/>
          <w:rtl w:val="true"/>
          <w:lang w:bidi="ar-SA"/>
        </w:rPr>
        <w:t>لقد كثر العزف على هذا الوتر حدّ الملالة والسآمة، وما عاد لِمَن له أدنى وعي وإدراك أن يستمع لهذه الأُسطوانة المشروخة، ولكن مَن لا يحترم مهنته وعمله ويروم الوصول إلى غاياته بأيّ وسيلة لا يلتفت إلى هذه المعطيات، بل غايته الإيقاع بالمتلقّي البسيط الذي لا يملك قدراً كافياً من المعرفة والاطّلاع، وإلّا فموضوع ابن سبأ أُشبع بحثاً ودراسة، وثبت أنّ شخصاً بهذه الصفات المذكورة في بعض كتب التاريخ لا يملك قدراً من الواقعية، وهذه النتيجة لم يخلص إليها علماء الشيعة وباحثوهم فحسب، بل يشاطرهم العديد من الكتّاب والمفكّرين السنّة، والقائمة في ذلك تطول، بل ظهرت من داخل المؤسسات التعليمية السلفيّة أصوات تُثبت أنّ ابن سبأ شخصيّة خرافيّة وهميّة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الأصوات صوت البروفسور عبد العزيز صالح الهلابي، الأُستاذ في </w:t>
      </w:r>
    </w:p>
    <w:p>
      <w:pPr>
        <w:pStyle w:val="BookText"/>
        <w:rPr/>
      </w:pPr>
      <w:r>
        <w:rPr>
          <w:rFonts w:ascii="Amiri" w:hAnsi="Amiri" w:eastAsia="Amiri" w:cs="Amiri"/>
          <w:color w:val="111111"/>
          <w:sz w:val="28"/>
          <w:sz w:val="28"/>
          <w:szCs w:val="28"/>
          <w:rtl w:val="true"/>
          <w:lang w:bidi="ar-SA"/>
        </w:rPr>
        <w:t xml:space="preserve">قسم التاريخ بجامعة الملك سعود في الرياض بالسعودية؛ حيث توصّل إلى أنّ ابن سبأ شخصيّة وهميّة، وذلك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سبأ دراسة للروايات التاريخيّة عن دوره في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نخلص إليه في بحثنا هذا أنّ ابن سبأ شخصيّة وهميّة لم يكن لها وجود، فإن وُجِد شخص بهذا الاسم، فمِن المؤكّد أنّه لم يقم بالدور الذي أسنده إليه سيف وأصحاب كتُب الفِرق، لا من الناحية السياسية، ولا من ناحية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أيضاً بعد أن لم يجد لابن سبأ ذكراً في كلام الرواة والمؤرِّخين المتقدّمين،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إغفال هؤلاء المؤرِّخين لهذا الرجل الذي كان له هذا الدور الكبير في أحداث الفتنة، وفي تغيير وجه التاريخ الإسلامي، دليلٌ على أنّ الرجل مكذوب مُختلَق من عصر متأخّر من عصر أُولئك المؤرّخين المذكورين وغيرهم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الإنصاف والموضوعيّة، وإلّا فكيف يتمكّن شخص مجهول ليس له تاريخ أن يتظاهر بالإسلام، ويزلزل أركان الدولة الإسلاميّة، ويقود معارضة شعبية يشترك فيها من مختلف الأعمار، وفيهم الصحابة والتابعون من ذوي الدين والتقوى والعقل، ومن مناطق متعددة من العالم الإسلامي، فتنتهي بمقتل الخليفة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هذه الأُسطورة لا توجد إلّا في مُخيّلة مَن يرمي إلى تحقيق أغراضه الطائفيّة ولو على حساب الموضوعيّة والبحث العلمي، من أمثال أصحاب هذا المسلسل، ولعل ما يؤيد توجهاتهم هو إخراج شخصيّة ابن سبأ في المسلسل بهيئة وزيّ قريب من زي بعض علماء الشيعة، فيظهر بعمامة سوداء تُشبه في هيئتها عمامة مَن ينتسب إلى رسول الله صلّى الله عليه و آله و سلّم من علماء الشيعة؛ ليوجدوا حالة من الربط بين الأمرين، ولو في اللاوعي في ذهن المشاهد</w:t>
      </w:r>
      <w:r>
        <w:rPr>
          <w:rFonts w:eastAsia="Amiri" w:cs="Amiri" w:ascii="Amiri" w:hAnsi="Amiri"/>
          <w:color w:val="111111"/>
          <w:sz w:val="28"/>
          <w:szCs w:val="28"/>
          <w:rtl w:val="true"/>
          <w:lang w:bidi="ar-SA"/>
        </w:rPr>
        <w:t xml:space="preserve">. </w:t>
      </w:r>
      <w:bookmarkStart w:id="268" w:name="pg7540_66700"/>
    </w:p>
    <w:p>
      <w:pPr>
        <w:pStyle w:val="Heading4"/>
        <w:numPr>
          <w:ilvl w:val="3"/>
          <w:numId w:val="1"/>
        </w:numPr>
        <w:rPr/>
      </w:pPr>
      <w:bookmarkStart w:id="269" w:name="__RefHeading___Toc2792878_1051229030"/>
      <w:bookmarkStart w:id="270" w:name="_Toc95"/>
      <w:bookmarkEnd w:id="268"/>
      <w:bookmarkEnd w:id="269"/>
      <w:r>
        <w:rPr>
          <w:rtl w:val="true"/>
        </w:rPr>
        <w:t>المحور الثاني</w:t>
      </w:r>
      <w:r>
        <w:rPr>
          <w:rtl w:val="true"/>
        </w:rPr>
        <w:t xml:space="preserve">: </w:t>
      </w:r>
      <w:r>
        <w:rPr>
          <w:rtl w:val="true"/>
        </w:rPr>
        <w:t>الوئام والانسجام بين أهل البيت علیهم السلام وأعدائهم</w:t>
      </w:r>
      <w:bookmarkEnd w:id="270"/>
    </w:p>
    <w:p>
      <w:pPr>
        <w:pStyle w:val="Heading5"/>
        <w:numPr>
          <w:ilvl w:val="4"/>
          <w:numId w:val="1"/>
        </w:numPr>
        <w:rPr/>
      </w:pPr>
      <w:bookmarkStart w:id="271" w:name="__RefHeading___Toc2792880_1051229030"/>
      <w:bookmarkStart w:id="272" w:name="_Toc96"/>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من الحقائق التي أراد أصحاب هذا المسلسل القفز عليها وتغييرها وطمسها هي سوء العلاقة، بل العداء الواضح بين أهل البيت علیهم السلام وعدد من الصحابة في تلك الحقبة من التاريخ، والذي هو في الحقيقة ليس عداء شخصيّاً له دوافعه الذاتية أو المادّية، بل كان الواجب الشرعي والأخلاقي يحتّم على أهل البيت علیهم السلام اتّخاذ المواقف الصحيحة التي لا تروق لبعض الصحابة؛ فتحمل نفوسهم الحقد والضغينة والعداء لآل بيت النبي صلّى الله عليه و آله و سلّم ، وقد سجّل التاريخ الإسلامي بعض تلك المواقف ودوّنته مصادر المسلمين، ولكن أصحاب المسلسل عمدوا إلى إخفاء هذه الحقائق وعدم عرْض ما هو مدوّن في مصادرهم الكثيرة من عداء واضح كان يواجه به الصحابةُ المشاهير أهلَ البيت علیهم السلام ، ومن ظلم لا محدود لهم، وهو ما يعارض صريح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الأمر الذي اضطرّ الوعّاظ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فعلوا في حلقات المسلسل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الترقيع والتزوير والتلفيق والتبرير؛ لذرّ الرماد في عيون ملايين المشاهدين المسلمين من المذاهب المختلفة، لإيهامهم بأنّ الحبّ والوئام كانا عامريَن بين الصحابة من جهة، وبين علي وفاطمة والحسن والحسين علیهم السلام من جهة أُخرى، وهذه بعض محاولاتهم</w:t>
      </w:r>
      <w:r>
        <w:rPr>
          <w:rFonts w:eastAsia="IRNazanin" w:cs="IRNazanin"/>
          <w:color w:val="111111"/>
          <w:sz w:val="28"/>
          <w:szCs w:val="28"/>
          <w:rtl w:val="true"/>
          <w:lang w:bidi="fa-IR"/>
        </w:rPr>
        <w:t>:</w:t>
      </w:r>
    </w:p>
    <w:p>
      <w:pPr>
        <w:pStyle w:val="Heading5"/>
        <w:numPr>
          <w:ilvl w:val="4"/>
          <w:numId w:val="1"/>
        </w:numPr>
        <w:rPr/>
      </w:pPr>
      <w:bookmarkStart w:id="273" w:name="__RefHeading___Toc2792882_1051229030"/>
      <w:bookmarkStart w:id="274" w:name="_Toc97"/>
      <w:bookmarkEnd w:id="273"/>
      <w:r>
        <w:rPr/>
        <w:t>1</w:t>
      </w:r>
      <w:r>
        <w:rPr>
          <w:rtl w:val="true"/>
        </w:rPr>
        <w:t xml:space="preserve">- </w:t>
      </w:r>
      <w:r>
        <w:rPr>
          <w:rtl w:val="true"/>
        </w:rPr>
        <w:t>معاوية يعشق علياً عَلیه السَلام ويدعو لنجاته</w:t>
      </w:r>
      <w:r>
        <w:rPr>
          <w:rtl w:val="true"/>
        </w:rPr>
        <w:t>!!</w:t>
      </w:r>
      <w:bookmarkEnd w:id="274"/>
    </w:p>
    <w:p>
      <w:pPr>
        <w:pStyle w:val="BookText"/>
        <w:rPr/>
      </w:pPr>
      <w:r>
        <w:rPr>
          <w:rFonts w:ascii="IRNazanin" w:hAnsi="IRNazanin" w:eastAsia="IRNazanin"/>
          <w:color w:val="111111"/>
          <w:sz w:val="28"/>
          <w:sz w:val="28"/>
          <w:szCs w:val="28"/>
          <w:rtl w:val="true"/>
          <w:lang w:bidi="fa-IR"/>
        </w:rPr>
        <w:t xml:space="preserve">في إحدى مشاهد الحلقة السابعة عشرة يظهر فيه معاوية بعد أن ينجو من محاولة الاغتيال خائفاً على الإمام علي عَلیه السَلام من أن يكون قد اغتاله الغادرون، فيقول لِمَن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الفراش ممدّداً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ننتظر الأخبار تأتينا من الكوفة ومصر على أحرّ من 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مَن يجلس إلى جانبه من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أن يحمي أبا الحسن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فيضيف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 الله أن لا يتمّ لهم ذلك، وأن يحمي أبا الحسن، وأبا عبد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ووئام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وأُلفة وانسجام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معاوية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كلّ هذه الجيوش والدماء والحروب التي وقعت بينهما على صفحات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حلقات المسلسل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المشاهد المسلم ساذج إلى هذه الدرجة، أم يُراد له أن يكون ساذجاً؛ ليستطيع هضم تاريخ وعّاظ السلاطين؟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مشهد آخر من الحلقة السابعة عشرة أيضاً نرى معاوية بعد أن سمع بمقتل الإمام علي عَلیه السَلام قال متألّماً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الفضل والفقه والعلم مع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فتسأله زوجته فاختة باستغراب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أتبكي أبا الحسن وقد كنت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أبكي على أخي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 رسول الله صلّى الله عليه و آله و سلّم وصهره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فاختة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الأقرب من قريش لبني أُميّة هم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أختلفَ يوماً على أفضليته علينا جميعاً، إنّه أفضل مَن بقي من صحابة رسول الله صلّى الله عليه و آله و سلّم منذ وفاة أبي بكر وعمر وعثمان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ما صدر منهم من اعتراف على لسان فاختة، وهو أنّ معاوية قاتل علياً مباشرة، لا أنّه قاتل قتلة عثمان فقط، كما حاولوا زعم ذلك في مواضع أُخرى من المسلسل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حقّنا أن نقول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تقاتل مَن هو أفضل الناس باعترافك؟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عذرك غداً أمام الله تعالى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وأمام رسوله صلّى الله عليه و آله و سلّم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 أرباب المسلسل وكشف للواعين زيفَهم</w:t>
      </w:r>
      <w:r>
        <w:rPr>
          <w:rFonts w:eastAsia="Amiri" w:cs="Amiri" w:ascii="Amiri" w:hAnsi="Amiri"/>
          <w:color w:val="111111"/>
          <w:sz w:val="28"/>
          <w:szCs w:val="28"/>
          <w:rtl w:val="true"/>
          <w:lang w:bidi="ar-SA"/>
        </w:rPr>
        <w:t xml:space="preserve">. </w:t>
      </w:r>
      <w:bookmarkStart w:id="275" w:name="pg7540_66702"/>
    </w:p>
    <w:p>
      <w:pPr>
        <w:pStyle w:val="BookText"/>
        <w:rPr/>
      </w:pPr>
      <w:bookmarkEnd w:id="275"/>
      <w:r>
        <w:rPr>
          <w:rFonts w:ascii="Amiri" w:hAnsi="Amiri" w:eastAsia="Amiri" w:cs="Amiri"/>
          <w:color w:val="111111"/>
          <w:sz w:val="28"/>
          <w:sz w:val="28"/>
          <w:szCs w:val="28"/>
          <w:rtl w:val="true"/>
          <w:lang w:bidi="ar-SA"/>
        </w:rPr>
        <w:t>ثمّ انظروا إلى اللفّ والدوران على لسان معاوية،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أبكي على أخي في الله وعلى ابن عمّي وابن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معاوية صار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هو ابن عمّ علي، وعلي ابن عمّ رسول الله؛ فهو ابن عمّ رسول الله بلا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جناية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معاوية هو الطليق الغادر الذي قاد الفئة الباغية وقاتل علياً إمام المتقين، وقتل الأخيار والصالحين، وفرض ولَده يزيد خليفة على الناس بالحديد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الذي ذاقت شيعة الإمام عليّ منه الويلات والمحن، وخصوصاً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 عليهم زياد ابن أبيه بعد هلاك المغيرة بن شعبة، فأشاع فيهم الفتك والإعدام، وقتلهم تحت كل حجر ومدر، وقطع أيديهم وأرجلهم وسمّل أعينهم، وصلبهم على جذوع النخل وشرّدهم وطاردهم، ونفاهم من أرضهم وديارهم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مذكّرةً إلى جميع عمّاله وولاته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قامت عليه البيّنة أنّه يحب علياً وأهل بيته؛ فامحوه من الديوان وأسقطوا عطاءه ورزقه، ثمّ شفع ذلك بنسخة أُخرى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اتهمتموه بموالاة هؤلاء القوم؛ فنكِّلوا به واهدموا داره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صار معاوية في مشهد مفبرك ابن عمّ خاتم النبيين ومن عشّاق سيد الموحدين؟</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2792884_1051229030"/>
      <w:bookmarkStart w:id="277" w:name="_Toc98"/>
      <w:bookmarkEnd w:id="276"/>
      <w:r>
        <w:rPr/>
        <w:t>2</w:t>
      </w:r>
      <w:r>
        <w:rPr>
          <w:rtl w:val="true"/>
        </w:rPr>
        <w:t xml:space="preserve"> - </w:t>
      </w:r>
      <w:r>
        <w:rPr>
          <w:rtl w:val="true"/>
        </w:rPr>
        <w:t>عائشة وأهل البيت علیهم السلام</w:t>
      </w:r>
      <w:bookmarkEnd w:id="277"/>
    </w:p>
    <w:p>
      <w:pPr>
        <w:pStyle w:val="BookText"/>
        <w:rPr/>
      </w:pPr>
      <w:r>
        <w:rPr>
          <w:rFonts w:ascii="IRNazanin" w:hAnsi="IRNazanin" w:eastAsia="IRNazanin"/>
          <w:color w:val="111111"/>
          <w:sz w:val="28"/>
          <w:sz w:val="28"/>
          <w:szCs w:val="28"/>
          <w:rtl w:val="true"/>
          <w:lang w:bidi="fa-IR"/>
        </w:rPr>
        <w:t>في أحد مشاهد الحلقة السابعة عشرة يقول الحسن عَلیه السَلام لمحمد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عن أُمّي عائشة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مشهد مفبرك؛ ليسقط بذلك ما يدعيه الشيعةُ اليوم من أنّ عائشة كانت تكره علياً والحسن والحسين علیهم السلام ، وأنّها كانت تشنّ الحرب لسحقهم وإبادتهم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أيدينا مسند أحمد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فوقع في علي 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شتمهما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علي فلست قائلة لك فيه شيئاً، وأما عمّار فإني سمعت النبي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 بين أمرين إلّا اختار أرشدهما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أثناء دفن الإمام الحسن السبط من فاجعة، فبعد أن رأينا مواقف عائشة من آل محمد أثناء حياتهم، فها هو موقفها في مماتهم، وبالتحديد في ساعة دفن الإمام الحسن بن علي سبط رسول الله وريحانته وسيد شباب أهل الجنّة، كما جاء ذلك في مصادر مختلفة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في كتب السير والتاريخ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توجه به الحسين بن علي عَلیهِماالسَّلام إلى قبر جده رسول الله صلّى الله عليه و آله و سلّم ليجدد به عهداً أقبلوا إليهم في جمعهم، ولحقتهم عائشة على بغل،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تريدون أن تُدخلوا بيتي مَن 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مروان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هيجا هي خير من دعة، أيُدفن عثمان في أقصى المدينة، ويُدفن الحسن مع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أبداً وأنا أحمل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وكادت الفتنة تقع بين بني هاشم وبني أُميّة؛ فبادر ابن عباس إلى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مروان من حيث جئت، فإنّا ما نريد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ندفن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رسول الله صلّى الله عليه و آله و سلّم ، لكنّا نريد أن نُجدِّد به عهداً بزيارته، ثمّ نردّه إلى جدته فاطمة فندفنه عندها بوصيته بذلك، ولو كان وصّى بدفنه مع النبي صلّى الله عليه و آله و سلّم لعلمت أنّك أقصر باعاً من ردنا عن ذلك، لكنه عَلیه السَلام كان أعلم بالله ورسوله وبحرمة قبره من أن يطرق عليه هدماً، كما طرق ذلك غيره، ودخل بيته بغير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على بغل ويوماً على جمل، تريدين أن تُطفئي نور الله، وتقاتلين أولياء الله، ارجعي؛ فقد كُفيتِ الذي تخافين وبلغت ما تُحبين، والله تعالى منتصر لأهل هذا البيت ولو بعد حين</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78" w:name="pg7540_66704"/>
    </w:p>
    <w:p>
      <w:pPr>
        <w:pStyle w:val="Heading4"/>
        <w:numPr>
          <w:ilvl w:val="3"/>
          <w:numId w:val="1"/>
        </w:numPr>
        <w:rPr/>
      </w:pPr>
      <w:bookmarkStart w:id="279" w:name="__RefHeading___Toc2792886_1051229030"/>
      <w:bookmarkStart w:id="280" w:name="_Toc99"/>
      <w:bookmarkEnd w:id="278"/>
      <w:bookmarkEnd w:id="279"/>
      <w:r>
        <w:rPr>
          <w:rtl w:val="true"/>
        </w:rPr>
        <w:t>المحور الثالث</w:t>
      </w:r>
      <w:r>
        <w:rPr>
          <w:rtl w:val="true"/>
        </w:rPr>
        <w:t xml:space="preserve">: </w:t>
      </w:r>
      <w:r>
        <w:rPr>
          <w:rtl w:val="true"/>
        </w:rPr>
        <w:t>تلميع الأبطال وتبرير الأفعال</w:t>
      </w:r>
      <w:bookmarkEnd w:id="280"/>
    </w:p>
    <w:p>
      <w:pPr>
        <w:pStyle w:val="Heading5"/>
        <w:numPr>
          <w:ilvl w:val="4"/>
          <w:numId w:val="1"/>
        </w:numPr>
        <w:rPr/>
      </w:pPr>
      <w:bookmarkStart w:id="281" w:name="__RefHeading___Toc2792888_1051229030"/>
      <w:bookmarkStart w:id="282" w:name="_Toc100"/>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وهذا هو المحور الثالث الذي أُنشئ المسلسل من أجله، وهو إلقاء أكبر قدر من الألوان والأصباغ لإخفاء عيوب الذين نصبوا العداء لأهل البيت علیهم السلام وتزيين صورهم؛ عسى أن تكون لهم منازل ومقامات تضاهي منازل أهل البيت علیهم السلام ، وإليكم بعض الشواهد</w:t>
      </w:r>
      <w:r>
        <w:rPr>
          <w:rFonts w:eastAsia="IRNazanin" w:cs="IRNazanin"/>
          <w:color w:val="111111"/>
          <w:sz w:val="28"/>
          <w:szCs w:val="28"/>
          <w:rtl w:val="true"/>
          <w:lang w:bidi="fa-IR"/>
        </w:rPr>
        <w:t>:</w:t>
      </w:r>
    </w:p>
    <w:p>
      <w:pPr>
        <w:pStyle w:val="Heading5"/>
        <w:numPr>
          <w:ilvl w:val="4"/>
          <w:numId w:val="1"/>
        </w:numPr>
        <w:rPr/>
      </w:pPr>
      <w:bookmarkStart w:id="283" w:name="__RefHeading___Toc2792890_1051229030"/>
      <w:bookmarkStart w:id="284" w:name="_Toc101"/>
      <w:bookmarkEnd w:id="283"/>
      <w:r>
        <w:rPr>
          <w:rtl w:val="true"/>
        </w:rPr>
        <w:t>أ</w:t>
      </w:r>
      <w:r>
        <w:rPr>
          <w:rtl w:val="true"/>
        </w:rPr>
        <w:t xml:space="preserve">) </w:t>
      </w:r>
      <w:r>
        <w:rPr>
          <w:rtl w:val="true"/>
        </w:rPr>
        <w:t>تبرير خروج أُم المؤمنين عائشة للبصرة</w:t>
      </w:r>
      <w:bookmarkEnd w:id="284"/>
    </w:p>
    <w:p>
      <w:pPr>
        <w:pStyle w:val="BookText"/>
        <w:rPr/>
      </w:pPr>
      <w:r>
        <w:rPr>
          <w:rFonts w:ascii="IRNazanin" w:hAnsi="IRNazanin" w:eastAsia="IRNazanin"/>
          <w:color w:val="111111"/>
          <w:sz w:val="28"/>
          <w:sz w:val="28"/>
          <w:szCs w:val="28"/>
          <w:rtl w:val="true"/>
          <w:lang w:bidi="fa-IR"/>
        </w:rPr>
        <w:t xml:space="preserve">من أهمّ الإحراجات التي واجهت وعّاظ السلاطين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يمرّون بالتاريخ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الموقف الذي وقفته عائشة زوج النبي تجاه الخليفة الشرعي والإمام المنصّب من قِبل الله ورسوله عليّ بن أبي طالب عَلیه السَلام ، والذي أجمعت الأُمّة على انتخابه بعد أن جرّبت مَن سبقه ممّن تصدّى للخلافة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فحاول الوعّاظ جاهدين حذف بعض مواقف عائشة، وتلفيق البعض الآخر، والتلاعب بما لا يمكن حذفه أو إنكار وقوعه من فضائح التاريخ، فتصرّفوا في بعض المضامين، وادّعوا أنّ ما وقع من أحداث كان لغايات نبيلة ونوايا شريفة، وهذه الوسيلة الرخيصة في تزوير الحقائق، طفحت بوضوح عبر حلقات المسلسل، وهذه بعض الشواهد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أحداث الحلقة السابعة أحد الصحابة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أشاع المفسدون أنّه بخروج أُمِّ المؤمنين عائشة من المدينة إلى البصرة؛ فإنّها عارضت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 حين أنّ الأمر الإلهي في استقرار النسوة في البيوت لا يتنافى مع خروجها للحجّ، أو خروجها في السفر مع وجود المحرم، فأيُّ بأس في خروج أُمّنا للبصرة؟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تدليس على المسلمين ومغالطة؛ فإنّ الخروج للحجّ واجب شرعي على المرأة، ولو حصل وكان الزوج ممانعاً لخروج زوجته؛ فإنّه يجب عليها أن تضرب رفضه عرض الجدار وتذهب لبيت ربها وتحجّ وإن رُغِمَ أنفه، كما عبّرت الروايات</w:t>
      </w:r>
      <w:r>
        <w:rPr>
          <w:rStyle w:val="FootnoteAnchor"/>
          <w:rtl w:val="true"/>
        </w:rPr>
        <w:footnoteReference w:id="242"/>
      </w:r>
      <w:r>
        <w:rPr>
          <w:rFonts w:ascii="Amiri" w:hAnsi="Amiri" w:eastAsia="Amiri" w:cs="Amiri"/>
          <w:color w:val="111111"/>
          <w:sz w:val="28"/>
          <w:sz w:val="28"/>
          <w:szCs w:val="28"/>
          <w:rtl w:val="true"/>
          <w:lang w:bidi="ar-SA"/>
        </w:rPr>
        <w:t>، وأما خروجها للسفر فليس بحرام أيضاً، إن لم تكن متزوجة، وأمّا لو كانت متزوجة، فإن سمح لها الزوج بالسفر فقد جاز، وإن كان ميتاً ملكتْ زمام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موضوع خروج المرأة أجنبي عن الجناية العظمى التي ارتكبتها عائشة بخروجها من خِدْرها المصون في المدينة المنورة، ومجيئها مع آلاف الرجال إلى البصرة في العراق، وتحشيدها مَن استطاعت من الصحابة ومن المرتزقة والمنافقين وغيرهم لمقاتلة علي عَلیه السَلام أمير المؤمنين وخليفة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عبَّرنا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المسلمين وأمير المؤمنين بحسب مقاييسهم في المسلسل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فإننا نعتقد أنّه معصوم، وأنّه خليفة رسول الله الأول، وأنّه مُنَصَّب من الله في بيعة عظيمة هي بيعة يوم الغدير، وهو خليفة المسلمين الفعلي في زمن عائشة، والذي انتخبه الناس بملئ إرادتهم، وبايعه حتى أنصار عائشة، كطلحة والزبير، فله الحقّ في أن يحصل على الامتيازات التي حصل عليها الخلفاء الذين كانوا قبله والذين جاءوا من بعده، من جهة وجوب الطاعة له، كما يعتقد علماء السنّة لِمَنتسنّم منصب الخلافة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مجرّد القعود عن مبايعة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هذا الخليفة هو يزيد مثلاً، فإنّه يعدّ جريمة يستحقّ صاحبها سفك دمه، فكيف بمَن يخرج لمقاتلة الخليفة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فعلت عائشة مع علي عَلیه السَلام ، فكانت عائشة السبب الرئيس وراء إراقة دماء آلاف المسلمين من الطرفين بلا مبرر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فأين خروج المرأة للحجّ من خروج السيدة عائشة لإراقة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حديث روته عائشة نفسها، عندما سمعت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وعنده نساؤه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تنبحُها كلابُ الحوأب؟</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فخرجت سائرة إلى الشرق في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نبحت كلاب الحوأب على عائشة هناك مثلما أخبر رسول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الحلقة السابعة أيضاً، أحد المدافعين عن خروج السيدة عائشة،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تخرج أُمُّ المؤمنين إلّا لتعلّق الناس بها، راجين بركتها في الإصلاح، وعلوّ مكانتها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بركات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إصلاح 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السيدة عائشة تؤلّب الناس ضد اثنين من الخلفاء، أولهما عثمان، فحثّت الناس على قتله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وثانيهما الإمام علي عَلیه السَلام ، الذي كانت تدعو لقتله أيضاً، بزعم أنّه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ونريد الآن أن نفتح صفحات التاريخ؛ لنعرف بالضبط مَن هي السيدة عائشة؟ وهل أنّ شخصيتها تتوافق مع ما سجّلته عنها كتب التواريخ في معركة الجمل من موقف عجيب ضد الإمام علي عَلیه السَلام ، أو أنّها كانت ذات شخصيّة هادئة ومطمئنة، وما ذكروه عنها كان افتراءً لا يتوافق مع شخصيتها؟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عائشة في السنة الرابعة بعد البعثة، أبوها أبو بكر، وأُمّها أُمّ رومان بنت عامر بن عويمر، وقد تزوجها الرسول بعد معركة بدر، ومات عنها وهى ابنة ثماني عشرة سنة، وتوفّيت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سيرة حياتها مليئة بالخلاف مع الآخرين، ويذكر البخاري في صحيحه أنّ نساء الرسول </w:t>
      </w:r>
    </w:p>
    <w:p>
      <w:pPr>
        <w:pStyle w:val="BookText"/>
        <w:rPr/>
      </w:pPr>
      <w:r>
        <w:rPr>
          <w:rFonts w:ascii="Amiri" w:hAnsi="Amiri" w:eastAsia="Amiri" w:cs="Amiri"/>
          <w:color w:val="111111"/>
          <w:sz w:val="28"/>
          <w:sz w:val="28"/>
          <w:szCs w:val="28"/>
          <w:rtl w:val="true"/>
          <w:lang w:bidi="ar-SA"/>
        </w:rPr>
        <w:t>كُنّ 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فيه عائشة وحفصة وصفية وسودة، والحزب الآخر أُمّ سلمة وسائر نساء الرسول صلّى الله عليه و آله و سلّم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تحدَّثت عائشة بنفسها عن غيرتها من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كانت متوفاة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 سلمة وزينب بنت جحش، وروى البخاري بسنده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أغار على اللاتي وهبن أنفسهن لرسول الله صلى الله عليه وسلم،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أتهب المرأةُ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تُرْجِي مَنْ تَشَاءُ مِنْهُنَّ وَتُؤْوِي إِلَيْكَ مَنْ تَشَاءُ وَمَنِ ابْتَغَيْتَ مِمَّنْ عَزَلْتَ فَلَا جُنَاحَ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ربك إلّا يسارع في هواك</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وفاة النبي صلّى الله عليه و آله و سلّم اختلفت عائشة مع الخليفة عثمان بن عفان عدّة مرات، وقد جاء في الأثر أنّ عثمان قال في رهط من أهل الكوفة استجاروا ببيت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يجد مُرّاق العراق وفسّاقهم ملجأ إلّا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فرفعت نعل رسول الله صلَّى الله عليه وسلَّم،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سنَّة رسول الله صلَّى الله عليه وسلَّم صاحب هذا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فتسامع الناس؛ فجاءوا حتى ملأوا المسجد،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تحاصبوا وتضاربوا بالنعال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عائشة أول مَن لقّبت الخليفة عثمان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يهودي يُشبه عثمان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بصريح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قُتل عثمان وكُسر ضلعٌ من أضلاعه ولم يشهد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المبشّر بالجنّة عند وعّاظ الموائد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مروان بن الحكم، وثلاثة من مواليه، وابنته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عادت عائشة لتطالب بدم عثمان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مصادر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بمكة المكرّمة حين قُتل عثمان، ولمّا بلغها الخبر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أبعده الله، ذلك بما قدَّمت يداه</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وأسرعت إلى المدينة، وهي لا تشك أنّ ابن عمِّها طلحة قد بويع بالخلافة، ولعلمها بأنّه السبب الأول في قتل عثمان، ولكن لمّا رأت الناس تُبايع علياً وتختاره خليفة طوعاً وبلا إكراه، رفعت صوتها بالمطالبة بدم عثمان، وصارت تُحَرِّض على مقاتلة علي عَلیه السَلام ممّا دعا ابن أُمّ كلاب للقول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فمنك البداء ومنك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وأنت أمرتِ بقتل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لنا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وقاتلت عائشةُ الإمامَ عليّ بن أبي طالب عَلیه السَلام في وقعة الجمل الشهيرة، ولعل أفضل وصف لذلك ما جاء عن ابن قتيبة،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دخلتْ أُمّ أوفى العبديّة على عائشة بعد وقعة الجمل،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ما تقولين في امرأة قتلت ابناً لها صغيراً؟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تقولين في امرأة قتلت من أولادها الأكابر عشرين ألفًا في صعيد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بيد عدوّة الله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فإنّ السيدة عائشة، قالت نادمة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كنتُ نسياً منسياً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عندما احتضرت جزعت،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أتجزعين يا أُمَّ المؤمنين وابنة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الجمل لمعترض في حلقي، ليتني مِتّ قبله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لذلك طلبتْ أن لا تُدفن مع النبي صلّى الله عليه و آله و سلّم ،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أحدثت بعد رسول الله صلى الله عليه وسلم؛ </w:t>
      </w:r>
      <w:bookmarkStart w:id="285" w:name="pg7540_66709"/>
    </w:p>
    <w:p>
      <w:pPr>
        <w:pStyle w:val="BookText"/>
        <w:rPr/>
      </w:pPr>
      <w:bookmarkEnd w:id="285"/>
      <w:r>
        <w:rPr>
          <w:rFonts w:ascii="Amiri" w:hAnsi="Amiri" w:eastAsia="Amiri" w:cs="Amiri"/>
          <w:color w:val="111111"/>
          <w:sz w:val="28"/>
          <w:sz w:val="28"/>
          <w:szCs w:val="28"/>
          <w:rtl w:val="true"/>
          <w:lang w:bidi="ar-SA"/>
        </w:rPr>
        <w:t>فادفنوني مع أزواج النبي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2792892_1051229030"/>
      <w:bookmarkStart w:id="287" w:name="_Toc102"/>
      <w:bookmarkEnd w:id="286"/>
      <w:r>
        <w:rPr>
          <w:rtl w:val="true"/>
        </w:rPr>
        <w:t>ب</w:t>
      </w:r>
      <w:r>
        <w:rPr>
          <w:rtl w:val="true"/>
        </w:rPr>
        <w:t xml:space="preserve">) </w:t>
      </w:r>
      <w:r>
        <w:rPr>
          <w:rtl w:val="true"/>
        </w:rPr>
        <w:t>طلحة والزبير من رجال الإصلاح</w:t>
      </w:r>
      <w:r>
        <w:rPr>
          <w:rtl w:val="true"/>
        </w:rPr>
        <w:t>!</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أحد مشاهد الحلقة الثامنة يظهر أنّ عمّار بن ياسر يقول للحسن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 المؤمنين وطلحة والزبير من أشدّ الناس حرصاً على إخماد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فيجيبه الحسن مؤيداً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فعله أرباب هذا المسلسل هو أنّهم كلّما أرادوا أن يُمَرِّروا عقيدةً ما أو حكماً معيناً، أو رأياً مختلَقاً أو فكرة مشوّهة، عمدوا لطرحها على لسان الإمام الحسن أو الإمام الحسين، أو على لسان أحد الصحابة المشهورين، وهنا يقول الصحابي الكبير 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طلحة والزبير يحملان همّ الإسلام ويحرصان على وحدة المسلمين، كما يحرص الإمام علي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المناسب أن نُلقي الضوء على شخصيّة طلحة والزبير، الحريصين جداً على إخماد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فطلحة بن عبد الله التيمي، هو أحد أقرباء الخليفة الأول أبي بكر، والزبير بن العوّام بن خويلد بن أسد، هو ابن عمّة النبي صلّى الله عليه و آله و سلّم ، وأُمّه صفيّة بنت عبد المطلب، وزوجته أسماء بنت أبي بكر أُخت عائشة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طلحة والزبير ممَّن بايع علياً عَلیه السَلام مع الناس، ثمّ سألاه أن يُشركهما في الحكم، وأن يولّي أحدَهما البصرةَ والآخر الكوفة، فأبى الإمام عليّ عَلیه السَلام ، وحين قسّم العطاء ساوى بينهما وبين الموالي؛ فكان نصيب كلّ منهما ثلاثة دنانير، فقال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لنا من </w:t>
      </w:r>
    </w:p>
    <w:p>
      <w:pPr>
        <w:pStyle w:val="BookText"/>
        <w:rPr/>
      </w:pPr>
      <w:r>
        <w:rPr>
          <w:rFonts w:ascii="Amiri" w:hAnsi="Amiri" w:eastAsia="Amiri" w:cs="Amiri"/>
          <w:color w:val="111111"/>
          <w:sz w:val="28"/>
          <w:sz w:val="28"/>
          <w:szCs w:val="28"/>
          <w:rtl w:val="true"/>
          <w:lang w:bidi="ar-SA"/>
        </w:rPr>
        <w:t>هذا الأمر إلا كلحسة الكلب</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وبدأ الخلاف عندما جاء طلحة والزبير إلى عليّ وقالا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قد رأيتَ ما كنّا فيه من الجفوة في ولاية عثمان كلّها، وعلمت رأي عثمان في بني أُميّة، وقد ولاّك الله الخلافة من بعده، فوّلنا بعضَ أعمالك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ارضيا بقَسم الله لكما حتى أرى رأيي، واعلما أنّي لا أشرك في أمانتي إلّا مَن أرضى بدينه وأمانته من أصحابي، ومَن قد عرفت دخيلتَه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فانصرفا عنه وقد دخلهما اليأس؛ فاستأذناه في العمرة، وخرجا من عنده وهما غاضبان ويحتالان للخروج عن بيعته ونكثها، وفي ذلك الظرف القاسي وصل إليهما كتاب معاوية يدعوهما إلى نكث البيعة، وأنّ أهلَ الشام بايعوا لهما إمامين مترتّبين؛ فاغترّا بالكتاب وعزما النكث بجد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دخلا على عليّ فاستأذناه في العمرة،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العمرة تريدان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فحلفا له بالله، إنّهما ما يريدان غير العمرة،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العمرة تريدان، وإنّما تريدان الغدرة ونكْث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فحلفا بالله، ما الخلاف عليه ولا نكثَ بيعته يريدان وما رأيهما غير العمرة،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فأعيدا البيعة لي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فأعاداها بأشدّ ما يكون من الأيمان والمواثيق، فأذنَ لهما، فلمّا خرجا من عنده قال لِمَن كان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ترونهما إلّا في فتنة يقتتلان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فمُرْ بردِّهما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ليقضي الله أمراً كان مفعولاً</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طلحة والزبير بعدما استأذنا عليّاً غادرا المدينة ونزلا مكة، وكانت بينهما وبين عائشة صلة وثيقة، فعمدوا يتآمرون ضد عليّ، فلمّا بلغ عليّاً مؤامرةُ الزبير وطلحة وأنّهما نكثا أيمانهما؛ أشار بعض أصحاب الإمام أن لا يتبعهما، فأجاب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أكون كالضبع تَنام على طول اللّدم، حتى يصلَ إليها طالبها، ويختلها راصدها، ولكن أضرب بالمقبل إلى الحقّ، المدبرَ عنه، وبالسامع المطيع العاصيَ المريبَ </w:t>
      </w:r>
    </w:p>
    <w:p>
      <w:pPr>
        <w:pStyle w:val="BookText"/>
        <w:rPr/>
      </w:pPr>
      <w:r>
        <w:rPr>
          <w:rFonts w:ascii="Amiri" w:hAnsi="Amiri" w:eastAsia="Amiri" w:cs="Amiri"/>
          <w:color w:val="111111"/>
          <w:sz w:val="28"/>
          <w:sz w:val="28"/>
          <w:szCs w:val="28"/>
          <w:rtl w:val="true"/>
          <w:lang w:bidi="ar-SA"/>
        </w:rPr>
        <w:t>أبداً، حتى يأتي عليّ يومي</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التمويل لهؤلاء الناكثين، فالتأريخ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انصرف عن اليمن عاملُ عثمان وهو يعلى بن منية، فأتى مكّة، وصادف بها عائشة وطلحة والزبير ومروان بن الحكم في آخرين من بني أُميّة، فكان ممّن حرّض على الطلب بدم عثمان، وأعطى عائشة وطلحة والزبير أربع مائة ألف درهم وكراعاً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الخيل والبغال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وسلاحاً، وبعث إلى عائشة بالجمل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شراؤه عليه باليمن مائتي دينار، فأرادوا الشام، فصدّهم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 والي عثمان السابق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معاوية، ولا ينقاد إليكم، ولا يطيعكم، لكن هذه البصرة لي بها صنائع وعدد، فجهّزهم بألف ألف درهم ومائة من الإبل وغير ذلك</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أموال بيت مال المسلمين يتلاعب بها ولاة عثمان حتى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بايع الزبير وطلحة الإمام، وبعد أربعة أشهُر نكثا البيعة، وهربا إلى مكة بعد قتل عثمان بأربعة أشهُر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تراءى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الزبير على فرس عليه سلاح، وخرج طلحة، فخرج إليهما علي عَلیه السَلام حتى اختلفت أعناق دوابهم،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قد أعددتما سلاحاً وخيلاً ورجالاً، إن كنتما أعددتما عند الله عذراً، فاتقيا الله ولا تكونا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كَالَّتِي نَقَضَتْ غَزْلَهَا مِنْ بَعْدِ قُوَّةٍ أَنْكَاثًا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أكن أخاكما في دينكما تحرِّمان دمي وأحرِّم دمكما؟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حدث أحلّ لكما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ألَّبتَ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يُوَفِّيهِمُ اللَّهُ دِينَهُمُ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تطلب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أجئت بعرس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تُقاتل </w:t>
      </w:r>
      <w:bookmarkStart w:id="288" w:name="pg7540_66712"/>
    </w:p>
    <w:p>
      <w:pPr>
        <w:pStyle w:val="BookText"/>
        <w:rPr/>
      </w:pPr>
      <w:bookmarkEnd w:id="288"/>
      <w:r>
        <w:rPr>
          <w:rFonts w:ascii="Amiri" w:hAnsi="Amiri" w:eastAsia="Amiri" w:cs="Amiri"/>
          <w:color w:val="111111"/>
          <w:sz w:val="28"/>
          <w:sz w:val="28"/>
          <w:szCs w:val="28"/>
          <w:rtl w:val="true"/>
          <w:lang w:bidi="ar-SA"/>
        </w:rPr>
        <w:t>بها وخبّأت عرسك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بايعتني؟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بايعتك والسيف على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ما أخرجك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أراك لهذا الأمر أهلاً ولا أوْلى به منّا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2792894_1051229030"/>
      <w:bookmarkStart w:id="290" w:name="_Toc103"/>
      <w:bookmarkEnd w:id="289"/>
      <w:r>
        <w:rPr>
          <w:rtl w:val="true"/>
        </w:rPr>
        <w:t>ج</w:t>
      </w:r>
      <w:r>
        <w:rPr>
          <w:rtl w:val="true"/>
        </w:rPr>
        <w:t xml:space="preserve">) </w:t>
      </w:r>
      <w:r>
        <w:rPr>
          <w:rtl w:val="true"/>
        </w:rPr>
        <w:t>معاوية من أعظم شخصيات الإسلام</w:t>
      </w:r>
      <w:r>
        <w:rPr>
          <w:rtl w:val="true"/>
        </w:rPr>
        <w:t>!!</w:t>
      </w:r>
      <w:bookmarkEnd w:id="290"/>
    </w:p>
    <w:p>
      <w:pPr>
        <w:pStyle w:val="BookText"/>
        <w:rPr/>
      </w:pPr>
      <w:r>
        <w:rPr>
          <w:rFonts w:ascii="Amiri" w:hAnsi="Amiri" w:eastAsia="Amiri" w:cs="Amiri"/>
          <w:color w:val="111111"/>
          <w:sz w:val="28"/>
          <w:sz w:val="28"/>
          <w:szCs w:val="28"/>
          <w:rtl w:val="true"/>
          <w:lang w:bidi="ar-SA"/>
        </w:rPr>
        <w:t xml:space="preserve">في الحلقة السابعة عشرة يخاطب ابنُ قيس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مستشاري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وجهاءَ الشام،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 علي ليس لإمارة المسلمين إلّا معاوية، فلقد كان الرسول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يعتمد عليه، وكذلك عمر بن الخطاب وعثمان بن عفان، وهو الذي خَبِر أُمور الحكم منذ أن كان شاباً، وكذلك نحن في الشام نعتمد عليه، وهو مَن هو، وما زال والياً على الشام منذ عهد عمر بن الخطاب، وما هو دون الحسن في شؤون الحكم، فعلينا أن نبادر لبيعته نحن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الخطأ الذي ارتكبه الخليفة الثاني باعتماده على معاوية، والذي جرّ الويلات على أُمّة محمد صلّى الله عليه و آله و سلّم منذ ذلك اليوم إلى الآن، بل إلى يوم القيامة، تحوَّل إلى منقبة وشهادة فخرية يشهرها الوعّاظ في وجه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رجل 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الدكتور أحمد الكبيسي، وهو أحد علماء السنّة البارزين وممّن تتسابق الفضائيات للالتقاء به ونشر أفكاره،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مآسي أُمّتنا كلّها بسبب معاوية؛ فهو الذي مزّق الأُمّة إلى أشلاء، وهو الذي شتَّت شمل المسلمين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هي هذه المميزات التي وضعها منشئو المسلسل على لسان ابن الضحاك، والتي لو صحّت فإنّها لا يمكن أن تكون مبرّراً يُتيح لمعاوية أن يجعل نفسه خليفة لرسول الله صلّى الله عليه و آله و سلّم وفي الأُمّة مثل الحسن والحسين عَلیهِماالسَّلام ، وفي الأُمّة أيضاً عشرات الصحابة في </w:t>
      </w:r>
    </w:p>
    <w:p>
      <w:pPr>
        <w:pStyle w:val="BookText"/>
        <w:rPr/>
      </w:pPr>
      <w:r>
        <w:rPr>
          <w:rFonts w:ascii="IRNazanin" w:hAnsi="IRNazanin" w:eastAsia="IRNazanin"/>
          <w:color w:val="111111"/>
          <w:sz w:val="28"/>
          <w:sz w:val="28"/>
          <w:szCs w:val="28"/>
          <w:rtl w:val="true"/>
          <w:lang w:bidi="fa-IR"/>
        </w:rPr>
        <w:t>المدينة وفي مكة وفي العراقَين، ممّن لم يكونوا 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علي عَلیه السَلام لم يكن راضياً عن معاوية، فلا ينفعه إذن رضا الثلاثة أو المائة عنه، والحمد لله الذي جعل علياً عَلیه السَلام ميزان الأعمال وجعل الحقّ يدور معه حيثما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ونسأل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منجزات معاوية وخبراته وهو شاب؟ أليست هي محاربة رسول الله صلّى الله عليه و آله و سلّم في بدر وأُحد والأحزاب، وممارسة الخمور والفجور وعبادة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مرحلة الشباب عند معاوية أيام كان يعيش مع أبيه عدوّ الرسول اللدود، ومع أُمّه هند آكلة لحوم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أكبر الجرائم التي ارتكبها المسلسل هو أنّه لم يكتفِ بتحريف الآلاف من صفحات التاريخ الصحيح التي سجّلت بغي معاوية وعناده وجوره، وإنّما حاول أن يغرس في أذهان الأجيال الجديدة أنّ معاوية عظيم جداً، حتى أنّ ابن الضحاك حار في وصفه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حقّنا أن نسألهم أيضاً،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معاوية يستحقّ عندكم كلّ هذا التقديس؛ لأنّ الخلفاء الثلاثة وأهل الشام كانوا يعتمدون عليه، فماذا نقول نحن في إمامنا الحسن عَلیه السَلام الذي قال عنه وعن أخيه رسولُ الله 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هو معاوية يا ترى ليقول عنه المسلسل على لسان ابن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دون الحسن في شؤون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رسول الله يثق بمعاوية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حصل ذلك 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عندما طلبه الرسول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أم عندما نعته بأنّه صعلوك</w:t>
      </w:r>
      <w:r>
        <w:rPr>
          <w:rStyle w:val="FootnoteAnchor"/>
          <w:rtl w:val="true"/>
        </w:rPr>
        <w:footnoteReference w:id="264"/>
      </w:r>
      <w:r>
        <w:rPr>
          <w:rFonts w:ascii="Amiri" w:hAnsi="Amiri" w:eastAsia="Amiri" w:cs="Amiri"/>
          <w:color w:val="111111"/>
          <w:sz w:val="28"/>
          <w:sz w:val="28"/>
          <w:szCs w:val="28"/>
          <w:rtl w:val="true"/>
          <w:lang w:bidi="ar-SA"/>
        </w:rPr>
        <w:t>، أم عندما لعنه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 على منبري </w:t>
      </w:r>
    </w:p>
    <w:p>
      <w:pPr>
        <w:pStyle w:val="BookText"/>
        <w:rPr/>
      </w:pP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والعجيب أن تجد بعض العلماء يصرّون على تحويل المثالب واللعنات على معاوية إلى مناقب ومزايا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ذمّ معاوية وفي الدعاء عليه من قِبل سيد الكائنات الذي لا ينطق عن الهوى، لكن حوّله وعّاظ السلاطين إلى فخر ومنقبة يمتاز بها معاوية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هذه منقبة لمعاوية؛ لقول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لعنته أو شتمته فاجعل ذلك له زكاة ورحمة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حقّنا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تتوقع أيها المسلم، أن يذمّ رسولُ الله صلّى الله عليه و آله و سلّم أحداً أو يدعو عليه أو يلعنه بلا مبرر، إلا لأجل تزكيته ورفع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تدليس وتلاعب بالدين والمقاييس أكثر من هذا؟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يكتف بتهوين دعاء النبي على معاوية، بل قال بعد أن أورد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انتفع معاوية بهذه الدعوة في دنياه وأُخراه، أمّا في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صار إلى الشام أميراً كان يأكل في اليوم سبع مرّات، يُجاء بقصعة فيها لحم كثير وبصل، فيأكل منها معاوية، ويأكل في اليوم سبع أكلات بلحم، ومن الحلوى والفاكهة شيئاً كثيراً،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أشبع وإنّما أعيا، وهذه نعمة ومعدة يرغب فيها كلّ الملوك</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وهل هذه فضيلة والقرآن يصرّح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وَكُلُوا وَاشْرَبُوا وَلَا تُسْرِفُوا إِنَّهُ لَا يُحِبُّ الْمُسْرِفِينَ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بل هذه فضيحة لهم؛ إذ استُجيب فيه دعاء الرسول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ابن العربي، المعروف في عدائه لأهل البيت ولشيعتهم في كتابه العواصم من القواصم، أنّه دخل بغداد وأقام فيها زمن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بين بني العباس وبني أُميّة ما لا يخفى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مكتوباً على أبواب مساجدها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ثمّ، عمر، ثمّ عثمان، ثمّ علي، ثمّ معاوية خال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وكثر في العصر الحديث أمثال هؤلاء الوعّاظ، فها هو محب الدين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المعادي لأهل البيت والذي حارب دار التقريب الذي أنشأه علماء الشيعة بمصر للتقريب بين المذاهب فأسماه دار التخريب، يقول من 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مرّة أحد شباب المسلمين ممّن يحسن الظنّ برأيي في الرجال، ما تقول في معاوية؟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أنا حتى أُسأل عن عظيم من عظماء هذه الأُمّة، وصاحبٍ من خيرة أصحاب محمد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مصباح من مصابيح الإسلام، لكن هذا المصباح سطع إلى جانب أربعة شموس ملأت الدنيا بأنوارها فغلبت أنوارها على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جئنا إلى التأريخ الصحيح لوجدنا أنّ المصادر السُّنية تبيّن عيوب معاوية ومخازيه، قال العاملي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لمعاوية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في فضائل معاوية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الموضوعة،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عزيزي القارئ بعضاً من إنجازات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كما وردت في مصادر أهل السنّة والجماعة، كما ذكر ذلك العاملي في الانتصار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يترك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ينهى عن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كان يحكم بجمع الأُختين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الذهب والحرير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استُشهد عليّ، 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أمات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يدسّ السمّ للحسن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معاويةَ موتُ الحسن خرّ ساجداً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يقتل عمرو بن الحمق الخزاعي، وحِجْر بن عدي، ومالك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محمد بن أبي بكر ألقاه معاوية في جيفة حمار، ثمّ أحرقه بالنار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يلعن علياً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يأمر الخطباء بلعن عليّ على المنابر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كثير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91" w:name="pg7540_66717"/>
    </w:p>
    <w:p>
      <w:pPr>
        <w:pStyle w:val="Heading4"/>
        <w:numPr>
          <w:ilvl w:val="3"/>
          <w:numId w:val="1"/>
        </w:numPr>
        <w:rPr/>
      </w:pPr>
      <w:bookmarkStart w:id="292" w:name="__RefHeading___Toc2792896_1051229030"/>
      <w:bookmarkStart w:id="293" w:name="_Toc104"/>
      <w:bookmarkEnd w:id="291"/>
      <w:bookmarkEnd w:id="292"/>
      <w:r>
        <w:rPr>
          <w:rtl w:val="true"/>
        </w:rPr>
        <w:t>المحور الرابع</w:t>
      </w:r>
      <w:r>
        <w:rPr>
          <w:rtl w:val="true"/>
        </w:rPr>
        <w:t xml:space="preserve">: </w:t>
      </w:r>
      <w:r>
        <w:rPr>
          <w:rtl w:val="true"/>
        </w:rPr>
        <w:t>تشويه بعض رموز شيعة أمير المؤمنين عَلیه السَلام</w:t>
      </w:r>
      <w:bookmarkEnd w:id="293"/>
    </w:p>
    <w:p>
      <w:pPr>
        <w:pStyle w:val="Heading5"/>
        <w:numPr>
          <w:ilvl w:val="4"/>
          <w:numId w:val="1"/>
        </w:numPr>
        <w:rPr/>
      </w:pPr>
      <w:bookmarkStart w:id="294" w:name="__RefHeading___Toc2792898_1051229030"/>
      <w:bookmarkStart w:id="295" w:name="_Toc105"/>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ومن محاولات أرباب هذا المسلسل البائسة هو الحطّ من شيعة أهل البيت علیهم السلام وتشويه صورتهم ما أمكن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النماذج على ذلك ما تعرّض له مالك الأشتر النخعي، ففي الحلقة الثامنة يظهر مالك الأشتر وهو مستاء من أيّ صلح أو تفاوض مع قادة الجمل؛ لأنّه يريد إبادة جيش عائشة بأيّ صورة، فيلتفت إلى الإمام الحسن عَلیه السَلام وهو في حالة قلق شديد؛ خوفاً من مجيء القعقاع مبعوثاً من قِبل عائشة إلى أمير المؤمنين عَلیه السَلام للتصالح،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الخبر الذي جاء به القعقاعُ من البصرة إلى أمير المؤمنين؟ فلا يُجيبه الحسن عَلیه السَلام ؛ لأنّه يعرف نواياه وحقده، ويخاطبه بطريقة جافة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 مالك يا ترى؟ إنّه مالك الأشتر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الساعد الأيمن للإمام علي عَلیه السَلام وسيفه البتّار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إحدى عينيه شُتِرَت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اليرموك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ولادته بين سنة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النبوية الشريفة، ولقد عاصر مالك الأشتر النبي صلّى الله عليه و آله و سلّم ، ولكنه لم يره ولم يسمع حديثه، وذُكِر مالك عند النبي صلّى الله عليه و آله و سلّم ، فقال فيه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المؤمن حقاً</w:t>
      </w:r>
      <w:r>
        <w:rPr>
          <w:rFonts w:eastAsia="IRNazanin" w:cs="IRNazanin"/>
          <w:color w:val="111111"/>
          <w:sz w:val="28"/>
          <w:szCs w:val="28"/>
          <w:rtl w:val="true"/>
          <w:lang w:bidi="fa-IR"/>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ذُكر في جملة المحاربين الشُّجعان الذين خاضوا معركة اليرموك، وهي المعركة التي دارت بين المسلمين والروم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ثقة، وذكره ابن حبان في الثقات،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اليرموك فذهبت عينه يومئذٍ، وكان رئيس قومه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لقد كان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البأس، جواداً رئيساً حليماً، فصيحاً شاعراً، وكان يجمع بين اللين والعنف؛ فيسطو في موضع السطوة، ويرفق في موضع الرفق</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ولقد كتب الإمام علي عَلیه السَلام يخاطب أهل مصر في عهده لمالك بعد أن جعله والياً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بَعثتُ إليكم عبداً من عباد الله، لا ينام أيّامَ الخوف، ولا يَنكُل عن الأعداء ساعاتِ الرَّوع، أشدُّ على الفُجَّار من حريق النار، وهو مالك بن الحارث أخو مذْحج، فاسمَعوا له وأطيعوا أمرَه فيما طابَق الحقّ، فإنّه سيفٌ من سيوف الله، لا كليلُ الظُّبّة، ولا نابي الضَّريبة، فإن أمَرَكم أن تَنفروا فانفروا، وإن أمَرَكم أن تُقيموا فأقيموا؛ فإنّه لا يُقدِم ولا يُحجِم ولا يُؤخِّر ولا يُقدِّم إلّا عن أمري</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عَلیه السَلام له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مِن آمَنِ أصحابي، وأوثقِهم في نفسي، وأنصحِهم وأرآهم عندي</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عُرِف عن مالك الأشتر شدّته في الحقّ وتمسّكه الشديد بخليفة رسول الله صلّى الله عليه و آله و سلّم الإمام علي عَلیه السَلام ، ومن مظاهر ذلك التمسّك والتعصّب للحقّ أنّه كان يهدد المترددين والمتوقفين عن بيعة الإمام عَلیه السَلام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وغيره حقَدَ معاوية وابن العاص ووعّاظ السلاطين الداعمين للمسلسل على مالك الأشتر، الإمامي العلوي المخلص، الذي جمع بين مختلف الكمالات، من شجاعة مشهودة إلى سياسة نبيلة، ومن شعر وخطابة إلى حزم وعقل وتدبير، ومن لين ودين وكرم، إلى رئاسة وتواضع</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7540_66720"/>
      <w:bookmarkStart w:id="297" w:name="pg7540_66720"/>
      <w:bookmarkEnd w:id="297"/>
    </w:p>
    <w:p>
      <w:pPr>
        <w:pStyle w:val="Heading2"/>
        <w:numPr>
          <w:ilvl w:val="1"/>
          <w:numId w:val="1"/>
        </w:numPr>
        <w:rPr/>
      </w:pPr>
      <w:bookmarkStart w:id="298" w:name="pg7540_66720"/>
      <w:bookmarkStart w:id="299" w:name="__RefHeading___Toc2792900_1051229030"/>
      <w:bookmarkStart w:id="300" w:name="_Toc106"/>
      <w:bookmarkEnd w:id="298"/>
      <w:bookmarkEnd w:id="299"/>
      <w:r>
        <w:rPr>
          <w:rtl w:val="true"/>
        </w:rPr>
        <w:t>فِقهُ النَهضَة ِالحُسَينِيَّة</w:t>
      </w:r>
      <w:bookmarkEnd w:id="300"/>
    </w:p>
    <w:p>
      <w:pPr>
        <w:pStyle w:val="Heading3"/>
        <w:numPr>
          <w:ilvl w:val="2"/>
          <w:numId w:val="1"/>
        </w:numPr>
        <w:rPr/>
      </w:pPr>
      <w:bookmarkStart w:id="301" w:name="__RefHeading___Toc2792902_1051229030"/>
      <w:bookmarkStart w:id="302" w:name="_Toc107"/>
      <w:bookmarkEnd w:id="301"/>
      <w:r>
        <w:rPr>
          <w:rtl w:val="true"/>
        </w:rPr>
        <w:t>اشارة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الحال في أدب الطف</w:t>
      </w:r>
    </w:p>
    <w:p>
      <w:pPr>
        <w:pStyle w:val="BookText"/>
        <w:rPr/>
      </w:pPr>
      <w:r>
        <w:rPr>
          <w:rFonts w:ascii="Amiri" w:hAnsi="Amiri" w:eastAsia="Amiri" w:cs="Amiri"/>
          <w:color w:val="111111"/>
          <w:sz w:val="28"/>
          <w:sz w:val="28"/>
          <w:szCs w:val="28"/>
          <w:rtl w:val="true"/>
          <w:lang w:bidi="ar-SA"/>
        </w:rPr>
        <w:t>بين المشروعية والمنع</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زيارة الإمام الحسين عَلیه السَلام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7540_66722"/>
      <w:bookmarkStart w:id="304" w:name="pg7540_66722"/>
      <w:bookmarkEnd w:id="304"/>
    </w:p>
    <w:p>
      <w:pPr>
        <w:pStyle w:val="Heading3"/>
        <w:numPr>
          <w:ilvl w:val="2"/>
          <w:numId w:val="1"/>
        </w:numPr>
        <w:rPr/>
      </w:pPr>
      <w:bookmarkStart w:id="305" w:name="pg7540_66722"/>
      <w:bookmarkStart w:id="306" w:name="__RefHeading___Toc2792904_1051229030"/>
      <w:bookmarkStart w:id="307" w:name="_Toc108"/>
      <w:bookmarkEnd w:id="305"/>
      <w:bookmarkEnd w:id="306"/>
      <w:r>
        <w:rPr>
          <w:rtl w:val="true"/>
        </w:rPr>
        <w:t>لِسَانُ الحَالِ في أَدَب الطَّفِ بَینَ المَشرُوعیَّةِ وَ المَنعِ الشيخ مشتاق طالب الساعدي</w:t>
      </w:r>
      <w:bookmarkEnd w:id="307"/>
    </w:p>
    <w:p>
      <w:pPr>
        <w:pStyle w:val="Heading4"/>
        <w:numPr>
          <w:ilvl w:val="3"/>
          <w:numId w:val="1"/>
        </w:numPr>
        <w:rPr/>
      </w:pPr>
      <w:bookmarkStart w:id="308" w:name="__RefHeading___Toc2792906_1051229030"/>
      <w:bookmarkStart w:id="309" w:name="_Toc109"/>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من الموضوعات المتعلّقة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الشعائر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شاع كثيراً في أدب الطّف شعراً ونثراً، وأصبح مادّةً إلقائيّةً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كتابيّةً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لسان الحال؛ فقد وُظّف في كثيرٍ من الموارد المتعلّقة بالشعائر الحسينية، كما في كلمات الخطباء، وشعر الشعراء، ونتاجات أقلام الكتَّاب والباحثين، فلعلّك لا تجد شاعراً أو خطيباً في قصيدته، أو مجلسه إلّا ويصوّر لك بلسان الحال ما حلّ برموز كربلاء ومَن يرتبط بهم، بل ولسان حال السيّدة الزهراء عَلیهاالسَلام ، وسائر الأئمة المعصومين علیهم السلام وغيرهم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وقع الكلام في مشروعيّة هذا الأُسلوب الأدبيّ، وتصوير حال أشخاص الطفّ بصورةٍ عامةٍ، وما يزيد الأمر تعقيداً هو ما يتمتع به بعض شخوص الطّف من سمة العصمة، وعلو المقام، ورفعة المنزلة؛ فلذا قد يصعب معرفة حالهم، وإدراك آفاق تفكيرهم، وما يتخذونه من مواقف، أو ما يقولونه من كلمات تجاه الأحداث التي تجري عليهم؛ فمن ثَمَّ يصوّر الشاعر أو الناثر لسان حالهم، كتعبير عمّا كانوا سيقولونه بلسان المقال والكلام، أو ما سيفعلونه من تصرفات ومواقف عمليّة تجاه الوقائع، والأحداث التي أحاطت بهم يوم عاشوراء، ومن أهمّها مصرع سيّد الشهداء عَلیه السَلام </w:t>
      </w:r>
      <w:r>
        <w:rPr>
          <w:rFonts w:eastAsia="IRNazanin" w:cs="IRNazanin"/>
          <w:color w:val="111111"/>
          <w:sz w:val="28"/>
          <w:szCs w:val="28"/>
          <w:rtl w:val="true"/>
          <w:lang w:bidi="fa-IR"/>
        </w:rPr>
        <w:t xml:space="preserve">. </w:t>
      </w:r>
      <w:bookmarkStart w:id="310" w:name="pg7540_66723"/>
    </w:p>
    <w:p>
      <w:pPr>
        <w:pStyle w:val="BookText"/>
        <w:rPr/>
      </w:pPr>
      <w:bookmarkEnd w:id="310"/>
      <w:r>
        <w:rPr>
          <w:rFonts w:ascii="IRNazanin" w:hAnsi="IRNazanin" w:eastAsia="IRNazanin"/>
          <w:color w:val="111111"/>
          <w:sz w:val="28"/>
          <w:sz w:val="28"/>
          <w:szCs w:val="28"/>
          <w:rtl w:val="true"/>
          <w:lang w:bidi="fa-IR"/>
        </w:rPr>
        <w:t xml:space="preserve">وفي الحقيقة هناك اتّجاهان في أصل جواز لسان الحال في أدب الطّف، خصوصاً إذا كان لسان حال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كالزهراء، والحسين، والسجاد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اتّجاه ذهب إلى المنع من تصوير لسان الحال، والاقتصار على لسان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واتّجاه آخر أصرّ على المشروعيّة والجواز، كرديف للسان المقال، بل وصف بعضهم لسان الحال بأنّه أصدق من لسان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ولكلا الاتّجاهين أصحابه وأنصاره، وأدلته، وبياناته، وسنقف على ذلك مفصَّلاً إن شاء الله تعالى في طيّات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تبيّن لنا أنّ هذه المسألة محلّ ابتلاء؛ أصبح هناك سبب وجيه لبحثها وتنقيحها، والوقوف على حقيقتها، ويزيد الأمر أهميّة أنّها من المسائل غير المبحوثة على مستوى التنظير والتوجيه الفقهي، فهي أقرب إلى كونها من المسائل المستحدثة، وأغلب مَن ذكرها لم يُفصّل فيها، وإنّما أجاب عنها على شكل فتوى بالجواز أو عدمه، و بيّنها بالإشارات الإجمالية بحيث لا يتمكن القارئ من معرفتها، وتبقى التساؤلات والاستفسارات تجول في ذهنه، ولا يجد لها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المقال نحاول الوقوف على أهمّ مفاصل هذه المسألة؛ لتكون باكورة عملٍ، وهيكلة بحثٍ، لِمَن يريد دراستها وبلورتها تفصيلاً</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792908_1051229030"/>
      <w:bookmarkStart w:id="312" w:name="_Toc110"/>
      <w:bookmarkEnd w:id="311"/>
      <w:r>
        <w:rPr>
          <w:rtl w:val="true"/>
        </w:rPr>
        <w:t>معنى لسان الحال</w:t>
      </w:r>
      <w:bookmarkEnd w:id="31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نجد في معاجم اللغة العربية أي إشارة إلى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وإنّما شاع وانتشر في التعابير العربية شعراً ونثراً، بوصفه أُسلوب بيان لما يقتضيه حال المتكلم، من خلال الاطّلاع على مجمل أفعاله، أو حركاته، أو تقاسيم وجهه، أو أُفق </w:t>
      </w:r>
    </w:p>
    <w:p>
      <w:pPr>
        <w:pStyle w:val="BookText"/>
        <w:rPr/>
      </w:pPr>
      <w:r>
        <w:rPr>
          <w:rFonts w:ascii="Amiri" w:hAnsi="Amiri" w:eastAsia="Amiri" w:cs="Amiri"/>
          <w:color w:val="111111"/>
          <w:sz w:val="28"/>
          <w:sz w:val="28"/>
          <w:szCs w:val="28"/>
          <w:rtl w:val="true"/>
          <w:lang w:bidi="ar-SA"/>
        </w:rPr>
        <w:t>تفكيره، أو غير ذلك ممّا هو غير لسان المقال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يصدر من الإنسان من كلام مُصاغ بصياغات لفظيّة يسمّى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مقال،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لساننا الذي ننطق به، أو مجمل ما تنطق به الشفتان من كلام أمام النّاس؛ فيُؤخذ حينئذٍ بظهورات لفظ المتكلّم سواء كانت له أم عليه، ويُعرف من خلاله مراداته الاستعماليّة والجديّة إذا كان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ذلك يقع لسان الحال الذي يمكن أن نعرّفه بأنّه لسان تَصرُّفنا في واقع الأمر من حركاتٍ، وسكناتٍ، وإشاراتٍ، ومواقفَ ممّا نفعله في حياتنا وعلاقاتنا بالآخرين، كتصرفاتنا الشخصيّة، ومعاشرتنا للنّاس، ومجمل كلماتنا الأُخريات خصوصاً في مواقف مشابهة للموقف المحكي، يقرأها المقابل ويصيغها بصياغاتٍ أدبيةٍ، مجازيةٍ تحكي لسان مقالنا، أو تُقرِّب منه، بأُسلوبٍ أدبيّ فنيّ مجازيّ، بلا دعوى كونها لسان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أقدم النصوص التي عَرّفت لسان الحال هي ما ذكره الغزّالي،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نطق وراء نطق المقال، يُشبه قول القائل حكايةً لكلام الوتد والحائط، قال الجدار للوتد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يدقني</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 العلاّمة الطباطبائي، فقال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انكشاف المعنى عن الشيء لدلالة صفةٍ من صفاته، وحالٍ من أحواله عليه سواء شعر به أم لا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كمصطلح، فقد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أبيات الشعر العربيّ، ومن تلك الأبيات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عن أهاليها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سى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إذ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p>
    <w:p>
      <w:pPr>
        <w:pStyle w:val="BookText"/>
        <w:rPr/>
      </w:pPr>
      <w:r>
        <w:rPr>
          <w:rFonts w:ascii="Amiri" w:hAnsi="Amiri" w:eastAsia="Amiri" w:cs="Amiri"/>
          <w:color w:val="111111"/>
          <w:sz w:val="28"/>
          <w:sz w:val="28"/>
          <w:szCs w:val="28"/>
          <w:rtl w:val="true"/>
          <w:lang w:bidi="ar-SA"/>
        </w:rPr>
        <w:t>واستفهمن من لسان الحال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 الخطوب وماذا أبرمت فيها</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فدهشت بين جماله وجلاله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وغدا لسان الحال عني مخبرا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وما يَصوغه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كالشاعر، أو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إنّما تحكي لسان حال المتكلّم في واقعةٍ ما، فيما لو أراد الكلام في تلك الواقعة، فالمتصدّي للسان الحال هو غير المتكلّم بطبيعة الحال، ودوره إبراز كلمات يَدّعي أنّها تُعبّر أو تُطابق كلام المتكلّم في حال كلامه، وهذه التعابير نتاج ما يقتضيه حال المتكلّم، وتقاسيم وجهه، ومجموع كلماته الأُخريات، أو معرفة المتكلّم له، أو من خلال قراءة معرفيّة بشخص المتكلّم، ومواقفه الأُخر التي نطق بها؛ فمن مجموع ذلك يستنبط صياغات يدّعي تجوُّزاً أنّها كلمات المتكلّم فيما لو كان تكلَّم حال حصول الواقعة، ولا يدعي أنّها كلماته حقيقة،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كذب،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تصوير مجازيّ، وأدبيّ لِما يقوله القائل لو أراد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لسان الحال من باب التعبيرات الأدبيّة الفنيّة المجازيّة، والكنائيّة التي تحكي مُرادات وكلمات الشخص الذي لم يتكلّم في واقعةٍ ما، بأُسلوبٍ فنّي رائع وجميل، يَصوغه الشاعر أو الأديب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أُسلوب أدبيّ عريق؛ إذ لا نجد شعراً من الأشعار العربية في كلّ العصور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عصر ما قَبل الإسلام المسمّى بالعصر الجاهلي في كتب الأدب، ومروراً بالإسلاميّ، فالأُمويّ، فالعباسيّ، وانتهاءً بالشعر الحديث والمعاصر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حوى روائع من لسان الحال</w:t>
      </w:r>
      <w:r>
        <w:rPr>
          <w:rFonts w:eastAsia="Amiri" w:cs="Amiri" w:ascii="Amiri" w:hAnsi="Amiri"/>
          <w:color w:val="111111"/>
          <w:sz w:val="28"/>
          <w:szCs w:val="28"/>
          <w:rtl w:val="true"/>
          <w:lang w:bidi="ar-SA"/>
        </w:rPr>
        <w:t xml:space="preserve">. </w:t>
      </w:r>
      <w:bookmarkStart w:id="313" w:name="pg7540_66726"/>
    </w:p>
    <w:p>
      <w:pPr>
        <w:pStyle w:val="BookText"/>
        <w:rPr/>
      </w:pPr>
      <w:bookmarkEnd w:id="313"/>
      <w:r>
        <w:rPr>
          <w:rFonts w:ascii="Amiri" w:hAnsi="Amiri" w:eastAsia="Amiri" w:cs="Amiri"/>
          <w:color w:val="111111"/>
          <w:sz w:val="28"/>
          <w:sz w:val="28"/>
          <w:szCs w:val="28"/>
          <w:rtl w:val="true"/>
          <w:lang w:bidi="ar-SA"/>
        </w:rPr>
        <w:t>ثُمّ إنّ لسان الحال قد ورد في كثير من الروايات التي نقلها بعض المحدّثين في كتبهم ومعاجمهم الروائية، كما سنبيّن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المفسّرين قديماً وحديثاً، وكذا بعض الباحثين، والمهتمّين بالشأن القرآني قالوا بوجود لسان الحال في بعض الآيات القرآنيّة الكريمة، كتعبير عن لسان حال بعض الأفراد، وما كانوا ليقولوا لو نطقوا بلسان المقال، بل إنّ بعض الباحثين أدخل بعض القصص القرآني، والمثل القرآني في لسان الحال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2792910_1051229030"/>
      <w:bookmarkStart w:id="315" w:name="_Toc111"/>
      <w:bookmarkEnd w:id="314"/>
      <w:r>
        <w:rPr>
          <w:rtl w:val="true"/>
        </w:rPr>
        <w:t>لسان الحال في النصوص الشرعيّة</w:t>
      </w:r>
      <w:bookmarkEnd w:id="315"/>
    </w:p>
    <w:p>
      <w:pPr>
        <w:pStyle w:val="Heading5"/>
        <w:numPr>
          <w:ilvl w:val="4"/>
          <w:numId w:val="1"/>
        </w:numPr>
        <w:rPr/>
      </w:pPr>
      <w:bookmarkStart w:id="316" w:name="__RefHeading___Toc2792912_1051229030"/>
      <w:bookmarkStart w:id="317" w:name="_Toc112"/>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 xml:space="preserve">هناك نماذج من النصوص الشرعيّة، كالآيات الكريمة، والروايات، والأشعار التي وردت عن آل البيت علیهم السلام ، أو بحضورهم وتقريرهم، والتي استُعمل فيها لسان الحال، كأُسلوب بيانيّ أدبيّ، وهذا له فائدة في دعم أصل مشروعيّة لسان الحال، بوصفه أُسلوباً للبيان والتخاطب، وأنّه أُسلوب مشروع، وليس داخلاً في عنوان الكذب والخيال؛ ولذلك يُسوّغ من حيث الأصل استخدام هذا الأُسلوب في المحاورات بصورةٍ عامّةٍ، وفي الأدب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أو نثراً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يُبحث في موانع الاستعمال أو العناوين الطارئة التي قد تُحرِّمه، فيكون عَرض ذلك بعنوان مدخل لبيان الحكم في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فنتكلّم في محاور ثلاثة</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792914_1051229030"/>
      <w:bookmarkStart w:id="319" w:name="_Toc113"/>
      <w:bookmarkEnd w:id="318"/>
      <w:r>
        <w:rPr>
          <w:rtl w:val="true"/>
        </w:rPr>
        <w:t>المحور الأول</w:t>
      </w:r>
      <w:r>
        <w:rPr>
          <w:rtl w:val="true"/>
        </w:rPr>
        <w:t xml:space="preserve">: </w:t>
      </w:r>
      <w:r>
        <w:rPr>
          <w:rtl w:val="true"/>
        </w:rPr>
        <w:t>لسان الحال في القرآن الكريم</w:t>
      </w:r>
      <w:bookmarkEnd w:id="31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 المفسّرين والباحثين إلى وجود أُسلوب لسان الحال في النص القرآني </w:t>
      </w:r>
    </w:p>
    <w:p>
      <w:pPr>
        <w:pStyle w:val="BookText"/>
        <w:rPr/>
      </w:pPr>
      <w:r>
        <w:rPr>
          <w:rFonts w:ascii="Amiri" w:hAnsi="Amiri" w:eastAsia="Amiri" w:cs="Amiri"/>
          <w:color w:val="111111"/>
          <w:sz w:val="28"/>
          <w:sz w:val="28"/>
          <w:szCs w:val="28"/>
          <w:rtl w:val="true"/>
          <w:lang w:bidi="ar-SA"/>
        </w:rPr>
        <w:t>الشريف؛ وذلك في آياتٍ عديدةٍ، إمّا بشكل قطعي، أو بنحو أحد المحتملات، أو بنحو الأُطروحة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وسّع بعض الباحثين الأمر فذكر أنّ كثيراً من القصص والأمثال القرآنيّة قد وردت بهذا الأُسلوب البيانيّ، قال شيخنا الأُستاذ محمد السند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باب استعمله القرآن، وهو وحيّ وحيانيّ إلهيّ؛ فإنّ ضرب الأمثال في الكتاب العزيز لا حدّ له وفرةً وكثرةً مع أنّ المثل لا يراد الإخبار بمفاده المطابقيّ، بل المراد الجديّ منه المعنى المبطن والكنائيّ الذي يغاير المعنى المطابقيّ لسطح المثل، بل قد ضرب القرآن للناس من كلّ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القرآن كلّه من قَبيل المثل والأمثال، كما تَوهّم بعضٌ، بل هو أحد الأبواب الثمانية لأُسلوب القرآن، والحكمة في هذا الأُسلوب والنمط من الاستعمال أُمور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المعاني ليست حسيّة مرئيّة، بل هي من شؤون الرّوح وحالات النفس والخواطر القلبيّة، وغيرها من الأفعال التي ليست من عالم المادّة المحسوسة المرئيّة المسموعة الملموسة، بل هي من مشهد نفسانيّ، ومشهد روحيّ، ومشاهد عقليّة، ونفحات قلبيّة، وهي أوسع شأناً، وأكبر واقعيةً من العالم المرئي المحسوس، ولا بدّ من الإخبار عنه وانعكاسه إلى الآخرين، ولا يتأتى إلّا بأنماط أُخر، أحد نماذجها أُسلوب المثل والتمثيل، ولسان الحال يلتقي معه في ذلك</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نَعرض بشكل مجمل بعض الآيات التي قيل بورودها بلسان الحال لا لسان المقال، مع استعراض آراء بعض المفسّرين في هذا المجال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مِنْ رِزْقِ رَبِّكُمْ وَاشْكُرُوا لَهُ بَلْدَةٌ طَيِّبَةٌ وَرَبٌّ غَفُورٌ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 بعض المفسّرين في تفسير هذه الآية أنّها جاءت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حكاية لما قال لهم نبيهم، أو لسان الحال، أو دلالة بأنّهم كانوا أحقاء بأن يقال لهم ذلك</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اقْعُدُوا مَعَ الْقَاعِدِينَ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المفسّرون إلى وجوه عديدة في الآية الكريمة، واحتمل بعضهم أنّها وردت بلسان الحال، وبذلك قال الشيخ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اقْعُدُوا مَعَ الْقَاعِدِينَ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النسوة والأطفال والعجزة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سبحانه مَن الذي قال لهم هذا، هل هي أنفسهم الأمَّارة، أو لسان الحال، أو بعضهم لبعض؟ الله العالم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بعض المفسّرين بوجود احتمال لسان الحال في الآية الكريمة، بل جزم به بعضهم، أو جعله الاحتمال الأقوى، وهو ما بيّنه السيّد محمّد حسين الطباطبائي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يكون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القول بلسان الحال، أو إسناد للازم القول إلى القائل بالملزوم؛ حيث اعترفوا بحاجاتهم، ولزمه الاعتراف بمَن يحتاجون إليه، والفرق بين لسان الحال، والقول بلازم القول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المعنى عن الشيء؛ لدلالة صفة من صفاته وحال من </w:t>
      </w:r>
    </w:p>
    <w:p>
      <w:pPr>
        <w:pStyle w:val="BookText"/>
        <w:rPr/>
      </w:pPr>
      <w:r>
        <w:rPr>
          <w:rFonts w:ascii="Amiri" w:hAnsi="Amiri" w:eastAsia="Amiri" w:cs="Amiri"/>
          <w:color w:val="111111"/>
          <w:sz w:val="28"/>
          <w:sz w:val="28"/>
          <w:szCs w:val="28"/>
          <w:rtl w:val="true"/>
          <w:lang w:bidi="ar-SA"/>
        </w:rPr>
        <w:t>أحواله عليه، سواء شعر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تُفصح آثار الديار الخَرِبة عن حال ساكنيها، وكيف لعب الدهر بهم، وعدت عادية الأيام عليهم، فأسكنت أجراسهم، وأخمدت أنفاسهم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يتكلم سيماء البائس المسكين عن فقره ومسكنته وسوء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المعنى عن القائل لقوله بما يستلزمه أو تكلّمه بما يدل عليه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أحد هذين النوعين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بلسان الحال والقول بالاستلزام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اعترافهم المحكي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بَلَى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والأول أقرب وأنسب؛ فإنّه لا يكتفي في مقام الشهادة إلّا بالصريح منها، المدلول عليه بالمطابقة دون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هذه الشهادة على أيّ نحو تحققت، فهي من سنخ الاستشهاد المذكور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أنّه قد استوفى الجواب بعين اللسان الذي سألهم به؛ ولذلك كان هناك نحو ثالث يمكن أن يحمل عليه هذه المسألة والمجاوبة؛ فإنّ الكلام الإلهي يُكشف به عن المقاصد الإلهية بالفعل، والإيجاد كلام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بنحو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مراراً في مباحثنا السابقة فليكن هنا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القبيل</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كلام بعض المفسّرين المعاصرين الجزم بأنّ الآية المباركة وردت بلسان الحال، ومنهم الشيخ مكارم الشيرازيّ في تفسيره الأمثل،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ورد في القرآن الكريم التعبير عن لسان الحال، كالآية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 إذ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وقال المحدّث الكاشاني في المحجّة البيضاء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يُعبّر بلسان المقال عن لسان الحال، فالقاصر الفهم يقف على الظاهر ويعتقده نطقاً، والبصير بالحقائق يُدرك السرّ فيه، وهذا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الجدار للوتد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يدقّني فلم يتركني ورائي، الحجر الَّذي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تعبير عن لسان الحال بلسان المقال؛ ومن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فالبليد يفتقر في فهمه إلى أن يقدّر لهما حياةً وعقلاً وفهماً للخطاب، وخطاباً هو صوت وحرف تسمعه الأرض، وتُجيب بصوت وحرف،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والبصير يعلم أنّ ذلك لسان الحال، وأنّه نبأ عن كونها مسخّرة بالضرورة ومضطرّة إلى التسخّر</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 شَاهِدٌ مِنْ أَهْلِهَا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احتمل بعض المفسّرين بأنّ الشاهد في هذه الآية كان لسان الحال، ولكنّه ناقش هذا الاحتمال وضعّفه، وهذا ما جاء في تفسير الأمثل؛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الشاهد هو القدّ في الثوب الذي تكلّم بلسان الحال، ولكن مع ملاحظة كلمة من أهلها يضعّف هذا الاحتمال، بل ينفيه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 بعض الفقهاء أنّ الآية جاءت بلسان الحال، ومنهم الشيخ جواد التبريزي، الذي قال في كتابه الأنوار الإلهية في المسائل 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التعبير عن ذهابه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 أَنْ لَنْ نَقْدِرَ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قَبيل بيان لسان الحال، وأنّ فعله، فعل مَن يظنّ ذلك</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المكارم في تفسيره الأمثل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وينقدح سؤال آخر، وهو كيف تخاطب النار وهي موجود غير عاقل فترد وتُجيب على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السؤال توجد إجابات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 نوع من التشبيه، وبيان 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يسأل بلسان التكوين جهنّم وهي تُجيب بلسان الحال، ونظير هذا التعبير كثير في اللغات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 الآخرة دار حياة واقعية، فحتى الموجودات الماديّة كالجنّة والنار يكون لها نوع من الإدراك والحياة والشعور، فالجنّة تشتاق إلى المؤمنين، وجهنّم تنتظر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أعضاء جسم الإنسان تنطق في ذلك اليوم وتشهد على الإنسان، فلا عجب أن تكون الجنّة والنار كذلك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اعتقاد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ذرات هذا العالم جميعها لها إدراك وإحساس خاص؛ ولذلك فهي تُسبّح الله وتَحمِده، وقد أشارت إليه بعض آيات القرآن، كالآية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bookmarkStart w:id="320" w:name="pg7540_66732"/>
    </w:p>
    <w:p>
      <w:pPr>
        <w:pStyle w:val="BookText"/>
        <w:rPr/>
      </w:pPr>
      <w:bookmarkEnd w:id="320"/>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المخاطبين هم خزنة النار، وهم الذين يردّون على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التفاسير يمكن قبولها، إلّا أنّ التفسير الأول أنسب كما يبدو</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الآيات التي احتُمل أنّ فيها لسان الحال، أو جزم بوجود لسان الحال فيها، وهناك آيات أُخريات احتُمل فيها لسان الحال، يجدها المتتبع للتفاسير؛ لم نذكرها حذراً من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الآيات التي احتوت على القصص والأمثال، حملها بعض الباحثين على ورود بعضها بلسان الحال، ويمكن الاطّلاع على تفاصيل ذلك في كتب التفاسير وكتب القصص القرآني والأمثال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أُسلوب لسان الحال أُسلوباً قرآنياً في الجملة، قد استُخدم للتعبير عن حقائق ببيانات بلاغيّة ومجازيّة</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792916_1051229030"/>
      <w:bookmarkStart w:id="322" w:name="_Toc114"/>
      <w:bookmarkEnd w:id="321"/>
      <w:r>
        <w:rPr>
          <w:rtl w:val="true"/>
        </w:rPr>
        <w:t>المحور الثاني</w:t>
      </w:r>
      <w:r>
        <w:rPr>
          <w:rtl w:val="true"/>
        </w:rPr>
        <w:t xml:space="preserve">: </w:t>
      </w:r>
      <w:r>
        <w:rPr>
          <w:rtl w:val="true"/>
        </w:rPr>
        <w:t>لسان الحال في الروايات</w:t>
      </w:r>
      <w:bookmarkEnd w:id="322"/>
    </w:p>
    <w:p>
      <w:pPr>
        <w:pStyle w:val="Heading6"/>
        <w:numPr>
          <w:ilvl w:val="5"/>
          <w:numId w:val="1"/>
        </w:numPr>
        <w:rPr/>
      </w:pPr>
      <w:bookmarkStart w:id="323" w:name="__RefHeading___Toc2792918_1051229030"/>
      <w:bookmarkStart w:id="324" w:name="_Toc115"/>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الدليل الثاني على أصل مشروعيّة لسان الحال هو استعماله في الروايات الشريفة؛ وهناك نحوان لذلك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من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الأساليب البيانية في الروايات، المحمولة على لسان الحال، وإليك بيان كلا النحوين</w:t>
      </w:r>
      <w:r>
        <w:rPr>
          <w:rFonts w:eastAsia="Amiri" w:cs="Amiri" w:ascii="Amiri" w:hAnsi="Amiri"/>
          <w:color w:val="111111"/>
          <w:sz w:val="28"/>
          <w:szCs w:val="28"/>
          <w:rtl w:val="true"/>
          <w:lang w:bidi="ar-SA"/>
        </w:rPr>
        <w:t xml:space="preserve">: </w:t>
      </w:r>
      <w:bookmarkStart w:id="325" w:name="pg7540_66733"/>
    </w:p>
    <w:p>
      <w:pPr>
        <w:pStyle w:val="Heading6"/>
        <w:numPr>
          <w:ilvl w:val="5"/>
          <w:numId w:val="1"/>
        </w:numPr>
        <w:rPr/>
      </w:pPr>
      <w:bookmarkStart w:id="326" w:name="__RefHeading___Toc2792920_1051229030"/>
      <w:bookmarkStart w:id="327" w:name="_Toc116"/>
      <w:bookmarkEnd w:id="325"/>
      <w:bookmarkEnd w:id="326"/>
      <w:r>
        <w:rPr>
          <w:rtl w:val="true"/>
        </w:rPr>
        <w:t>النحو الأول</w:t>
      </w:r>
      <w:r>
        <w:rPr>
          <w:rtl w:val="true"/>
        </w:rPr>
        <w:t xml:space="preserve">: </w:t>
      </w:r>
      <w:r>
        <w:rPr>
          <w:rtl w:val="true"/>
        </w:rPr>
        <w:t>الروايات المصرّحة بلسان الحال</w:t>
      </w:r>
      <w:bookmarkEnd w:id="327"/>
    </w:p>
    <w:p>
      <w:pPr>
        <w:pStyle w:val="BookText"/>
        <w:rPr/>
      </w:pPr>
      <w:r>
        <w:rPr>
          <w:rFonts w:ascii="IRNazanin" w:hAnsi="IRNazanin" w:eastAsia="IRNazanin"/>
          <w:color w:val="111111"/>
          <w:sz w:val="28"/>
          <w:sz w:val="28"/>
          <w:szCs w:val="28"/>
          <w:rtl w:val="true"/>
          <w:lang w:bidi="fa-IR"/>
        </w:rPr>
        <w:t>لقد ورد تركيب لسان الحال نصاً في بعض الروايات، كأُسلوب صادق للبيان، ووصف في بعض مضامينها بأنّه أصدق من لسان المقال، ولعلّ وجه أصدقيته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لسان المقال يمكن للمتكلّم أن يقول ما لا يريد فعلاً؛ فيكذب بكلامه، أمّا لسان الحال فهو تعبير قهريّ غالباً عن لسان الحقيقية التي يُخبِّؤها الإنسان في قلبه ووجدانه، وقد عبّر عن هذا الأمر أمير المؤمنين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شيئاً إلّا ظهر في فلتات لسانه وصفحات وجهه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التعبير قد ورد في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الليثيّ في عيون الحكم والمواعظ، عن الإمام أمير المؤمنين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 أصدق من لسان المقال</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أمير المؤمنين عَلیه السَلام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المقال، ما نطق به لسان الحال</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8" w:name="__RefHeading___Toc2792922_1051229030"/>
      <w:bookmarkStart w:id="329" w:name="_Toc117"/>
      <w:bookmarkEnd w:id="328"/>
      <w:r>
        <w:rPr>
          <w:rtl w:val="true"/>
        </w:rPr>
        <w:t>النحو الثاني</w:t>
      </w:r>
      <w:r>
        <w:rPr>
          <w:rtl w:val="true"/>
        </w:rPr>
        <w:t xml:space="preserve">: </w:t>
      </w:r>
      <w:r>
        <w:rPr>
          <w:rtl w:val="true"/>
        </w:rPr>
        <w:t>الروايات المحمولة على لسان الحال</w:t>
      </w:r>
      <w:bookmarkEnd w:id="32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مجموعة من الروايات يدل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الظهور، أو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الحال، وفي هذا النحو مئات الروايات المبثوثة في المجامع الروائية، ونحن ننقل بعضاً من تلك الروايات اختصاراً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بسنده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أجابوا وهم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فيهم ما إذا سألهم 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الميثاق</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شرح العلّامة المجلسي الرواية،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تعلّقت الأرواح بتلك الذر، وجعل فيهم العقل، وآلة السمع، وآلة النطق؛ حتى فهموا الخطاب وأجابوا وهم ذر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السيّد الطباطبائي ردّ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الرواية لسان الحال، أو أنّهم كانوا على خلقةٍ لو نزلوا منزل الدنيا، ظهر ذلك منهم في صورة السؤال والجواب، وأمّا ما ذكره رحمه الله فبعيد عن سياق الخبر، ولو صح لكان هو الخلق الدنيوي بعينه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الصدوق في كتابَي التوحيد وعيون أخبار الرضا عَلیه السَلام بسنده عن رسول الله صلّى الله عليه و آله و سلّم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وجلّ عموداً من ياقوتة حمراء، رأسه تحت العرش، وأسفله على ظهر الحوت في الأرض السابعة السفلى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العرش، وتحرّك العمود، وتحرّك الحوت،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أسكُن وأنت لم تغفر لقائلها؟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سكان سماواتي أنّي قد غفرت لقائلها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روايات في وداع شهر رمضان المبارك، التي حمل بعض العلماء معنى الوداع فيها على لسان الحال، قال السيّد ابن طاووس في 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الوداع لشهر رمضان وليس هو من الحيوان الذي يخاطب أو يعقل ما يقال له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عادة ذوي العقول قبل الرسول، ومع الرسول، وبعد الرسول، يخاطبون الدّيار والأوطان، والشباب وأوقات الصفا والأمان والإحسان ببيان المقال، وهو محادثة لها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أدب الإسلام أمضى ما شهدت بجوازه من ذلك أحكام العقول والأفهام، ونطق به مقدس القرآن المجيد، فقال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جهنّم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بالمقال، وهو إشارة إلى لسان الحال، وذُكر كثيراً في القرآن الشريف المجيد، وفي كلام النبيّ صلّى الله عليه و آله و سلّم والأئمة علیهم السلام ، وكلام أهل التعريف، فلا يحتاج ذوو الألباب إلى الإطالة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شهر رمضان قد صاحبه ذوو العناية به من أهل الإسلام والإيمان، أفضل لهم من صحبة الدّيار والمنازل، وأنفع من الأهل وأرفع من الأعيان والأمثال، اقتضت دواعي لسان الحال أن يودع عند الفراق والانفصال</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الرازي في تفسيره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عَلیه السَلام كلّم البحر،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انفلق لي لأعبر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يمرُّ عليّ رجل 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المعتزلة أنّ ذلك على لسان الحال، لا لسان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الروايات الدالة على وجود مثل هذا الأُسلوب في البيان والتعبير، </w:t>
      </w:r>
      <w:bookmarkStart w:id="330" w:name="pg7540_66736"/>
    </w:p>
    <w:p>
      <w:pPr>
        <w:pStyle w:val="BookText"/>
        <w:rPr/>
      </w:pPr>
      <w:bookmarkEnd w:id="330"/>
      <w:r>
        <w:rPr>
          <w:rFonts w:ascii="Amiri" w:hAnsi="Amiri" w:eastAsia="Amiri" w:cs="Amiri"/>
          <w:color w:val="111111"/>
          <w:sz w:val="28"/>
          <w:sz w:val="28"/>
          <w:szCs w:val="28"/>
          <w:rtl w:val="true"/>
          <w:lang w:bidi="ar-SA"/>
        </w:rPr>
        <w:t>وهو دليل آخر على أصل مشروعيّة لسان الحال</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2792924_1051229030"/>
      <w:bookmarkStart w:id="332" w:name="_Toc118"/>
      <w:bookmarkEnd w:id="331"/>
      <w:r>
        <w:rPr>
          <w:rtl w:val="true"/>
        </w:rPr>
        <w:t>المحور الثالث</w:t>
      </w:r>
      <w:r>
        <w:rPr>
          <w:rtl w:val="true"/>
        </w:rPr>
        <w:t xml:space="preserve">: </w:t>
      </w:r>
      <w:r>
        <w:rPr>
          <w:rtl w:val="true"/>
        </w:rPr>
        <w:t>لسان الحال في الأشعار المنسوبة لآل البيت علیهم السلام</w:t>
      </w:r>
      <w:bookmarkEnd w:id="332"/>
    </w:p>
    <w:p>
      <w:pPr>
        <w:pStyle w:val="BookText"/>
        <w:rPr/>
      </w:pPr>
      <w:r>
        <w:rPr>
          <w:rFonts w:ascii="Amiri" w:hAnsi="Amiri" w:eastAsia="Amiri" w:cs="Amiri"/>
          <w:color w:val="111111"/>
          <w:sz w:val="28"/>
          <w:sz w:val="28"/>
          <w:szCs w:val="28"/>
          <w:rtl w:val="true"/>
          <w:lang w:bidi="ar-SA"/>
        </w:rPr>
        <w:t xml:space="preserve">لا شكّ في شيوع لسان الحال في الأدب العربي شعراً ونثراً؛ باعتباره أُسلوب بيان استُخدم في مئات القصائد، وعشرات المقاطع النثرية، والمتتبع للأدب العربي يجد ذلك واضحاً، ونذكر على نحو الاختصار مثالاً للشعر، ومثالاً للنثر مما ورد بلسان الحال، فمن الشعر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يحكي لسان حال ثلاث أخوات لاقاهنّ في الطريق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الكبرى أتعرفن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الوسطى نعم هذا عمر</w:t>
      </w:r>
    </w:p>
    <w:p>
      <w:pPr>
        <w:pStyle w:val="BookText"/>
        <w:rPr/>
      </w:pPr>
      <w:r>
        <w:rPr>
          <w:rFonts w:ascii="Amiri" w:hAnsi="Amiri" w:eastAsia="Amiri" w:cs="Amiri"/>
          <w:color w:val="111111"/>
          <w:sz w:val="28"/>
          <w:sz w:val="28"/>
          <w:szCs w:val="28"/>
          <w:rtl w:val="true"/>
          <w:lang w:bidi="ar-SA"/>
        </w:rPr>
        <w:t>قالت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غرى وقد تيّمتها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عرفناه وهل يخفى القمر</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ومن النثر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الأرض،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أجرى أنهارك، وغرس أشجارك، وجنى ثمارك؟ فإن لم تُجبك حواراً أجابتك اعتباراً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هدفنا استعراض لسان الحال في الأدب العربي؛ لأنّه خارج عن محلّ الكلام، وإنّما هدفنا هو ذكر الأشعار التي وردت بأُسلوب لسان الحال؛ إمّا بنحو الإلقاء من قِبَل أهل البيت علیهم السلام ، أو التي أُلقيت في حضرتهم ولم يعترضوا عليها، وهذا النحو من الشعر له شواهد تناقلتها كتب الحديث والتأريخ والأدب، وهو كما يدل على أصل مشروعيّة هذا الأُسلوب البياني، كذلك يدلّ على مشروعيّة استعمال أُسلوب لسان الحال في خصوص الأشعار التي يكتبها شعراء آل البيت علیهم السلام في أدب الطّف، ومن هذه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إلى الإمام أمير المؤمنين عَلیه السَلام مخاطباً الزهراء عَلیهاالسَلام عندما كان يزور قبرها الطاهر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على القبور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فلم يردّ جوابي</w:t>
      </w:r>
    </w:p>
    <w:p>
      <w:pPr>
        <w:pStyle w:val="BookText"/>
        <w:rPr/>
      </w:pPr>
      <w:r>
        <w:rPr>
          <w:rFonts w:ascii="Amiri" w:hAnsi="Amiri" w:eastAsia="Amiri" w:cs="Amiri"/>
          <w:color w:val="111111"/>
          <w:sz w:val="28"/>
          <w:sz w:val="28"/>
          <w:szCs w:val="28"/>
          <w:rtl w:val="true"/>
          <w:lang w:bidi="ar-SA"/>
        </w:rPr>
        <w:t>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لا ترد جوابنا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 بعدي خلّة الأحباب</w:t>
      </w:r>
    </w:p>
    <w:p>
      <w:pPr>
        <w:pStyle w:val="BookText"/>
        <w:rPr/>
      </w:pPr>
      <w:r>
        <w:rPr>
          <w:rFonts w:ascii="Amiri" w:hAnsi="Amiri" w:eastAsia="Amiri" w:cs="Amiri"/>
          <w:color w:val="111111"/>
          <w:sz w:val="28"/>
          <w:sz w:val="28"/>
          <w:szCs w:val="28"/>
          <w:rtl w:val="true"/>
          <w:lang w:bidi="ar-SA"/>
        </w:rPr>
        <w:t>قال الحبيب وكيف لي بجوابكم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جنادل وتراب</w:t>
      </w:r>
    </w:p>
    <w:p>
      <w:pPr>
        <w:pStyle w:val="BookText"/>
        <w:rPr/>
      </w:pPr>
      <w:r>
        <w:rPr>
          <w:rFonts w:ascii="Amiri" w:hAnsi="Amiri" w:eastAsia="Amiri" w:cs="Amiri"/>
          <w:color w:val="111111"/>
          <w:sz w:val="28"/>
          <w:sz w:val="28"/>
          <w:szCs w:val="28"/>
          <w:rtl w:val="true"/>
          <w:lang w:bidi="ar-SA"/>
        </w:rPr>
        <w:t>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 محاسني فنسيتكم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وحجبت عن أهلي وعن أترابي</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مني السلام تقطعت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وعنكم خلّة الأحباب</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أنشده دعبل الخزاعي شاعر أهل البيت علیهم السلام عندما خاطبه الإمام الرضا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 ارثِ الحسين؛ فأنت ناصرنا ومادحنا ما دمت حياً، فلا تقصّر عن نصرنا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فاستعبرت وسالت عبرتي، وأنشأت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لو خلت الحسين مجدلاً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مات عطشانا بشط فرات</w:t>
      </w:r>
    </w:p>
    <w:p>
      <w:pPr>
        <w:pStyle w:val="BookText"/>
        <w:rPr/>
      </w:pPr>
      <w:r>
        <w:rPr>
          <w:rFonts w:ascii="Amiri" w:hAnsi="Amiri" w:eastAsia="Amiri" w:cs="Amiri"/>
          <w:color w:val="111111"/>
          <w:sz w:val="28"/>
          <w:sz w:val="28"/>
          <w:szCs w:val="28"/>
          <w:rtl w:val="true"/>
          <w:lang w:bidi="ar-SA"/>
        </w:rPr>
        <w:t>إذا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فاطم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واندبي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جوم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لاة</w:t>
      </w:r>
    </w:p>
    <w:p>
      <w:pPr>
        <w:pStyle w:val="BookText"/>
        <w:rPr/>
      </w:pPr>
      <w:r>
        <w:rPr>
          <w:rFonts w:ascii="Amiri" w:hAnsi="Amiri" w:eastAsia="Amiri" w:cs="Amiri"/>
          <w:color w:val="111111"/>
          <w:sz w:val="28"/>
          <w:sz w:val="28"/>
          <w:szCs w:val="28"/>
          <w:rtl w:val="true"/>
          <w:lang w:bidi="ar-SA"/>
        </w:rPr>
        <w:t>قبور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صلواتي</w:t>
      </w:r>
    </w:p>
    <w:p>
      <w:pPr>
        <w:pStyle w:val="BookText"/>
        <w:rPr/>
      </w:pPr>
      <w:r>
        <w:rPr>
          <w:rFonts w:ascii="Amiri" w:hAnsi="Amiri" w:eastAsia="Amiri" w:cs="Amiri"/>
          <w:color w:val="111111"/>
          <w:sz w:val="28"/>
          <w:sz w:val="28"/>
          <w:szCs w:val="28"/>
          <w:rtl w:val="true"/>
          <w:lang w:bidi="ar-SA"/>
        </w:rPr>
        <w:t>قبور ببطن النهر من جنب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 بشط فرات</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أنشده الإمام الهادي عَلیه السَلام من قصيدة أمام المتوكل العباسي، وقد حوت لسان الحال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وهي ما رواه المجلسي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المسعودي في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إلى المتوكّل بعلي بن محمد الجواد عَلیهِماالسَّلام أنّ في منزله كتباً وسلاحاً من شيعته من أهل قم، وأنّه عازم على الوثوب بالدولة؛ فبعث إليه جماعة من الأتراك، فهجموا داره ليلاً، فلم يجدوا فيها شيئاً ووجدوه في بيت مغلق عليه، وعليه مدرعة من صوف، وهو جالس على الرمل والحصا وهو متوجّه إلى الله تعالى يتلو آيات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على حاله تلك إلى المتوكّل،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في بيته شيئاً، ووجدناه يقر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المتوكّل جالساً في مجلس الشرب، فدخل عليه والكاس في يد المتوكّل، فلمّا رآه هابه وعظّمه وأجلسه إلى جانبه، وناوله الكاس التي كانت في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يخامر لحمي ودمي قط؛ فاعفني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قليل الرواية للشعر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 عَلیه السَلام وهو جالس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على قُلل الأجبال تحرسهم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واستُنزلوا بعد عزّ من معاقلهم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يا بئسما نزلوا</w:t>
      </w:r>
    </w:p>
    <w:p>
      <w:pPr>
        <w:pStyle w:val="BookText"/>
        <w:rPr/>
      </w:pPr>
      <w:r>
        <w:rPr>
          <w:rFonts w:ascii="Amiri" w:hAnsi="Amiri" w:eastAsia="Amiri" w:cs="Amiri"/>
          <w:color w:val="111111"/>
          <w:sz w:val="28"/>
          <w:sz w:val="28"/>
          <w:szCs w:val="28"/>
          <w:rtl w:val="true"/>
          <w:lang w:bidi="ar-SA"/>
        </w:rPr>
        <w:t>ناداهم صارخ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بعد 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 والتيجان والحلل</w:t>
      </w:r>
    </w:p>
    <w:p>
      <w:pPr>
        <w:pStyle w:val="BookText"/>
        <w:rPr/>
      </w:pPr>
      <w:r>
        <w:rPr>
          <w:rFonts w:ascii="Amiri" w:hAnsi="Amiri" w:eastAsia="Amiri" w:cs="Amiri"/>
          <w:color w:val="111111"/>
          <w:sz w:val="28"/>
          <w:sz w:val="28"/>
          <w:szCs w:val="28"/>
          <w:rtl w:val="true"/>
          <w:lang w:bidi="ar-SA"/>
        </w:rPr>
        <w:t>أين الوج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 التي كانت منعّمة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الوجوه عليها الدود تقت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w:t>
      </w:r>
    </w:p>
    <w:p>
      <w:pPr>
        <w:pStyle w:val="BookText"/>
        <w:rPr/>
      </w:pPr>
      <w:r>
        <w:rPr>
          <w:rFonts w:ascii="Amiri" w:hAnsi="Amiri" w:eastAsia="Amiri" w:cs="Amiri"/>
          <w:color w:val="111111"/>
          <w:sz w:val="28"/>
          <w:sz w:val="28"/>
          <w:szCs w:val="28"/>
          <w:rtl w:val="true"/>
          <w:lang w:bidi="ar-SA"/>
        </w:rPr>
        <w:t xml:space="preserve">قد طال ما أكلوا دهراً وقد 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وأصبحوا اليوم بعد الأكل قد أُكلوا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كلّ مَن حضر على عليّ، وظنّ أنّ بادرة تبدر منه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بكى المتوكّل بكاءً طويلاً حتى بلّت دموعه لحيته، وبكى مَن حضره، ثُمّ أمر برفع </w:t>
      </w:r>
      <w:bookmarkStart w:id="333" w:name="pg7540_66739"/>
    </w:p>
    <w:p>
      <w:pPr>
        <w:pStyle w:val="BookText"/>
        <w:rPr/>
      </w:pPr>
      <w:bookmarkEnd w:id="333"/>
      <w:r>
        <w:rPr>
          <w:rFonts w:ascii="Amiri" w:hAnsi="Amiri" w:eastAsia="Amiri" w:cs="Amiri"/>
          <w:color w:val="111111"/>
          <w:sz w:val="28"/>
          <w:sz w:val="28"/>
          <w:szCs w:val="28"/>
          <w:rtl w:val="true"/>
          <w:lang w:bidi="ar-SA"/>
        </w:rPr>
        <w:t>الشراب،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أعليك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بدفعها إليه، وردّه إلى منزله من ساعته مكرماً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الشواهد التي يجدها المتتبع لكتب الحديث والتاريخ والأدب</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792926_1051229030"/>
      <w:bookmarkStart w:id="335" w:name="_Toc119"/>
      <w:bookmarkEnd w:id="334"/>
      <w:r>
        <w:rPr>
          <w:rtl w:val="true"/>
        </w:rPr>
        <w:t>لسان الحال في الميزان الفقهي</w:t>
      </w:r>
      <w:bookmarkEnd w:id="335"/>
    </w:p>
    <w:p>
      <w:pPr>
        <w:pStyle w:val="Heading5"/>
        <w:numPr>
          <w:ilvl w:val="4"/>
          <w:numId w:val="1"/>
        </w:numPr>
        <w:rPr/>
      </w:pPr>
      <w:bookmarkStart w:id="336" w:name="__RefHeading___Toc2792928_1051229030"/>
      <w:bookmarkStart w:id="337" w:name="_Toc120"/>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 xml:space="preserve">من المسائل المستحدثة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الشعائر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مسألة استخدام لسان الحال في مصاديق الشعائر، سواء نثراً أو شعراً أو خطابةً، وقد شاع استخدام هذا الأُسلوب وانتشر بين شعراء الطّف وخطبائه بصورة ملحوظة خصوصاً بين المعاصرين؛ وبذلك انفتح نقاش فقهيّ في المسألة من حيث المشروعيّة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وتخالفت بذلك آراء الفقهاء بين مجوّز ومانع، والمسألة باعتبارها مستحدثة لم تُطرح إلى الآن على مستوى التنظير والاستدلال الفقهي الموسّع، وإنّما طُرحت على مستوى الفتوى، وطبيعة الفتوى لا تسلّط الضوء على الأدلة، وإنّما يُعطي الفقيه من خلالها موقفاً عملياً بقالب قانونيّ مقتضب؛ لكي يطبّقه المكلّف أو السائل، ولا يتصدّى لبيان أدلة الحكم، ومَن تصدّى لذلك، فإنه لم يبيّنه إلّا بشكل مجمل</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2792930_1051229030"/>
      <w:bookmarkStart w:id="339" w:name="_Toc121"/>
      <w:bookmarkEnd w:id="338"/>
      <w:r>
        <w:rPr>
          <w:rtl w:val="true"/>
        </w:rPr>
        <w:t>أقوال الفقهاء في لسان الحال</w:t>
      </w:r>
      <w:bookmarkEnd w:id="339"/>
    </w:p>
    <w:p>
      <w:pPr>
        <w:pStyle w:val="Heading6"/>
        <w:numPr>
          <w:ilvl w:val="5"/>
          <w:numId w:val="1"/>
        </w:numPr>
        <w:rPr/>
      </w:pPr>
      <w:bookmarkStart w:id="340" w:name="__RefHeading___Toc2792932_1051229030"/>
      <w:bookmarkStart w:id="341" w:name="_Toc122"/>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تنقسم أقوال الفقهاء في مسألة لسان الحال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ذهب إلى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جوّز مثل هذا الأُسلوب، ولكن بشروط معيّنة</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2792934_1051229030"/>
      <w:bookmarkStart w:id="343" w:name="_Toc123"/>
      <w:bookmarkEnd w:id="342"/>
      <w:r>
        <w:rPr>
          <w:rtl w:val="true"/>
        </w:rPr>
        <w:t>القول الأول</w:t>
      </w:r>
      <w:r>
        <w:rPr>
          <w:rtl w:val="true"/>
        </w:rPr>
        <w:t>: (</w:t>
      </w:r>
      <w:r>
        <w:rPr>
          <w:rtl w:val="true"/>
        </w:rPr>
        <w:t>المنع</w:t>
      </w:r>
      <w:r>
        <w:rPr>
          <w:rtl w:val="true"/>
        </w:rPr>
        <w:t>)</w:t>
      </w:r>
      <w:bookmarkEnd w:id="34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أبرز مَن ذهب إلى المنع هو الشهيد السيّد محمّد الصدر قدس سرّه ، في كتابه أضواء </w:t>
      </w:r>
      <w:bookmarkStart w:id="344" w:name="pg7540_66740"/>
    </w:p>
    <w:p>
      <w:pPr>
        <w:pStyle w:val="BookText"/>
        <w:rPr/>
      </w:pPr>
      <w:bookmarkEnd w:id="344"/>
      <w:r>
        <w:rPr>
          <w:rFonts w:ascii="IRNazanin" w:hAnsi="IRNazanin" w:eastAsia="IRNazanin"/>
          <w:color w:val="111111"/>
          <w:sz w:val="28"/>
          <w:sz w:val="28"/>
          <w:szCs w:val="28"/>
          <w:rtl w:val="true"/>
          <w:lang w:bidi="fa-IR"/>
        </w:rPr>
        <w:t>على ثورة الإمام الحسين عَلیه السَلام ؛ حيث تبنَّى القول بعدم جوازه بعد أن أورد جملة من الإشكالات، وبما أنّ كتابه ليس كتاباً فتوائياً، بل كان بحثاً تأريخياً؛ فلا نستطيع أن نجزم بأنّ فتواه في ذلك هي المنع مطلقاً، ولم نجد فيما بحثنا فتوى له بذلك</w:t>
      </w:r>
      <w:r>
        <w:rPr>
          <w:rFonts w:eastAsia="IRNazanin" w:cs="IRNazanin"/>
          <w:color w:val="111111"/>
          <w:sz w:val="28"/>
          <w:szCs w:val="28"/>
          <w:rtl w:val="true"/>
          <w:lang w:bidi="fa-IR"/>
        </w:rPr>
        <w:t>.</w:t>
      </w:r>
    </w:p>
    <w:p>
      <w:pPr>
        <w:pStyle w:val="Heading6"/>
        <w:numPr>
          <w:ilvl w:val="5"/>
          <w:numId w:val="1"/>
        </w:numPr>
        <w:rPr/>
      </w:pPr>
      <w:bookmarkStart w:id="345" w:name="__RefHeading___Toc2792936_1051229030"/>
      <w:bookmarkStart w:id="346" w:name="_Toc124"/>
      <w:bookmarkEnd w:id="345"/>
      <w:r>
        <w:rPr>
          <w:rtl w:val="true"/>
        </w:rPr>
        <w:t>أدلة المانعين</w:t>
      </w:r>
      <w:bookmarkEnd w:id="346"/>
    </w:p>
    <w:p>
      <w:pPr>
        <w:pStyle w:val="BookText"/>
        <w:rPr/>
      </w:pPr>
      <w:r>
        <w:rPr>
          <w:rFonts w:ascii="Amiri" w:hAnsi="Amiri" w:eastAsia="Amiri" w:cs="Amiri"/>
          <w:color w:val="111111"/>
          <w:sz w:val="28"/>
          <w:sz w:val="28"/>
          <w:szCs w:val="28"/>
          <w:rtl w:val="true"/>
          <w:lang w:bidi="ar-SA"/>
        </w:rPr>
        <w:t>لقد طرحت في هذا المجال مجموعة من الشواهد والأدلة، نشير فيما يلي إلى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يظهر من كلمات بعض الأعلام، وهو أنّ لسان الحال نوع من الكذب والمبالغة، وهو غير جائز في الشريعة المقدّسة، خصوصاً إذا كان على الذوات المقدّسة، كالنبيّ الأعظم، أو أمير المؤمنين، أو السيّدة الزهراء، أو الأئمة من أبنائها المعصومين علیهم السلام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يُلاحظ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الحال ليس داخلاً في الكذب؛ فهو وإن لم يكن تعبيراً حقيقياً عن مقال الإنسان، إلّا أنّه تعبير مجازيّ، وليس أُسلوب المجاز أُسلوباً داخلاً في الكذب، كيف ذا وقد وردت آيات، وروايات بهذا الأُسلوب؟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الحال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لو كان كاتبه يدّعي أنّه يُعبّر عن حال الآخرين بنحو المطابقة والحقيقة، ولكن القائل للسان الحال لا يدّعي الحقيقة، وإنّما يدّعي تصويراً مجازياً ادعائياً فنياً لِما سيقوله الآخرون لو نطقوا به، فلا يقول المنشئ للسان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نص وحقيقة ما أراد قوله الآخر، وإنّما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خلال قرائن حاليّة ومقاليّة، أدعي أنّه لو تكلّم لقال ما عبّرت به عن كلامه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الشعر الذي صوّر فيه دعبل حال السيّدة الزهراء عَلیهاالسَلام ، فيما لو كانت حاضرة في واقعة الطّف، كان فيه لسان الحال واضحاً، وكان هذا التصوير بمرأى ومسمع من الإمام الرضا عَلیه السَلام ، فلو كان فيه كذب على الزهراء لَما سكت عنه الإمام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قد يظهر أيضاً من بعض كلمات السيد محمد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أنّنا لا يمكن أن نعلم حال المعصومين، ولا أصحابهم، ولا نسائهم؛ لكي نصوّر لسان حالهم للآخرين؛ وذلك لعلوّ مكانتهم من جهة، واختلاف الزمكانيّة بيننا وبينهم من جهة أُخرى، ولذلك نحن جاهلون بلسان حالهم، وإنّما يجوز لسان الحال مع العلم بالمطابقة لواقع ما عبر عنه بلسان الحال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الدليل أخصّ من المدّعى؛ إذ إنّ تصوير لسان الحال قد يكون لأشخاص غير معصومين كانوا حاضرين في الطّف، كلسان حال أصحاب الحسين عَلیه السَلام ، أو القاسم، أو رملة، أو الرباب، أو غيرهم من الأشخاص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الذوات المعصومة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كالنبيّ الأعظم، وأمير المؤمنين، والزهراء، والأئمة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منازلهم عالية ومقاماتهم سامية، إلّا أن هذا لا يمنع من وجود معرفة بسيطة بهم؛ من خلال كلماتهم، ومواقفهم، وسيرتهم؛ تجعل الشاعر يعلم لسان حالهم في الجملة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عدم العلم بحالهم بصورة دقيقة، فلا أقل من كفاية الاطمئنان بأنّ لسان حالهم كان كذا، من خلال مجموع القرائن، ولا شكّ في أنّ الاطمئنان حجة عقلائية معتمدة، فهو كافٍ في جواز تصوير حال المعصومين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فالشاعر أو الناثر يكفيه الوثوق والاطمئنان في تصوير لسان حال المعصومين، مع كون الاطمئنان ناشئاً من قرائن، وشواهد قوليّة وفعليّة وسلوكيّة، قد قاموا بها في مواطن 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دعبل الخزاعيّ قد صوّر حال الزهراء عَلیهاالسَلام ، ولم يعترض عليه الإمام الرضا عَلیه السَلام ، بأنّك لا تستطيع معرفة حالها عَلیهاالسَلام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الأُسلوب البلاغيّ في لسان الحال تقتضي البيان بصورة تتضمّن نحواً من أنحاء التصوير المجازي، ولا يصح مقايسته بالأساليب الحقيقيّة للبيان، فقرينة كونه مجازاً يَفهم منها المتلقي كون الشاعر في مقام نقل تصوراته عن الحادثة، لا نقل واقع الحادثة حرفياً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السيد الصدر قدس سرّه ، وهو أنّ لسان الحال إنّما يُعبّر به عن الأقوال، لا عن الأفعال، والحال أننا نرى أنّ الشعراء ينقلون الأعمّ من الأقوال والأفعال، ويصورونها بلسان الحال</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المتتبع لهذا 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بما قدّمناه من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لسان الحال يُعبّر فيه عن كلّ ما ليس هو بلسان مقال، سواء كان فعلاً، أو حركةً، أو إشارةً، أو كلاماً، في غير موطن الواقعة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الشريفة التي تفيد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تُبيّن أنّ إحدى طرق معرفة ما أضمر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ومواقف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ويُعرف من خلال صفحات الوجه، وما يكون في صفحات الوجه من تغيُّر اللون أو الهيئة، إنّما هو من سنخ الأفعال لا الأقوال</w:t>
      </w:r>
      <w:r>
        <w:rPr>
          <w:rFonts w:eastAsia="Amiri" w:cs="Amiri" w:ascii="Amiri" w:hAnsi="Amiri"/>
          <w:color w:val="111111"/>
          <w:sz w:val="28"/>
          <w:szCs w:val="28"/>
          <w:rtl w:val="true"/>
          <w:lang w:bidi="ar-SA"/>
        </w:rPr>
        <w:t xml:space="preserve">. </w:t>
      </w:r>
      <w:bookmarkStart w:id="347" w:name="pg7540_66743"/>
    </w:p>
    <w:p>
      <w:pPr>
        <w:pStyle w:val="BookText"/>
        <w:rPr/>
      </w:pPr>
      <w:bookmarkEnd w:id="34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نقبل الأمرين، فلا أقل من وجوب إبراز ما يدل على لا بدية كون لسان الحال للأقوال، لا للأفعال، وليس هنا ما يحصر هذا الأُسلوب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وبدفع هذه الإشكالات نبقى على أصل مشروعيّة أُسلوب لسان الحال</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2792938_1051229030"/>
      <w:bookmarkStart w:id="349" w:name="_Toc125"/>
      <w:bookmarkEnd w:id="348"/>
      <w:r>
        <w:rPr>
          <w:rtl w:val="true"/>
        </w:rPr>
        <w:t>القول الثاني</w:t>
      </w:r>
      <w:r>
        <w:rPr>
          <w:rtl w:val="true"/>
        </w:rPr>
        <w:t xml:space="preserve">: </w:t>
      </w:r>
      <w:r>
        <w:rPr>
          <w:rtl w:val="true"/>
        </w:rPr>
        <w:t>الجواز</w:t>
      </w:r>
      <w:bookmarkEnd w:id="349"/>
    </w:p>
    <w:p>
      <w:pPr>
        <w:pStyle w:val="Heading6"/>
        <w:numPr>
          <w:ilvl w:val="5"/>
          <w:numId w:val="1"/>
        </w:numPr>
        <w:rPr/>
      </w:pPr>
      <w:bookmarkStart w:id="350" w:name="__RefHeading___Toc2792940_1051229030"/>
      <w:bookmarkStart w:id="351" w:name="_Toc126"/>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ذهب إلى الجواز أكثر المعاصرين من علمائنا الأعلام، كالسيّد الخوئيّ قدس سرّه وأكثر تلامذته،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وأُستاذنا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جواد التبريزي قدس سرّه ، والشيخ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ذهب إلى ذلك أيضاً أُستاذنا الشيخ محمد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والذاهبون إلى الجواز وإن اتّحدوا في النتيجة، لكنّهم اختلفوا في الشروط التي إذا ما اجتمعت جاز هذا الأُسلوب، كما سيتضح</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2792942_1051229030"/>
      <w:bookmarkStart w:id="353" w:name="_Toc127"/>
      <w:bookmarkEnd w:id="352"/>
      <w:r>
        <w:rPr>
          <w:rtl w:val="true"/>
        </w:rPr>
        <w:t>فتوى السيّد الخوئي قدس سرّه</w:t>
      </w:r>
      <w:bookmarkEnd w:id="353"/>
    </w:p>
    <w:p>
      <w:pPr>
        <w:pStyle w:val="BookText"/>
        <w:rPr/>
      </w:pPr>
      <w:r>
        <w:rPr>
          <w:rFonts w:ascii="IRNazanin" w:hAnsi="IRNazanin" w:eastAsia="IRNazanin"/>
          <w:color w:val="111111"/>
          <w:sz w:val="28"/>
          <w:sz w:val="28"/>
          <w:szCs w:val="28"/>
          <w:rtl w:val="true"/>
          <w:lang w:bidi="fa-IR"/>
        </w:rPr>
        <w:t xml:space="preserve">لعلّ أقدم 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تتبعي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المسألة، هو ما صدر عن السيّد أبي القاسم الخوئي قدس سرّه جواباً عن استفتاء رُفع إليه، ونصّه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القصائد التي تُذكر في مصيبة سيّد الشهداء عَلیه السَلام تُنسَب للإمام الحسين عَلیه السَلام ، أو لزينب عَلیهاالسَلام ، أو للإمام السجاد عَلیه السَلام ، دون الإشارة إلى أنّ هذه الأبيات عن لسان حالهم، نعم، بعض النّاس يَعرف كون ذلك عن لسان الحال، وبعضهم الآخر لا يعرف ذلك، فما هو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السيّد الخوئي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يقصد واقع النسبة إليهم</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54" w:name="pg7540_66744"/>
    </w:p>
    <w:p>
      <w:pPr>
        <w:pStyle w:val="Heading6"/>
        <w:numPr>
          <w:ilvl w:val="5"/>
          <w:numId w:val="1"/>
        </w:numPr>
        <w:rPr/>
      </w:pPr>
      <w:bookmarkStart w:id="355" w:name="__RefHeading___Toc2792944_1051229030"/>
      <w:bookmarkStart w:id="356" w:name="_Toc128"/>
      <w:bookmarkEnd w:id="354"/>
      <w:bookmarkEnd w:id="355"/>
      <w:r>
        <w:rPr>
          <w:rtl w:val="true"/>
        </w:rPr>
        <w:t>تحليل فتوى السيّد الخوئي قدس سرّه</w:t>
      </w:r>
      <w:bookmarkEnd w:id="356"/>
    </w:p>
    <w:p>
      <w:pPr>
        <w:pStyle w:val="BookText"/>
        <w:rPr/>
      </w:pPr>
      <w:r>
        <w:rPr>
          <w:rFonts w:ascii="Amiri" w:hAnsi="Amiri" w:eastAsia="Amiri" w:cs="Amiri"/>
          <w:color w:val="111111"/>
          <w:sz w:val="28"/>
          <w:sz w:val="28"/>
          <w:szCs w:val="28"/>
          <w:rtl w:val="true"/>
          <w:lang w:bidi="ar-SA"/>
        </w:rPr>
        <w:t>إنّ فتوى السيّد الخوئي قدس سرّه دالة على الجواز، بشرط عدم قصد المقرئ أو الملقي لذلك الشعر أو النثر واقع النسبة إلى من حُكي لسان حالهم كالإمام السجاد، أو السيدة زينب، أو غيرهما،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قصد التعبير عن لسان حالهم، ولم يقصد لسان مقالهم، أو أنّهم تكلّموا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إذا كانت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المادّة النثرية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إشارة فيها إلى لسان الحال، لا لفظاً ولا 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تضمّنت الإشارة إلى لسان الحال، من خلال إخبار السامع بأنّ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لسان الحال، كما اعتاد الخطباء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لسان حال السيّدة الزهراء كذا وكذا، أو لسان حال الحسين كذا وكذا، وهكذا، أو احتوت القصيدة على دلائل لفظيّة، أو سياقيّة دالة على أنّها لسان حال، لا لسان مقال، كتصديرها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غيرها من القرائن اللفظية، أو المقامية، فلا إشكال بالجواز</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فالسيّد الخوئي قدس سرّه جَوّز لسان الحال، إذا كان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أنّ هذا لسان حال، لا لسان مقال، بل جوّزه حتى إذا لم يعلم السامع بأن هذا لسان حال، بشرط أن لا يكون الملقي للشعر أو النثر قد قصد أن ما يلقيه لسان مقال؛ لأنّ قَصْدَ ذلك يُوقع الملقي بالكذب؛ إذ إنّهم لم يقولوا ذلك واقعاً، بل إنّ الملقي أو الشاعر صوّر حالهم بذلك التصوير المجازي</w:t>
      </w:r>
      <w:r>
        <w:rPr>
          <w:rFonts w:eastAsia="Amiri" w:cs="Amiri" w:ascii="Amiri" w:hAnsi="Amiri"/>
          <w:color w:val="111111"/>
          <w:sz w:val="28"/>
          <w:szCs w:val="28"/>
          <w:rtl w:val="true"/>
          <w:lang w:bidi="ar-SA"/>
        </w:rPr>
        <w:t xml:space="preserve">. </w:t>
      </w:r>
      <w:bookmarkStart w:id="357" w:name="pg7540_66745"/>
    </w:p>
    <w:p>
      <w:pPr>
        <w:pStyle w:val="Heading6"/>
        <w:numPr>
          <w:ilvl w:val="5"/>
          <w:numId w:val="1"/>
        </w:numPr>
        <w:rPr/>
      </w:pPr>
      <w:bookmarkStart w:id="358" w:name="__RefHeading___Toc2792946_1051229030"/>
      <w:bookmarkStart w:id="359" w:name="_Toc129"/>
      <w:bookmarkEnd w:id="357"/>
      <w:bookmarkEnd w:id="358"/>
      <w:r>
        <w:rPr>
          <w:rtl w:val="true"/>
        </w:rPr>
        <w:t xml:space="preserve">فتوى السيّد السيستاني </w:t>
      </w:r>
      <w:r>
        <w:rPr>
          <w:rtl w:val="true"/>
        </w:rPr>
        <w:t>(</w:t>
      </w:r>
      <w:r>
        <w:rPr>
          <w:rtl w:val="true"/>
        </w:rPr>
        <w:t>دام ظله</w:t>
      </w:r>
      <w:r>
        <w:rPr>
          <w:rtl w:val="true"/>
        </w:rPr>
        <w:t>)</w:t>
      </w:r>
      <w:bookmarkEnd w:id="359"/>
    </w:p>
    <w:p>
      <w:pPr>
        <w:pStyle w:val="BookText"/>
        <w:rPr/>
      </w:pPr>
      <w:r>
        <w:rPr>
          <w:rFonts w:ascii="IRNazanin" w:hAnsi="IRNazanin" w:eastAsia="IRNazanin"/>
          <w:color w:val="111111"/>
          <w:sz w:val="28"/>
          <w:sz w:val="28"/>
          <w:szCs w:val="28"/>
          <w:rtl w:val="true"/>
          <w:lang w:bidi="fa-IR"/>
        </w:rPr>
        <w:t>توالت الأجوبة حول هذه المسألة من بعض الفقهاء الأعلام، من تلامذة السيّد الخوئي قدس سرّه ، كالسيّد السيستاني الذي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يجوز التكلّم بلسان المعصومين علیهم السلام بالقصائد الحسينية؛ بحيث الكاتب يطلق عِنان خياله في تصوير الأحداث، واختلاق الكلام والمواقف؟ وهل يجوز تداولها بين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سماحته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التكلّم بلسان حال المعصومين، فيما يُعتبر تمثيلاً صادقاً لأحوالهم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المعايير الأدبيّة المتعارفة في 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إساءة إلى مقامهم الشريف؛ ومن ثَمّ يجب على المتكلّم بلسان الحال من الاطلاع على الحوادث التأريخية، واستنطاق أحوالهم من خلالها؛ لتجسيدها بصورة أدبيّة مناسبة، بعيداً عمّا يُعتبر من قَبيل المبالغة والاختلاق، والكذب بالمقياس الأوَّلي، كما أنّ جواز تداولها يخضع للمقاييس التي أشرنا إليها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2792948_1051229030"/>
      <w:bookmarkStart w:id="361" w:name="_Toc130"/>
      <w:bookmarkEnd w:id="360"/>
      <w:r>
        <w:rPr>
          <w:rtl w:val="true"/>
        </w:rPr>
        <w:t xml:space="preserve">تحليل فتوى السيد السيستاني </w:t>
      </w:r>
      <w:r>
        <w:rPr>
          <w:rtl w:val="true"/>
        </w:rPr>
        <w:t>(</w:t>
      </w:r>
      <w:r>
        <w:rPr>
          <w:rtl w:val="true"/>
        </w:rPr>
        <w:t>دام ظله</w:t>
      </w:r>
      <w:r>
        <w:rPr>
          <w:rtl w:val="true"/>
        </w:rPr>
        <w:t>)</w:t>
      </w:r>
      <w:bookmarkEnd w:id="361"/>
    </w:p>
    <w:p>
      <w:pPr>
        <w:pStyle w:val="BookText"/>
        <w:rPr/>
      </w:pPr>
      <w:r>
        <w:rPr>
          <w:rFonts w:ascii="Amiri" w:hAnsi="Amiri" w:eastAsia="Amiri" w:cs="Amiri"/>
          <w:color w:val="111111"/>
          <w:sz w:val="28"/>
          <w:sz w:val="28"/>
          <w:szCs w:val="28"/>
          <w:rtl w:val="true"/>
          <w:lang w:bidi="ar-SA"/>
        </w:rPr>
        <w:t xml:space="preserve">ذهب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لسان الحال، ولكن جعل شروطاً لمشروعيته، إذا لم تتوفر تلك الشروط، فلا يجوز مثل هذا الأُسلوب إنشاء وتأليفاً، ولا إلقاءً وتداولاً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الشروط يمكن تلخيصها بالنحو التالي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في لسان الحال تصوير صادق وحقيقي لأحوال المعصومين علیهم السلام ، بعيداً عن الخيال والمبالغة والكذب، وإلّا كان ممنوعاً</w:t>
      </w:r>
      <w:r>
        <w:rPr>
          <w:rFonts w:eastAsia="IRNazanin" w:cs="IRNazanin"/>
          <w:color w:val="111111"/>
          <w:sz w:val="28"/>
          <w:szCs w:val="28"/>
          <w:rtl w:val="true"/>
          <w:lang w:bidi="fa-IR"/>
        </w:rPr>
        <w:t xml:space="preserve">. </w:t>
      </w:r>
      <w:bookmarkStart w:id="362" w:name="pg7540_66746"/>
    </w:p>
    <w:p>
      <w:pPr>
        <w:pStyle w:val="BookText"/>
        <w:rPr/>
      </w:pPr>
      <w:bookmarkEnd w:id="362"/>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يراعي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المعايير الأدبيّة المتعارفة عند الأدباء في كتابة 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القائل بلسان الحال مطّلعاً على الحوادث التأريخية والشخصيّة للواقعة، أو الشخص الذي ينطق بلسان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معايير ثلاثة لمشروعيّة هذا الأُسلوب الأدبيّ، فيما إذا كتب بلسان حال المعصومين</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2792950_1051229030"/>
      <w:bookmarkStart w:id="364" w:name="_Toc131"/>
      <w:bookmarkEnd w:id="363"/>
      <w:r>
        <w:rPr>
          <w:rtl w:val="true"/>
        </w:rPr>
        <w:t>أدلة المجوّزين</w:t>
      </w:r>
      <w:bookmarkEnd w:id="364"/>
    </w:p>
    <w:p>
      <w:pPr>
        <w:pStyle w:val="BookText"/>
        <w:rPr/>
      </w:pPr>
      <w:r>
        <w:rPr>
          <w:rFonts w:ascii="Amiri" w:hAnsi="Amiri" w:eastAsia="Amiri" w:cs="Amiri"/>
          <w:color w:val="111111"/>
          <w:sz w:val="28"/>
          <w:sz w:val="28"/>
          <w:szCs w:val="28"/>
          <w:rtl w:val="true"/>
          <w:lang w:bidi="ar-SA"/>
        </w:rPr>
        <w:t>تبيّن ممّا مرّ أنّ أُسلوب لسان الحال أُسلوب بلاغي، استخدمه القرآن الكريم في بعض آياته الكريمة، كما نصّ على ذلك كثير من المفسّرين، كما أنّ الروايات جاءت بهذا الأُسلوب في كثير من مضامينها؛ ومن هذين المصدرين يتبيّن أصل مشروعيّة لسان الحال، وصحة استعماله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الصحة في الاستعمال اعتضدت بورود أشعار مشهورة النسبة لآل البيت علیهم السلام ، أو قِيلت بحضرتهم، وكان لسان الحال واضحاً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ويعضد الجواز أيضاً أنّ الأشعار التي كانت متداولة في زمانهم، والتي حوت لسان الحال، لم يصدر ردع من قِبلهم عنها؛ وهذا يكشف عن وجود سيرة قائمة وممضاة على مشروعيّة استخدام لسان الحال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الارتكاز في الجواز بمكان من الإمكان؛ بحيث لم تُثَرْ مسألة المنع عن مثل هذا الأُسلوب البياني</w:t>
      </w:r>
      <w:r>
        <w:rPr>
          <w:rFonts w:eastAsia="Amiri" w:cs="Amiri" w:ascii="Amiri" w:hAnsi="Amiri"/>
          <w:color w:val="111111"/>
          <w:sz w:val="28"/>
          <w:szCs w:val="28"/>
          <w:rtl w:val="true"/>
          <w:lang w:bidi="ar-SA"/>
        </w:rPr>
        <w:t xml:space="preserve">. </w:t>
      </w:r>
      <w:bookmarkStart w:id="365" w:name="pg7540_66747"/>
    </w:p>
    <w:p>
      <w:pPr>
        <w:pStyle w:val="BookText"/>
        <w:rPr/>
      </w:pPr>
      <w:bookmarkEnd w:id="365"/>
      <w:r>
        <w:rPr>
          <w:rFonts w:ascii="Amiri" w:hAnsi="Amiri" w:eastAsia="Amiri" w:cs="Amiri"/>
          <w:color w:val="111111"/>
          <w:sz w:val="28"/>
          <w:sz w:val="28"/>
          <w:szCs w:val="28"/>
          <w:rtl w:val="true"/>
          <w:lang w:bidi="ar-SA"/>
        </w:rPr>
        <w:t>نعم، يمكن أن يقال بوجود بعض المحاذير التي قد تجعل ممنوعية لسان الحال واضحة، أو تجعل قيوداً عديدة للحاكمين بالجواز</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792952_1051229030"/>
      <w:bookmarkStart w:id="367" w:name="_Toc132"/>
      <w:bookmarkEnd w:id="366"/>
      <w:r>
        <w:rPr>
          <w:rtl w:val="true"/>
        </w:rPr>
        <w:t>الرأي المختار في المسألة</w:t>
      </w:r>
      <w:bookmarkEnd w:id="367"/>
    </w:p>
    <w:p>
      <w:pPr>
        <w:pStyle w:val="BookText"/>
        <w:rPr/>
      </w:pPr>
      <w:r>
        <w:rPr>
          <w:rFonts w:ascii="Amiri" w:hAnsi="Amiri" w:eastAsia="Amiri" w:cs="Amiri"/>
          <w:color w:val="111111"/>
          <w:sz w:val="28"/>
          <w:sz w:val="28"/>
          <w:szCs w:val="28"/>
          <w:rtl w:val="true"/>
          <w:lang w:bidi="ar-SA"/>
        </w:rPr>
        <w:t xml:space="preserve">نقلنا فيما سبق فتاوى بعض الأعلام المجوّزين للسان الحال، وهم وإن اتفقوا على الجواز، إلّا أنّهم اختلفوا في عدد الشروط المجيزة للسان الحال، فذهب السيّد الخوئي إلى الجواز بشرط واحد، وذهب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الجواز بثلاثة شروط كما ذكرنا آنفا، فما هو الصحيح في المقام؟</w:t>
      </w:r>
    </w:p>
    <w:p>
      <w:pPr>
        <w:pStyle w:val="BookText"/>
        <w:rPr/>
      </w:pPr>
      <w:r>
        <w:rPr>
          <w:rFonts w:ascii="Amiri" w:hAnsi="Amiri" w:eastAsia="Amiri" w:cs="Amiri"/>
          <w:color w:val="111111"/>
          <w:sz w:val="28"/>
          <w:sz w:val="28"/>
          <w:szCs w:val="28"/>
          <w:rtl w:val="true"/>
          <w:lang w:bidi="ar-SA"/>
        </w:rPr>
        <w:t>إنّ الذي نراه صحيحاً في المقام هو مشروعيّة لسان الحال بشروط أربعة،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الشاعر أو الكاتب بدوالٍّ لفظيّة أو مقاميّة، تجعل المستمع يعلم أو يطمئن أنّ هذا القول بلسان الحال، لا بلسان المقال، وهذا الشرط نابع من لزوم دفع الإيهام عن المستمع بأنّ ما يقال ليس لسان مقال؛ حتى لا يدخل في إطار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الدلائل اللفظيّة تضمين الكلام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غيرها من الدوال اللفظيّة أو المقاميّة، أو قول الشاعر قبل القصيدة بأنّ لسان حال فلان كذا وكذا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التعبير واضح في قصيدة دعبل الخزاعي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فاطم لو خلتي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أورد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كدالّ لفظيّ على كون التصوير افتراضيّاً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حضوراً فعليّاً، وكلاماً مقاليّاً من قِبل الزهراء عَلیهاالسَلام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المضامين النثريّة أو الشعريّة مناسبة لحال أو شأن أو مقام المقول عن لسانه، فلو نَقل المتكلّم لسان حال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أن يبتعد عن كلّ ما يَمسُّ المعصوم، من جهة عقديّة أو فقهيّة أو أخلاقيّة؛ وذلك لحرمة إسناد ما ينافي هذه الأُمور للإمام المعصوم، بل حتى لغير المعصوم من الأشخاص الذين لهم منزلة دينية، أو قداسة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الأديب مطلعاً على تأريخ الحوادث والشخصيّات، وكذا على أقوالهم؛ بحيث يَحصل له وثوق أو اطمئنان بأنّ لسان حالهم هكذا، أمّا لو كان لا علم له بالأحداث أو الشخصيّات التي يريد تصويرها، فكيف يصوّر لسان حالها وهي مجهولة الحال والمقال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أصلاً تأريخيّاً، أو فقهيّاً،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في بحث منهج النقل في العدد السابق من هذه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الشاعر مادّةً أوليّةً ويَبني عليها لسان الحال، لا أن يكون لسان حاله مبنيّاً على شيء لا واقع له،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الطفّ ومقتل الحسين أمر واقع، فعندما صوّره دعبل الخزاعي بلسان الحال، كان تصويراً لأمر حاصل بصورة 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هذه الشروط؛ قلنا بمشروعيّة لسان الحال في الأشعار التي تصوّر لنا لسان حال أصحابها، الذين تكلّم الشعراء عن لسانهم في واقعة الطّف وأشخاصها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يُقال باستحباب هكذا إنشاء للشعر؛ لكونه مشمولاً لأدلة استحباب إنشاء الشعر رثاءً ومدحاً في آل البيت علیهم السلام ونصرتهم؛ أو لأنّه مادّة إلقائيّة لكثير من الشعائر، كالخطابة الحسينيّة ومجالس الرثاء والعزاء، فيدخل بعنوان قاعدة الشعائر الحسينيّة التي بُحثت في محلها</w:t>
      </w:r>
      <w:r>
        <w:rPr>
          <w:rFonts w:eastAsia="IRNazanin" w:cs="IRNazanin"/>
          <w:color w:val="111111"/>
          <w:sz w:val="28"/>
          <w:szCs w:val="28"/>
          <w:rtl w:val="true"/>
          <w:lang w:bidi="fa-IR"/>
        </w:rPr>
        <w:t xml:space="preserve">. </w:t>
      </w:r>
      <w:bookmarkStart w:id="368" w:name="pg7540_66749"/>
    </w:p>
    <w:p>
      <w:pPr>
        <w:pStyle w:val="Heading4"/>
        <w:numPr>
          <w:ilvl w:val="3"/>
          <w:numId w:val="1"/>
        </w:numPr>
        <w:rPr/>
      </w:pPr>
      <w:bookmarkStart w:id="369" w:name="__RefHeading___Toc2792954_1051229030"/>
      <w:bookmarkStart w:id="370" w:name="_Toc133"/>
      <w:bookmarkEnd w:id="368"/>
      <w:bookmarkEnd w:id="369"/>
      <w:r>
        <w:rPr>
          <w:rtl w:val="true"/>
        </w:rPr>
        <w:t>مثالان تطبيقيان</w:t>
      </w:r>
      <w:bookmarkEnd w:id="370"/>
    </w:p>
    <w:p>
      <w:pPr>
        <w:pStyle w:val="Heading5"/>
        <w:numPr>
          <w:ilvl w:val="4"/>
          <w:numId w:val="1"/>
        </w:numPr>
        <w:rPr/>
      </w:pPr>
      <w:bookmarkStart w:id="371" w:name="__RefHeading___Toc2792956_1051229030"/>
      <w:bookmarkStart w:id="372" w:name="_Toc134"/>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 xml:space="preserve">سننقل فيما يلي مقطعين شعريين، بوصفهما مثالين لِما تداوله الشعراء من الكلام بلسان الحال، وهما يحتويان على شروط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الأُسلوب البلاغيّ التصويريّ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ذكرناها</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792958_1051229030"/>
      <w:bookmarkStart w:id="374" w:name="_Toc135"/>
      <w:bookmarkEnd w:id="373"/>
      <w:r>
        <w:rPr>
          <w:rtl w:val="true"/>
        </w:rPr>
        <w:t>المثال الأول</w:t>
      </w:r>
      <w:bookmarkEnd w:id="374"/>
    </w:p>
    <w:p>
      <w:pPr>
        <w:pStyle w:val="BookText"/>
        <w:rPr/>
      </w:pPr>
      <w:r>
        <w:rPr>
          <w:rFonts w:ascii="IRNazanin" w:hAnsi="IRNazanin" w:eastAsia="IRNazanin"/>
          <w:color w:val="111111"/>
          <w:sz w:val="28"/>
          <w:sz w:val="28"/>
          <w:szCs w:val="28"/>
          <w:rtl w:val="true"/>
          <w:lang w:bidi="fa-IR"/>
        </w:rPr>
        <w:t>قول الشاعر مصوراً لسان حال الإمام الحسين عَلیه السَلام مخاطباً أبا الفضل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كَبْشَ كَتيبَتِي وكنَانَتي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وسَرِيَّ قَومِي بَل أعَزَّ حُصُونِي</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في كُلِّ مُعتَركٍ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وَسَيفُ حِمَايَتِي بِيَمِينِي</w:t>
      </w:r>
    </w:p>
    <w:p>
      <w:pPr>
        <w:pStyle w:val="BookText"/>
        <w:rPr/>
      </w:pPr>
      <w:r>
        <w:rPr>
          <w:rFonts w:ascii="Amiri" w:hAnsi="Amiri" w:eastAsia="Amiri" w:cs="Amiri"/>
          <w:color w:val="111111"/>
          <w:sz w:val="28"/>
          <w:sz w:val="28"/>
          <w:szCs w:val="28"/>
          <w:rtl w:val="true"/>
          <w:lang w:bidi="ar-SA"/>
        </w:rPr>
        <w:t>لِمَن الِلوا أُعطِي وَمَنْ هوَ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شَملِي وفي ضَنَكِ الزِحَامِ يَقيِنِي</w:t>
      </w:r>
    </w:p>
    <w:p>
      <w:pPr>
        <w:pStyle w:val="BookText"/>
        <w:rPr/>
      </w:pP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 الأقْرَانِ حَامِلَ رايتِي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ورُواقَ أَخبِيَتِي وبَابَ شُؤونِي</w:t>
      </w:r>
    </w:p>
    <w:p>
      <w:pPr>
        <w:pStyle w:val="BookText"/>
        <w:rPr/>
      </w:pPr>
      <w:r>
        <w:rPr>
          <w:rFonts w:ascii="Amiri" w:hAnsi="Amiri" w:eastAsia="Amiri" w:cs="Amiri"/>
          <w:color w:val="111111"/>
          <w:sz w:val="28"/>
          <w:sz w:val="28"/>
          <w:szCs w:val="28"/>
          <w:rtl w:val="true"/>
          <w:lang w:bidi="ar-SA"/>
        </w:rPr>
        <w:t>عباسُ تَسمَعُ زَينبَاً تَدعوُكَ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حِمايَ إذا العِدَى نَهرُونِي</w:t>
      </w:r>
    </w:p>
    <w:p>
      <w:pPr>
        <w:pStyle w:val="BookText"/>
        <w:rPr/>
      </w:pPr>
      <w:r>
        <w:rPr>
          <w:rFonts w:ascii="Amiri" w:hAnsi="Amiri" w:eastAsia="Amiri" w:cs="Amiri"/>
          <w:color w:val="111111"/>
          <w:sz w:val="28"/>
          <w:sz w:val="28"/>
          <w:szCs w:val="28"/>
          <w:rtl w:val="true"/>
          <w:lang w:bidi="ar-SA"/>
        </w:rPr>
        <w:t>أَوَلَسْتَ تَسمَعُ مَا تقولُ 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عَمَّاهُ يومَ الأسْرِ مَن يَحمِينِي</w:t>
      </w:r>
      <w:r>
        <w:rPr>
          <w:rStyle w:val="FootnoteAnchor"/>
          <w:rtl w:val="true"/>
        </w:rPr>
        <w:footnoteReference w:id="317"/>
      </w:r>
    </w:p>
    <w:p>
      <w:pPr>
        <w:pStyle w:val="Heading5"/>
        <w:numPr>
          <w:ilvl w:val="4"/>
          <w:numId w:val="1"/>
        </w:numPr>
        <w:rPr/>
      </w:pPr>
      <w:bookmarkStart w:id="375" w:name="__RefHeading___Toc2792960_1051229030"/>
      <w:bookmarkStart w:id="376" w:name="_Toc136"/>
      <w:bookmarkEnd w:id="375"/>
      <w:r>
        <w:rPr>
          <w:rtl w:val="true"/>
        </w:rPr>
        <w:t>المثال الثاني</w:t>
      </w:r>
      <w:bookmarkEnd w:id="376"/>
    </w:p>
    <w:p>
      <w:pPr>
        <w:pStyle w:val="BookText"/>
        <w:rPr/>
      </w:pPr>
      <w:r>
        <w:rPr>
          <w:rFonts w:ascii="IRNazanin" w:hAnsi="IRNazanin" w:eastAsia="IRNazanin"/>
          <w:color w:val="111111"/>
          <w:sz w:val="28"/>
          <w:sz w:val="28"/>
          <w:szCs w:val="28"/>
          <w:rtl w:val="true"/>
          <w:lang w:bidi="fa-IR"/>
        </w:rPr>
        <w:t xml:space="preserve">قول الشاعر مصوراً لسان حال السيّدة زينب عَلیهاالسَلام مخاطبة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والدمع من ذكر الفراق يسيلُ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قد قطعت قلبي 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 تزولُ </w:t>
      </w:r>
    </w:p>
    <w:p>
      <w:pPr>
        <w:pStyle w:val="BookText"/>
        <w:rPr/>
      </w:pPr>
      <w:r>
        <w:rPr>
          <w:rFonts w:ascii="Amiri" w:hAnsi="Amiri" w:eastAsia="Amiri" w:cs="Amiri"/>
          <w:color w:val="111111"/>
          <w:sz w:val="28"/>
          <w:sz w:val="28"/>
          <w:szCs w:val="28"/>
          <w:rtl w:val="true"/>
          <w:lang w:bidi="ar-SA"/>
        </w:rPr>
        <w:t>فلِمَن تنادي والحماة على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رعى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لا يُبلُّ غليلُ</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الخيام وقد تفانا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w:t>
      </w:r>
    </w:p>
    <w:p>
      <w:pPr>
        <w:pStyle w:val="BookText"/>
        <w:rPr/>
      </w:pPr>
      <w:r>
        <w:rPr>
          <w:rFonts w:ascii="Amiri" w:hAnsi="Amiri" w:eastAsia="Amiri" w:cs="Amiri"/>
          <w:color w:val="111111"/>
          <w:sz w:val="28"/>
          <w:sz w:val="28"/>
          <w:szCs w:val="28"/>
          <w:rtl w:val="true"/>
          <w:lang w:bidi="ar-SA"/>
        </w:rPr>
        <w:t>أرأي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 لشقيقها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 المنون ولا حمىً وكفيلُ</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تبادرت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الدموع وقال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 فالمصاب جليلُ</w:t>
      </w:r>
    </w:p>
    <w:p>
      <w:pPr>
        <w:pStyle w:val="BookText"/>
        <w:rPr/>
      </w:pPr>
      <w:r>
        <w:rPr>
          <w:rFonts w:ascii="Amiri" w:hAnsi="Amiri" w:eastAsia="Amiri" w:cs="Amiri"/>
          <w:color w:val="111111"/>
          <w:sz w:val="28"/>
          <w:sz w:val="28"/>
          <w:szCs w:val="28"/>
          <w:rtl w:val="true"/>
          <w:lang w:bidi="ar-SA"/>
        </w:rPr>
        <w:t>فبكت وقالت يا بن أُمي ليس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ما الصبر الجميل جميلُ</w:t>
      </w:r>
    </w:p>
    <w:p>
      <w:pPr>
        <w:pStyle w:val="BookText"/>
        <w:rPr/>
      </w:pPr>
      <w:r>
        <w:rPr>
          <w:rFonts w:ascii="Amiri" w:hAnsi="Amiri" w:eastAsia="Amiri" w:cs="Amiri"/>
          <w:color w:val="111111"/>
          <w:sz w:val="28"/>
          <w:sz w:val="28"/>
          <w:szCs w:val="28"/>
          <w:rtl w:val="true"/>
          <w:lang w:bidi="ar-SA"/>
        </w:rPr>
        <w:t>يا نور عيني يا حشاشة مُهجتي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للنساء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ائعات دليلُ</w:t>
      </w:r>
    </w:p>
    <w:p>
      <w:pPr>
        <w:pStyle w:val="BookText"/>
        <w:rPr/>
      </w:pPr>
      <w:r>
        <w:rPr>
          <w:rFonts w:ascii="Amiri" w:hAnsi="Amiri" w:eastAsia="Amiri" w:cs="Amiri"/>
          <w:color w:val="111111"/>
          <w:sz w:val="28"/>
          <w:sz w:val="28"/>
          <w:szCs w:val="28"/>
          <w:rtl w:val="true"/>
          <w:lang w:bidi="ar-SA"/>
        </w:rPr>
        <w:t>ورن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نحو الخيام بعولة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عظمى تصب الدمع وهي تقولُ</w:t>
      </w:r>
    </w:p>
    <w:p>
      <w:pPr>
        <w:pStyle w:val="BookText"/>
        <w:rPr/>
      </w:pPr>
      <w:r>
        <w:rPr>
          <w:rFonts w:ascii="Amiri" w:hAnsi="Amiri" w:eastAsia="Amiri" w:cs="Amiri"/>
          <w:color w:val="111111"/>
          <w:sz w:val="28"/>
          <w:sz w:val="28"/>
          <w:szCs w:val="28"/>
          <w:rtl w:val="true"/>
          <w:lang w:bidi="ar-SA"/>
        </w:rPr>
        <w:t>قوموا إلى التوديع إن أخي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واده إن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p>
    <w:p>
      <w:pPr>
        <w:pStyle w:val="BookText"/>
        <w:rPr/>
      </w:pPr>
      <w:r>
        <w:rPr>
          <w:rFonts w:ascii="Amiri" w:hAnsi="Amiri" w:eastAsia="Amiri" w:cs="Amiri"/>
          <w:color w:val="111111"/>
          <w:sz w:val="28"/>
          <w:sz w:val="28"/>
          <w:szCs w:val="28"/>
          <w:rtl w:val="true"/>
          <w:lang w:bidi="ar-SA"/>
        </w:rPr>
        <w:t>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العليل وقد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لوداع تسيلُ</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من ذكر الوداع نحولُ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دموع بوادر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للوصول إلى الحسين سبيلُ</w:t>
      </w:r>
      <w:r>
        <w:rPr>
          <w:rStyle w:val="FootnoteAnchor"/>
          <w:rtl w:val="true"/>
        </w:rPr>
        <w:footnoteReference w:id="31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7540_66752"/>
      <w:bookmarkStart w:id="378" w:name="pg7540_66752"/>
      <w:bookmarkEnd w:id="378"/>
    </w:p>
    <w:p>
      <w:pPr>
        <w:pStyle w:val="Heading3"/>
        <w:numPr>
          <w:ilvl w:val="2"/>
          <w:numId w:val="1"/>
        </w:numPr>
        <w:rPr/>
      </w:pPr>
      <w:bookmarkStart w:id="379" w:name="pg7540_66752"/>
      <w:bookmarkStart w:id="380" w:name="__RefHeading___Toc2792962_1051229030"/>
      <w:bookmarkStart w:id="381" w:name="_Toc137"/>
      <w:bookmarkEnd w:id="379"/>
      <w:bookmarkEnd w:id="380"/>
      <w:r>
        <w:rPr>
          <w:rtl w:val="true"/>
        </w:rPr>
        <w:t>وُجُوب زِیَارَة الاِمَامِ الحُسَيْن عَلیه السَّلام</w:t>
      </w:r>
      <w:bookmarkEnd w:id="381"/>
    </w:p>
    <w:p>
      <w:pPr>
        <w:pStyle w:val="Heading4"/>
        <w:numPr>
          <w:ilvl w:val="3"/>
          <w:numId w:val="1"/>
        </w:numPr>
        <w:rPr/>
      </w:pPr>
      <w:bookmarkStart w:id="382" w:name="__RefHeading___Toc2792964_1051229030"/>
      <w:bookmarkStart w:id="383" w:name="_Toc138"/>
      <w:bookmarkEnd w:id="382"/>
      <w:r>
        <w:rPr>
          <w:rtl w:val="true"/>
        </w:rPr>
        <w:t>القسم الثالث الشيخ رافد عساف التميمي</w:t>
      </w:r>
      <w:bookmarkEnd w:id="383"/>
    </w:p>
    <w:p>
      <w:pPr>
        <w:pStyle w:val="Heading5"/>
        <w:numPr>
          <w:ilvl w:val="4"/>
          <w:numId w:val="1"/>
        </w:numPr>
        <w:rPr/>
      </w:pPr>
      <w:bookmarkStart w:id="384" w:name="__RefHeading___Toc2792966_1051229030"/>
      <w:bookmarkStart w:id="385" w:name="_Toc139"/>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تقدم الكلام في مقالين سابقين حول الروايات الدالّة على وجوب زيارة الإمام الحسين عَلیه السَلام بقسميها،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بالصراحة، وما دلَّ بالظهور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من خلال البحث في دلالات وأسانيد تلك الروايات أنّ أكثرها له دلالة واضحة وصريحة على الوجوب، كما أنّ أسانيدها لها من القوة والوثاقة ما يجعل النفس تطمئن بصدورها عن الأئمة المعصومين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وصل الكلام بنا إلى اقتطاف الثمرة النهائية من تلك الأبحاث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نحكم بوجوب الزيارة بمجرد ما تقدم من الروايات، أو أنّه تُوجد موانع أُخرى في طريق ذلك الحكم؟ فلا بُدَّ إذاً من بحث الإشكالات والعقبات المحتملة التي يمكن أن تمنع القول بالوجوب، والوقوف عندها بشكل علمي دقيق؛ حتى يمكن الاعتماد على النتائج المستخلصة من الروايات المتقدمة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تمَّ دفع تلك الإشكالات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أقل بناءً على قول مَن لا يرى ورود تلك الإشكالات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بحث حدود الوجوب الذي أثبتته الروايات المتقدمة بقسميها الصريح والظاهر</w:t>
      </w:r>
      <w:r>
        <w:rPr>
          <w:rFonts w:eastAsia="Amiri" w:cs="Amiri" w:ascii="Amiri" w:hAnsi="Amiri"/>
          <w:color w:val="111111"/>
          <w:sz w:val="28"/>
          <w:szCs w:val="28"/>
          <w:rtl w:val="true"/>
          <w:lang w:bidi="ar-SA"/>
        </w:rPr>
        <w:t xml:space="preserve">. </w:t>
      </w:r>
      <w:bookmarkStart w:id="386" w:name="pg7540_66753"/>
    </w:p>
    <w:p>
      <w:pPr>
        <w:pStyle w:val="Heading5"/>
        <w:numPr>
          <w:ilvl w:val="4"/>
          <w:numId w:val="1"/>
        </w:numPr>
        <w:rPr/>
      </w:pPr>
      <w:bookmarkStart w:id="387" w:name="__RefHeading___Toc2792968_1051229030"/>
      <w:bookmarkStart w:id="388" w:name="_Toc140"/>
      <w:bookmarkEnd w:id="386"/>
      <w:bookmarkEnd w:id="387"/>
      <w:r>
        <w:rPr>
          <w:rtl w:val="true"/>
        </w:rPr>
        <w:t>بحث التواتر</w:t>
      </w:r>
      <w:r>
        <w:rPr>
          <w:rtl w:val="true"/>
        </w:rPr>
        <w:t>:</w:t>
      </w:r>
      <w:bookmarkEnd w:id="388"/>
    </w:p>
    <w:p>
      <w:pPr>
        <w:pStyle w:val="BookText"/>
        <w:rPr/>
      </w:pPr>
      <w:r>
        <w:rPr>
          <w:rFonts w:ascii="Amiri" w:hAnsi="Amiri" w:eastAsia="Amiri" w:cs="Amiri"/>
          <w:color w:val="111111"/>
          <w:sz w:val="28"/>
          <w:sz w:val="28"/>
          <w:szCs w:val="28"/>
          <w:rtl w:val="true"/>
          <w:lang w:bidi="ar-SA"/>
        </w:rPr>
        <w:t>وقبل الدخول في الإشكالات، من المناسب أن نُشير إلى مطلب تواتر تلك الأخبار، فهل يمكن أن ندّعي أنّ روايات الوجوب متواترة؛ بحيث تكون غنية عن البحث السندي، أو ليست كذلك؟</w:t>
      </w:r>
    </w:p>
    <w:p>
      <w:pPr>
        <w:pStyle w:val="BookText"/>
        <w:rPr/>
      </w:pPr>
      <w:r>
        <w:rPr>
          <w:rFonts w:ascii="Amiri" w:hAnsi="Amiri" w:eastAsia="Amiri" w:cs="Amiri"/>
          <w:color w:val="111111"/>
          <w:sz w:val="28"/>
          <w:sz w:val="28"/>
          <w:szCs w:val="28"/>
          <w:rtl w:val="true"/>
          <w:lang w:bidi="ar-SA"/>
        </w:rPr>
        <w:t>وهذا البحث وإن كان الأنسب أن يُدرج ضمن الأبحاث السندية وطرق إثبات الصدور، إلّا أنّه باعتبار شموله لجميع الروايات، وقد قسمناها إلى قسمين مستقلين؛ لذلك ارتأينا إفراد هذا البحث عن كلا القسمين، وإدراجه ضمن هذه الأبحاث في هذا القسم من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عرّفه علماء الأُصول 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امتناع التواطئ على الكذب، وهو على ثلاثة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تتحد ألفاظ الروايات بحيث يكون المنقول أمراً واحداً لفظاً ومعنىً، وهذا لا مجال للقول به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تحقُّق ذلك فيما نقلناه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القطع بصدور إحدى الروايات لا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للقول به لعدم المحصّل منه؛ لأنّه إمّا أن يرجع إلى التواتر المعنوي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اشتراك الروايات في معنى واحد، والكلام في إمكان تحقُّق هذا النوع من التواتر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نُقلت هذه الأخبار عن أربعة من الأئمة علیهم السلام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والإمام الباقر، والإمام الصادق، والإمام موسى الكاظم علیهم السلام </w:t>
      </w:r>
      <w:r>
        <w:rPr>
          <w:rFonts w:eastAsia="IRNazanin" w:cs="IRNazanin"/>
          <w:color w:val="111111"/>
          <w:sz w:val="28"/>
          <w:szCs w:val="28"/>
          <w:rtl w:val="true"/>
          <w:lang w:bidi="fa-IR"/>
        </w:rPr>
        <w:t xml:space="preserve">. </w:t>
      </w:r>
      <w:bookmarkStart w:id="389" w:name="pg7540_66754"/>
    </w:p>
    <w:p>
      <w:pPr>
        <w:pStyle w:val="BookText"/>
        <w:rPr/>
      </w:pPr>
      <w:bookmarkEnd w:id="389"/>
      <w:r>
        <w:rPr>
          <w:rFonts w:ascii="Amiri" w:hAnsi="Amiri" w:eastAsia="Amiri" w:cs="Amiri"/>
          <w:color w:val="111111"/>
          <w:sz w:val="28"/>
          <w:sz w:val="28"/>
          <w:szCs w:val="28"/>
          <w:rtl w:val="true"/>
          <w:lang w:bidi="ar-SA"/>
        </w:rPr>
        <w:t xml:space="preserve">وقد روى عنهم هذه الأحاديث مجموعة من الأصحاب يبلغ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الأجلّاء،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وصفوان الجمّال، ومحمد بن أبي عمير، وأبي أيوب الخزاز،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تتكثر الطبقات إلى أن تصل إلى أصحاب الكتب والمؤلفات التي اشتُهرت وعُرفت وذاعت، والتي نقلنا عنها هذه الروايات، وهي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والأمالي والمقنعة للشيخ الصدوق، وكامل الزيارات لابن قولويه، والتهذيب للشيخ الطوسي، ومسار الشيعة والمزار والإرشاد للشيخ المفيد، والمزار لمحمد بن المشهدي، وروضة الواعظين للفتال النيسابوري، ونوادر علي بن أسباط ضمن الأُصول الستة عشر، إلى غير ذلك من المصادر التي أرسلت تلك الروايات إرسال المسلَّمات، أو نقلتها عن مصادر أُخرى، إلى أن استمر النقل في الموسوعات الحديثية وغيرها، إلى يومنا هذا</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2792970_1051229030"/>
      <w:bookmarkStart w:id="391" w:name="_Toc141"/>
      <w:bookmarkEnd w:id="390"/>
      <w:r>
        <w:rPr>
          <w:rtl w:val="true"/>
        </w:rPr>
        <w:t>إشكال وجواب</w:t>
      </w:r>
      <w:r>
        <w:rPr>
          <w:rtl w:val="true"/>
        </w:rPr>
        <w:t>:</w:t>
      </w:r>
      <w:bookmarkEnd w:id="391"/>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يصعب إحراز التواتر في طبقة المؤلفين؛ وذلك لإمكان تواطئهم على الكذب، حيث إنّ العقل لا يمنع من التواطئ على ذلك ما دام الناقلون لهم ثقافة واحدة، وتجمعهم مشتركات عديدة مشخَّصة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هذا الكلام وإن كان يبعد في حق أمثال هؤلاء الأجلّاء، إلّا أنّ شرط تحقق التواتر لا يمكن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الإجابة عن ذلك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الروايات قد اشتُهرت وذاعت وعُرفت في زمن أصحاب المؤلفات، بحيث يصعب جداً تحريفها وتزويرها والتلاعب بها، هذا بالإضافة إلى أنّ </w:t>
      </w:r>
      <w:bookmarkStart w:id="392" w:name="pg7540_66755"/>
    </w:p>
    <w:p>
      <w:pPr>
        <w:pStyle w:val="BookText"/>
        <w:rPr/>
      </w:pPr>
      <w:bookmarkEnd w:id="392"/>
      <w:r>
        <w:rPr>
          <w:rFonts w:ascii="Amiri" w:hAnsi="Amiri" w:eastAsia="Amiri" w:cs="Amiri"/>
          <w:color w:val="111111"/>
          <w:sz w:val="28"/>
          <w:sz w:val="28"/>
          <w:szCs w:val="28"/>
          <w:rtl w:val="true"/>
          <w:lang w:bidi="ar-SA"/>
        </w:rPr>
        <w:t>أزمان المؤلفين تختلف من حيث الوفاة وزمن التأليف؛ الأمر الذي يمنع من حصول الاتفاق فيما بينهم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قد يضرُّ بالتواتر من جهة أُخرى؛ حيث إنّ اتحاد الطبقة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نظرنا إلى مؤلفي تلك الكتب، وعرفنا منزلتهم وتقواهم وورعهم؛ فإنّ النفس تطمئن إلى عدم تواطئهم على الكذب، وتستبعد ذلك كل الاستبعاد، وهذا ما يُعبَّر عنه بالعامل الكيفي الذي يُسرِّع تحقُّق التواتر، فهو متحقّق هنا بأجلى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التواتر بهذه الكيفية يجزم به العقل الشيعي الإمامي الذي له معرفة خاصّة بأصحاب المؤلفات، لا مطلق العقول، فمَن لا يعرف هؤلاء المؤلفين، ولا يدري عن عقيدتهم وتاريخهم شيئاً، لا يمكن أن يُفرض عليه هكذا 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تواتر خاص لظروف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ومعه يحصل القطع بصدور المعنى المقصود إثباته من قِبَل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أنّه لا بُدَّ من الاقتصار على المعنى الذي تشترك فيه جميع الروايات، وهو الوجوب الظاهري لا النصّي؛ لعدم إحراز القطع بالوجوب النصّي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فمَن يعتقد بحصول التواتر من هذه الروايات، فالنتيجة واضحة عنده، ومَن لا يعتقد بذلك؛ ففي صحة الأسانيد وتمامية الدلالة الكفاية على المطلوب</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2792972_1051229030"/>
      <w:bookmarkStart w:id="394" w:name="_Toc142"/>
      <w:bookmarkEnd w:id="393"/>
      <w:r>
        <w:rPr>
          <w:rtl w:val="true"/>
        </w:rPr>
        <w:t>حدود الوجوب</w:t>
      </w:r>
      <w:r>
        <w:rPr>
          <w:rtl w:val="true"/>
        </w:rPr>
        <w:t>:</w:t>
      </w:r>
      <w:bookmarkEnd w:id="39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ثبت أصل الوجوب من خلال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بنا البحث إلى حدود الوجوب الذي تُثبته تلك الروايات؛ حيث إنّها قد تكون مختلفة في ذلك للوهلة الأُولى؛ لأنّ </w:t>
      </w:r>
      <w:bookmarkStart w:id="395" w:name="pg7540_66756"/>
    </w:p>
    <w:p>
      <w:pPr>
        <w:pStyle w:val="BookText"/>
        <w:rPr/>
      </w:pPr>
      <w:bookmarkEnd w:id="395"/>
      <w:r>
        <w:rPr>
          <w:rFonts w:ascii="Amiri" w:hAnsi="Amiri" w:eastAsia="Amiri" w:cs="Amiri"/>
          <w:color w:val="111111"/>
          <w:sz w:val="28"/>
          <w:sz w:val="28"/>
          <w:szCs w:val="28"/>
          <w:rtl w:val="true"/>
          <w:lang w:bidi="ar-SA"/>
        </w:rPr>
        <w:t>بعض تلك الروايات نصَّ على أنّ الزيارة واجبة في كل سنة مرّة، وبعضها نصَّ على أنّها في كل أربع سنوات مرَّة، وبعضها أنّها واجبة على نحو التكرار، وبعضها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أنحاء متعددة؛ تبعاً لمعطيات الروايات، أو القرائن الخارجية أو الداخلية المحيطة بالروايات، أو المُستنتجة من مجموعها؛ فلا بُدَّ أولاً من عرض طوائف الروايات، ثمّ بيان وجه الجمع فيما بينها</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2792974_1051229030"/>
      <w:bookmarkStart w:id="397" w:name="_Toc143"/>
      <w:bookmarkEnd w:id="396"/>
      <w:r>
        <w:rPr>
          <w:rtl w:val="true"/>
        </w:rPr>
        <w:t>الطائفة الأُولى</w:t>
      </w:r>
      <w:r>
        <w:rPr>
          <w:rtl w:val="true"/>
        </w:rPr>
        <w:t xml:space="preserve">: </w:t>
      </w:r>
      <w:r>
        <w:rPr>
          <w:rtl w:val="true"/>
        </w:rPr>
        <w:t>ما دلَّ على أصل الوجوب من دون تقييده بزمان أو عدد معين</w:t>
      </w:r>
      <w:bookmarkEnd w:id="397"/>
    </w:p>
    <w:p>
      <w:pPr>
        <w:pStyle w:val="BookText"/>
        <w:rPr/>
      </w:pP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يأتِ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يزعم أنّه لنا 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يموت؛ فليس هو لنا بشيعة، وإن كان من أهل الجنة، فهو من ضيفان أهل الجنّة</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أيضاً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أحدكم حجَّ دهره ثمّ لم يزر الحسين بن علي عَلیهِماالسَّلام ؛ لكان تاركاً حقّاً من حقوق رسول الله‘؛ لأنّ حقّ الحسين فريضة من الله تعالى واجبة على كل مسلم</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أبي جعفر محمد بن علي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شيعتنا بزيارة الحسين بن علي عَلیهِماالسَّلام ؛ فإنّ زيارته تدفع الهدم والغرق والحرق وأكل السبُع، وزيارته مُفترضة على مَن أقرَّ للحسين عَلیه السَلام بالإمامة من الله عز وجل</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أنّ مجموعة من هذه الروايات صحيحة السند</w:t>
      </w:r>
      <w:r>
        <w:rPr>
          <w:rFonts w:eastAsia="Amiri" w:cs="Amiri" w:ascii="Amiri" w:hAnsi="Amiri"/>
          <w:color w:val="111111"/>
          <w:sz w:val="28"/>
          <w:szCs w:val="28"/>
          <w:rtl w:val="true"/>
          <w:lang w:bidi="ar-SA"/>
        </w:rPr>
        <w:t xml:space="preserve">. </w:t>
      </w:r>
      <w:bookmarkStart w:id="398" w:name="pg7540_66757"/>
    </w:p>
    <w:p>
      <w:pPr>
        <w:pStyle w:val="Heading5"/>
        <w:numPr>
          <w:ilvl w:val="4"/>
          <w:numId w:val="1"/>
        </w:numPr>
        <w:rPr/>
      </w:pPr>
      <w:bookmarkStart w:id="399" w:name="__RefHeading___Toc2792976_1051229030"/>
      <w:bookmarkStart w:id="400" w:name="_Toc144"/>
      <w:bookmarkEnd w:id="398"/>
      <w:bookmarkEnd w:id="399"/>
      <w:r>
        <w:rPr>
          <w:rtl w:val="true"/>
        </w:rPr>
        <w:t>الطائفة الثانية</w:t>
      </w:r>
      <w:r>
        <w:rPr>
          <w:rtl w:val="true"/>
        </w:rPr>
        <w:t xml:space="preserve">: </w:t>
      </w:r>
      <w:r>
        <w:rPr>
          <w:rtl w:val="true"/>
        </w:rPr>
        <w:t>ما دلَّ على وجوب تكرار الزيارة</w:t>
      </w:r>
      <w:bookmarkEnd w:id="400"/>
    </w:p>
    <w:p>
      <w:pPr>
        <w:pStyle w:val="BookText"/>
        <w:rPr/>
      </w:pP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روته أُمُّ سعيد، عن أبي عبد الله عَلیه السَلام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سعيد، تزورين قبر الحسين؟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زوريه؛ فإنّ زيارة قبر الحسين واجبة على الرجال والنساء</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عَلیه السَلام أمر أُمَّ سعيد بالزيارة، وأوجبها على الجميع، مع أنّ أُمَّ سعيد أجابت بالإيجاب عندما سألها الإمام عَلیه السَلام عن ذلك، فلو لم يكن تكرار الزيارة واجباً لما وجّه عَلیه السَلام الأمر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أنّ هذه الرواية تامّةٌ سنداً</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792978_1051229030"/>
      <w:bookmarkStart w:id="402" w:name="_Toc145"/>
      <w:bookmarkEnd w:id="401"/>
      <w:r>
        <w:rPr>
          <w:rtl w:val="true"/>
        </w:rPr>
        <w:t>الطائفة الثالثة</w:t>
      </w:r>
      <w:r>
        <w:rPr>
          <w:rtl w:val="true"/>
        </w:rPr>
        <w:t xml:space="preserve">: </w:t>
      </w:r>
      <w:r>
        <w:rPr>
          <w:rtl w:val="true"/>
        </w:rPr>
        <w:t>ما دلَّ على وجوب الزيارة في كل أربع سنين مرّة</w:t>
      </w:r>
      <w:bookmarkEnd w:id="402"/>
    </w:p>
    <w:p>
      <w:pPr>
        <w:pStyle w:val="BookText"/>
        <w:rPr/>
      </w:pP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الناب،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زيارة قبر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تعدل عمرة، ولا ينبغي أن يُتخلّف عنه أكثر من أربع سنين</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يُصلّي عند قبر الحسين عَلیه السَلام أربعة آلاف ملك من طلوع الفجر إلى أن تغيب الشمس، ثمّ يصعدون وينزل مثلهم، فيُصلّون إلى طلوع الفجر، فلا ينبغي للمسلم أن يتخلّف عن زيارة قبره أكثر من أربع سنين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الرواية على المطلوب واضحة، نعم، كلا الروايتين ضعيفة السند</w:t>
      </w:r>
      <w:r>
        <w:rPr>
          <w:rFonts w:eastAsia="Amiri" w:cs="Amiri" w:ascii="Amiri" w:hAnsi="Amiri"/>
          <w:color w:val="111111"/>
          <w:sz w:val="28"/>
          <w:szCs w:val="28"/>
          <w:rtl w:val="true"/>
          <w:lang w:bidi="ar-SA"/>
        </w:rPr>
        <w:t xml:space="preserve">. </w:t>
      </w:r>
      <w:bookmarkStart w:id="403" w:name="pg7540_66758"/>
    </w:p>
    <w:p>
      <w:pPr>
        <w:pStyle w:val="Heading5"/>
        <w:numPr>
          <w:ilvl w:val="4"/>
          <w:numId w:val="1"/>
        </w:numPr>
        <w:rPr/>
      </w:pPr>
      <w:bookmarkStart w:id="404" w:name="__RefHeading___Toc2792980_1051229030"/>
      <w:bookmarkStart w:id="405" w:name="_Toc146"/>
      <w:bookmarkEnd w:id="403"/>
      <w:bookmarkEnd w:id="404"/>
      <w:r>
        <w:rPr>
          <w:rtl w:val="true"/>
        </w:rPr>
        <w:t>الطائفة الرابعة</w:t>
      </w:r>
      <w:r>
        <w:rPr>
          <w:rtl w:val="true"/>
        </w:rPr>
        <w:t xml:space="preserve">: </w:t>
      </w:r>
      <w:r>
        <w:rPr>
          <w:rtl w:val="true"/>
        </w:rPr>
        <w:t>ما دلَّ على وجوب الزيارة في كل سنة مرَّة</w:t>
      </w:r>
      <w:bookmarkEnd w:id="405"/>
    </w:p>
    <w:p>
      <w:pPr>
        <w:pStyle w:val="BookText"/>
        <w:rPr/>
      </w:pP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ائتوا قبر الحسين عَلیه السَلام في كل سنة مرَّة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زيارة قبر الحسين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السنة مرَّة، إنّي أكره الشهرة</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في هذه الطائفة واضحة الدلالة على المطلوب، وهي صحيحة السند</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2792982_1051229030"/>
      <w:bookmarkStart w:id="407" w:name="_Toc147"/>
      <w:bookmarkEnd w:id="406"/>
      <w:r>
        <w:rPr>
          <w:rtl w:val="true"/>
        </w:rPr>
        <w:t>الطائفة الخامسة</w:t>
      </w:r>
      <w:r>
        <w:rPr>
          <w:rtl w:val="true"/>
        </w:rPr>
        <w:t xml:space="preserve">: </w:t>
      </w:r>
      <w:r>
        <w:rPr>
          <w:rtl w:val="true"/>
        </w:rPr>
        <w:t>ما دلَّ على وجوب الزيارة على الغني في كل سنة مرتين وعلى الفقير في كل سنة مرة</w:t>
      </w:r>
      <w:bookmarkEnd w:id="407"/>
    </w:p>
    <w:p>
      <w:pPr>
        <w:pStyle w:val="BookText"/>
        <w:rPr/>
      </w:pP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الغني أن يأتي قبر الحسين عَلیه السَلام في السنة مرَّتين، وحقٌّ على الفقير أن يأتيه في السنة مرَّة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صحيحة السند</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2792984_1051229030"/>
      <w:bookmarkStart w:id="409" w:name="_Toc148"/>
      <w:bookmarkEnd w:id="408"/>
      <w:r>
        <w:rPr>
          <w:rtl w:val="true"/>
        </w:rPr>
        <w:t>الطائفة السادسة</w:t>
      </w:r>
      <w:r>
        <w:rPr>
          <w:rtl w:val="true"/>
        </w:rPr>
        <w:t xml:space="preserve">: </w:t>
      </w:r>
      <w:r>
        <w:rPr>
          <w:rtl w:val="true"/>
        </w:rPr>
        <w:t>ما دلَّ على وجوب الزيارة للقريب في كل شهر مرة والبعيد كل ثلاث سنوات مرة</w:t>
      </w:r>
      <w:bookmarkEnd w:id="40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أبي عبد الله عَلیه السَلام في حديث طويل،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يأتيه زائراً، </w:t>
      </w:r>
      <w:bookmarkStart w:id="410" w:name="pg7540_66759"/>
    </w:p>
    <w:p>
      <w:pPr>
        <w:pStyle w:val="BookText"/>
        <w:rPr/>
      </w:pPr>
      <w:bookmarkEnd w:id="410"/>
      <w:r>
        <w:rPr>
          <w:rFonts w:ascii="Amiri" w:hAnsi="Amiri" w:eastAsia="Amiri" w:cs="Amiri"/>
          <w:color w:val="111111"/>
          <w:sz w:val="28"/>
          <w:sz w:val="28"/>
          <w:szCs w:val="28"/>
          <w:rtl w:val="true"/>
          <w:lang w:bidi="ar-SA"/>
        </w:rPr>
        <w:t>ثمّ ينصرف عنه، متى يعود إليه؟ وفي كم يأتي؟ وكم يسع الناس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أكثر من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بعيد الدار، ففي كل ثلاث سنين، فما جاز ثلاث سنين فلم يأته؛ فقد عقَّ رسول الله ‘، وقطع حرمته، إلّا عن علّة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صحيحة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ستّة طوائف دلّت على الوجوب، إلّا أنّها اختلفت في تحديد فترة الوجوب التي على الزائر أن لا يتخطّاها؛ فلا بُدَّ من الجمع بين مداليل هذه الروايات</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2792986_1051229030"/>
      <w:bookmarkStart w:id="412" w:name="_Toc149"/>
      <w:bookmarkEnd w:id="411"/>
      <w:r>
        <w:rPr>
          <w:rtl w:val="true"/>
        </w:rPr>
        <w:t>الجمع بين الروايات</w:t>
      </w:r>
      <w:r>
        <w:rPr>
          <w:rtl w:val="true"/>
        </w:rPr>
        <w:t>:</w:t>
      </w:r>
      <w:bookmarkEnd w:id="412"/>
    </w:p>
    <w:p>
      <w:pPr>
        <w:pStyle w:val="BookText"/>
        <w:rPr/>
      </w:pPr>
      <w:r>
        <w:rPr>
          <w:rFonts w:ascii="Amiri" w:hAnsi="Amiri" w:eastAsia="Amiri" w:cs="Amiri"/>
          <w:color w:val="111111"/>
          <w:sz w:val="28"/>
          <w:sz w:val="28"/>
          <w:szCs w:val="28"/>
          <w:rtl w:val="true"/>
          <w:lang w:bidi="ar-SA"/>
        </w:rPr>
        <w:t>إنّ الطوائف المتقدمة من الروايات يمكن تقسيمها إلى قسمين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المطلقة التي صبَّت الوجوب على نفس الزيارة ولم تُقيّد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فإنّ الروايات المطلقة لا تُعارض الروايات المُقيّدة بتعارض مستقر، بل يمكن الجمع بينهما بحمل المطلق على المُقيّد، وهو أحد وجوه الجمع العرفي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المُقيّدة بشيء، وهي على نوعين أساسيين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المُقيَّدة بمجرد التكرار، كما في الطائفة الثانية المتقدمة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المقيَّدة بزمان مُعيَّن، كبقية الطوائف</w:t>
      </w:r>
      <w:r>
        <w:rPr>
          <w:rFonts w:eastAsia="Amiri" w:cs="Amiri" w:ascii="Amiri" w:hAnsi="Amiri"/>
          <w:color w:val="111111"/>
          <w:sz w:val="28"/>
          <w:szCs w:val="28"/>
          <w:rtl w:val="true"/>
          <w:lang w:bidi="ar-SA"/>
        </w:rPr>
        <w:t xml:space="preserve">. </w:t>
      </w:r>
      <w:bookmarkStart w:id="413" w:name="pg7540_66760"/>
    </w:p>
    <w:p>
      <w:pPr>
        <w:pStyle w:val="BookText"/>
        <w:rPr/>
      </w:pPr>
      <w:bookmarkEnd w:id="413"/>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وجوب التكرار لا يُعارض ما دلَّ على وجوب التكرار في أزمنة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منها مُقيّداً بزمان مُعيَّن، فهي على أربع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دلَّ على الوجوب في كل أربع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ضعف هذه الطائفة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الوجوب في كل سنة مرَّة، وما دلَّ على الوجوب لبعيد الدار كل ثلاث سنين، ولقريبها كل شهر، وما دلَّ على الوجوب في السنة مرَّتين للمُوسر ومرَّة للمُعسر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متعارضة فيما بينها، فإنّ ما دلَّ على وجوب الزيارة في كل أربع سنوات مرَّة يعارض ما دلَّ على الوجوب في كل سنة مرَّة، كما يعارض ما دلَّ على الوجوب للمُوسر في السنة مرَّتين وللمُعسر مرَّة، كما أنه يُعارض ما دلَّ على الوجوب في كل ثلاث سنوات لبعيد الدار وكل شهر للقريب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كل طائفة تُعارض بقية الطوائف، إمّا بالتباين، وإمّا بالعموم والخصوص من وجه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2792988_1051229030"/>
      <w:bookmarkStart w:id="415" w:name="_Toc150"/>
      <w:bookmarkEnd w:id="414"/>
      <w:r>
        <w:rPr>
          <w:rtl w:val="true"/>
        </w:rPr>
        <w:t>وجه للتوفيق بين الروايات</w:t>
      </w:r>
      <w:r>
        <w:rPr>
          <w:rtl w:val="true"/>
        </w:rPr>
        <w:t>:</w:t>
      </w:r>
      <w:bookmarkEnd w:id="415"/>
    </w:p>
    <w:p>
      <w:pPr>
        <w:pStyle w:val="Heading6"/>
        <w:numPr>
          <w:ilvl w:val="5"/>
          <w:numId w:val="1"/>
        </w:numPr>
        <w:rPr/>
      </w:pPr>
      <w:bookmarkStart w:id="416" w:name="__RefHeading___Toc2792990_1051229030"/>
      <w:bookmarkStart w:id="417" w:name="_Toc151"/>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إنّ هذه الطوائف المُقيّدة بزمان معين لا يمكن التمسّك بدلالة أحدها، حتى لو لم يكن هناك تعارض في البين؛ وذلك لأنّ التسالم الفقهي الإمامي قائم على عدم ثبوت وجوب الزيارة بأي نحوٍ من الأنحاء في هذه الطوائف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فالتمسك بإحداها لا يُجدي نفعاً، وبتبعه فالتدقيق أكثر في تعيين إحدى هذه الطوائف أيضاً لا يُجدي نفعاً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وجه يمكن قبوله بحيث ينسجم مع هذه الروايات، ولا </w:t>
      </w:r>
      <w:bookmarkStart w:id="418" w:name="pg7540_66761"/>
    </w:p>
    <w:p>
      <w:pPr>
        <w:pStyle w:val="BookText"/>
        <w:rPr/>
      </w:pPr>
      <w:bookmarkEnd w:id="418"/>
      <w:r>
        <w:rPr>
          <w:rFonts w:ascii="Amiri" w:hAnsi="Amiri" w:eastAsia="Amiri" w:cs="Amiri"/>
          <w:color w:val="111111"/>
          <w:sz w:val="28"/>
          <w:sz w:val="28"/>
          <w:szCs w:val="28"/>
          <w:rtl w:val="true"/>
          <w:lang w:bidi="ar-SA"/>
        </w:rPr>
        <w:t>يكون محطّاً لإعراض المشهور، ولا مخالفاً للتسالم الفقهي، وهذا الوجه يتشكل من خطوتين بمجموعهما يتضح المقصود من روايات الوجوب المتعارضة؛ وذلك لأنّ تلك الروايات احتوت على جهتين، بالإضافة إلى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الزيارة؛ فإنّ جميع تلك الروايات المُقيّدة بزمان مُعيّن تدلُّ على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زمان للزيارة الواجبة</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2792992_1051229030"/>
      <w:bookmarkStart w:id="420" w:name="_Toc152"/>
      <w:bookmarkEnd w:id="419"/>
      <w:r>
        <w:rPr>
          <w:rtl w:val="true"/>
        </w:rPr>
        <w:t>الخطوة الأُولى</w:t>
      </w:r>
      <w:r>
        <w:rPr>
          <w:rtl w:val="true"/>
        </w:rPr>
        <w:t>:</w:t>
      </w:r>
      <w:bookmarkEnd w:id="420"/>
    </w:p>
    <w:p>
      <w:pPr>
        <w:pStyle w:val="BookText"/>
        <w:rPr/>
      </w:pPr>
      <w:r>
        <w:rPr>
          <w:rFonts w:ascii="Amiri" w:hAnsi="Amiri" w:eastAsia="Amiri" w:cs="Amiri"/>
          <w:color w:val="111111"/>
          <w:sz w:val="28"/>
          <w:sz w:val="28"/>
          <w:szCs w:val="28"/>
          <w:rtl w:val="true"/>
          <w:lang w:bidi="ar-SA"/>
        </w:rPr>
        <w:t>إنّ مجموع تلك الروايات دلَّ على وجوب تكرار الزيارة، وهذا ينسجم تمام الانسجام مع الطائفة الثانية من روايات الوجوب، ولا يوجد أي إشكال في ذلك، ولا يوجد تسالم فقهي على خلافه، كما سيأتي بحثه عند التعرُّض لإشكال الإعراض</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2792994_1051229030"/>
      <w:bookmarkStart w:id="422" w:name="_Toc153"/>
      <w:bookmarkEnd w:id="421"/>
      <w:r>
        <w:rPr>
          <w:rtl w:val="true"/>
        </w:rPr>
        <w:t>الخطوة الثانية</w:t>
      </w:r>
      <w:r>
        <w:rPr>
          <w:rtl w:val="true"/>
        </w:rPr>
        <w:t>:</w:t>
      </w:r>
      <w:bookmarkEnd w:id="422"/>
    </w:p>
    <w:p>
      <w:pPr>
        <w:pStyle w:val="BookText"/>
        <w:rPr/>
      </w:pPr>
      <w:r>
        <w:rPr>
          <w:rFonts w:ascii="IRNazanin" w:hAnsi="IRNazanin" w:eastAsia="IRNazanin"/>
          <w:color w:val="111111"/>
          <w:sz w:val="28"/>
          <w:sz w:val="28"/>
          <w:szCs w:val="28"/>
          <w:rtl w:val="true"/>
          <w:lang w:bidi="fa-IR"/>
        </w:rPr>
        <w:t>إنّ هناك روايات عديدة دلَّت على حرمة جفاء الإمام الحسين عَلیه السَلام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سعد بن عبد الله، عن الحسن بن علي بن عبد الله بن المغيرة، عن العباس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حمزة، عن أبي الحسن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تجفوه، يأتيه المُوسر في كل أربعة أشهر، والمُعسر 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 هذا لعلي، أو لأبي ناب</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الروايات الصحيحة بهذا المضمون، والتي تقدَّم بحثها الدلالي والسندي في مقالٍ سابق</w:t>
      </w:r>
      <w:r>
        <w:rPr>
          <w:rFonts w:eastAsia="Amiri" w:cs="Amiri" w:ascii="Amiri" w:hAnsi="Amiri"/>
          <w:color w:val="111111"/>
          <w:sz w:val="28"/>
          <w:szCs w:val="28"/>
          <w:rtl w:val="true"/>
          <w:lang w:bidi="ar-SA"/>
        </w:rPr>
        <w:t xml:space="preserve">. </w:t>
      </w:r>
      <w:bookmarkStart w:id="423" w:name="pg7540_66762"/>
    </w:p>
    <w:p>
      <w:pPr>
        <w:pStyle w:val="BookText"/>
        <w:rPr/>
      </w:pPr>
      <w:bookmarkEnd w:id="423"/>
      <w:r>
        <w:rPr>
          <w:rFonts w:ascii="IRNazanin" w:hAnsi="IRNazanin" w:eastAsia="IRNazanin"/>
          <w:color w:val="111111"/>
          <w:sz w:val="28"/>
          <w:sz w:val="28"/>
          <w:szCs w:val="28"/>
          <w:rtl w:val="true"/>
          <w:lang w:bidi="fa-IR"/>
        </w:rPr>
        <w:t>فما دلّ على التقييد بزمان معين، محمول على القضية الخارجية التي يُعيّن فيها الإمام عَلیه السَلام المقدار الذي يجب على المكلف مراعاته حتى لا يتحقّق منه الجفاء؛ وذلك لأنّ الزيارة كما هي واجبة، فإنّ الجفاء أيضاً محرم، وتحديد الجفاء أمرٌ عرفي، يمكن أن يتغيَّر من زمانٍ إلى آخر، فما دلَّ على التقييد محمول على أقل المقدار الذي يتحقّق بتركه الجفاء، فنجد أنّ هذا المقدار تارة يكون بسنة، وأُخرى بثلاث سنوات، وثالثة بأربع،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يثبت أنّ أصل وجوب الزيارة وتكرارها مما اتفقت عليه جميع روايات الوجوب، وما اختصت به كل رواية من التقييد بزمانٍ مُعيّن محمولٌ على القضية الخارجية المحددة لمقدار تحقُّق الجفاء الذي بيَّنته روايات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تحمل وجوب الزيارة على مسألة الجفاء؛ فتكون الزيارة واجبة في فرض الجفاء لا مطلقاً، كما أفتى بذلك بعض العلماء؟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خلاف ظاهر الروايات لا يُصار إليه إلّامع عدم إمكان الأخذ بظاهر الرواية، فبدلاً من أن تُطرح الرواية تُحمل على معنى مقبول، وأما لو كان ظاهر الرواية لا يواجه أي مشكلة، فالأخذ به هو المتعين؛ لذلك عملنا بمثل هذا الظاهر في المقام، وحملنا ما كان ظاهراً بالتقييد بزمان معين على فرض الجفاء؛ لأنّ هذا الظاهر يُعارضه التسالم الفقهي والإعراض</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2792996_1051229030"/>
      <w:bookmarkStart w:id="425" w:name="_Toc154"/>
      <w:bookmarkEnd w:id="424"/>
      <w:r>
        <w:rPr>
          <w:rtl w:val="true"/>
        </w:rPr>
        <w:t>الجفاء النوعي والشخصي</w:t>
      </w:r>
      <w:r>
        <w:rPr>
          <w:rtl w:val="true"/>
        </w:rPr>
        <w:t>:</w:t>
      </w:r>
      <w:bookmarkEnd w:id="42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الهدف من هذه الدراسة تسليط الضوء على حرمة جفاء الإمام الحسين عَلیه السَلام بشكل تفصيلي، وإنّما ذكرنا ذلك استطراداً، وكأحد وجوه الجمع بين بعض مداليل الروايات، ولكن لا بأس بالإشارة إلى مطلب مهم ليس عن مبتغانا ببعيد، وهو أنّ </w:t>
      </w:r>
      <w:bookmarkStart w:id="426" w:name="pg7540_66763"/>
    </w:p>
    <w:p>
      <w:pPr>
        <w:pStyle w:val="BookText"/>
        <w:rPr/>
      </w:pPr>
      <w:bookmarkEnd w:id="426"/>
      <w:r>
        <w:rPr>
          <w:rFonts w:ascii="Amiri" w:hAnsi="Amiri" w:eastAsia="Amiri" w:cs="Amiri"/>
          <w:color w:val="111111"/>
          <w:sz w:val="28"/>
          <w:sz w:val="28"/>
          <w:szCs w:val="28"/>
          <w:rtl w:val="true"/>
          <w:lang w:bidi="ar-SA"/>
        </w:rPr>
        <w:t>الجفاء المحرَّم هل هو الجفاء الشخصي أو الجفاء النوعي؟</w:t>
      </w:r>
    </w:p>
    <w:p>
      <w:pPr>
        <w:pStyle w:val="BookText"/>
        <w:rPr/>
      </w:pPr>
      <w:r>
        <w:rPr>
          <w:rFonts w:ascii="IRNazanin" w:hAnsi="IRNazanin" w:eastAsia="IRNazanin"/>
          <w:color w:val="111111"/>
          <w:sz w:val="28"/>
          <w:sz w:val="28"/>
          <w:szCs w:val="28"/>
          <w:rtl w:val="true"/>
          <w:lang w:bidi="fa-IR"/>
        </w:rPr>
        <w:t>بمعنى لو أنّ ملايين الناس يذهبون إلى زيارة الإمام الحسين عَلیه السَلام باستمرار، وكان هناك شخص لا يزور، فهل يكون الجفاء متحقّقاً من ذلك الشخص أو لا يكون؟</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الجفاء نوعي، فهو غير متحقّق بحقِّ ذلك الفرد، وأمّا إن كان شخصياً، فهو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الرجوع إلى مدلول الروايات لتحديد ذلك؛ فإنّ بعضها يظهر منه الجفاء النوعي، وبعضها يظهر منه الجفاء الشخصي، إلّا أنّ ما صحَّ منها سنداً هو ما دلَّ على حرمة الجفاء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يؤكّد أنّ المقصود هو الجفاء النوعي ما ثبت من وجوب الزيارة مكرراً، فهي كافية في التحريك، والمنع من ترك الزيارة، وتكون حرمة الجفاء النوعي مُحفّزاً إضافياً للزيارة في حال تحقّقه؛ الأمر الذي لم يتحقّق منذ زمنٍ بعيد حتى في أشدّ الظروف وأقساها</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2792998_1051229030"/>
      <w:bookmarkStart w:id="428" w:name="_Toc155"/>
      <w:bookmarkEnd w:id="427"/>
      <w:r>
        <w:rPr>
          <w:rtl w:val="true"/>
        </w:rPr>
        <w:t>كيفية الزيارة</w:t>
      </w:r>
      <w:r>
        <w:rPr>
          <w:rtl w:val="true"/>
        </w:rPr>
        <w:t>:</w:t>
      </w:r>
      <w:bookmarkEnd w:id="428"/>
    </w:p>
    <w:p>
      <w:pPr>
        <w:pStyle w:val="BookText"/>
        <w:rPr/>
      </w:pPr>
      <w:r>
        <w:rPr>
          <w:rFonts w:ascii="Amiri" w:hAnsi="Amiri" w:eastAsia="Amiri" w:cs="Amiri"/>
          <w:color w:val="111111"/>
          <w:sz w:val="28"/>
          <w:sz w:val="28"/>
          <w:szCs w:val="28"/>
          <w:rtl w:val="true"/>
          <w:lang w:bidi="ar-SA"/>
        </w:rPr>
        <w:t>المقصود من كيفية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الزيارة الواجبة والتي تحتاج إلى تكرار؛ بحيث لا يتحقّق الجفاء بفعلها، هل هي عن قرب بحيث يكون الزائر عند القبر الشريف، أو تكفي حتّى الزيارة عن بُعد؟</w:t>
      </w:r>
    </w:p>
    <w:p>
      <w:pPr>
        <w:pStyle w:val="BookText"/>
        <w:rPr/>
      </w:pPr>
      <w:r>
        <w:rPr>
          <w:rFonts w:ascii="Amiri" w:hAnsi="Amiri" w:eastAsia="Amiri" w:cs="Amiri"/>
          <w:color w:val="111111"/>
          <w:sz w:val="28"/>
          <w:sz w:val="28"/>
          <w:szCs w:val="28"/>
          <w:rtl w:val="true"/>
          <w:lang w:bidi="ar-SA"/>
        </w:rPr>
        <w:t>إنّ المقصود من الزيارة هو الزيارة عن قرب، وعن حضور عند القبر الشريف؛ وذلك لعدّة أُمور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العرفي المنصرف من الزيارة هو الحضور عند المزار، والتواجد </w:t>
      </w:r>
    </w:p>
    <w:p>
      <w:pPr>
        <w:pStyle w:val="BookText"/>
        <w:rPr/>
      </w:pPr>
      <w:r>
        <w:rPr>
          <w:rFonts w:ascii="Amiri" w:hAnsi="Amiri" w:eastAsia="Amiri" w:cs="Amiri"/>
          <w:color w:val="111111"/>
          <w:sz w:val="28"/>
          <w:sz w:val="28"/>
          <w:szCs w:val="28"/>
          <w:rtl w:val="true"/>
          <w:lang w:bidi="ar-SA"/>
        </w:rPr>
        <w:t>الفعلي في الحضرة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أمرت بإتيان القبر والحضور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يأتِ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يزعم أنّه لنا 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يموت؛ فليس هو لنا بشيعة، وإن كان من أهل الجنة فهو مِن ضيفان أهل الجنّة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ابن قولويه في كامل الزيارات،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يأتِ قبر الحسين عَلیه السَلام من شيعتنا كان منتقص الإيمان، منتقص الدين، وإن دخل الجنّة كان دون المؤمنين في الجنّة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أيضاً، عن علي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أحدكم حجَّ ألف حجّة ثمّ لم يأتِ قبر الحسين بن علي عَلیهِماالسَّلام ؛ لكان قد ترك حقّاً من حقوق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الحسين عَلیه السَلام مفروض على كل مسلم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جميعها تدلُّ على لزوم الحضور عند القبر الشريف، ولا تكفي الزيارة عن بُعد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التي بيّنت كيفية زيارة الإمام الحسين عَلیه السَلام ، وشرحت كيفية ذلك بالغُسل والمشي والدعاء عنده، وكيفية الدخول والوقوف وتقبيل القبر ومكان </w:t>
      </w:r>
      <w:bookmarkStart w:id="429" w:name="pg7540_66765"/>
    </w:p>
    <w:p>
      <w:pPr>
        <w:pStyle w:val="BookText"/>
        <w:rPr/>
      </w:pPr>
      <w:bookmarkEnd w:id="429"/>
      <w:r>
        <w:rPr>
          <w:rFonts w:ascii="Amiri" w:hAnsi="Amiri" w:eastAsia="Amiri" w:cs="Amiri"/>
          <w:color w:val="111111"/>
          <w:sz w:val="28"/>
          <w:sz w:val="28"/>
          <w:szCs w:val="28"/>
          <w:rtl w:val="true"/>
          <w:lang w:bidi="ar-SA"/>
        </w:rPr>
        <w:t>الصلاة وما إلى ذلك، وهي روايات كثيرة مذكورة في محلّها، وهي جميعاً تدلُّ على أنّ الزيارة تكون بالحضور عند القبر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بيّنت كيفية الزيارة عن بُعد مع عدم إمكان التوصّل إلى القبر الشريف؛ فجعلتها في فرض مَن تعذّر عليه الحضور، وهي روايات عديدة أيضاً، وتدلُّ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المقصود من الزيارة هو الحضور عند القبر الشريف</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2793000_1051229030"/>
      <w:bookmarkStart w:id="431" w:name="_Toc156"/>
      <w:bookmarkEnd w:id="430"/>
      <w:r>
        <w:rPr>
          <w:rtl w:val="true"/>
        </w:rPr>
        <w:t>الإشكالات على القول بالوجوب</w:t>
      </w:r>
      <w:r>
        <w:rPr>
          <w:rtl w:val="true"/>
        </w:rPr>
        <w:t>:</w:t>
      </w:r>
      <w:bookmarkEnd w:id="431"/>
    </w:p>
    <w:p>
      <w:pPr>
        <w:pStyle w:val="Heading6"/>
        <w:numPr>
          <w:ilvl w:val="5"/>
          <w:numId w:val="1"/>
        </w:numPr>
        <w:rPr/>
      </w:pPr>
      <w:bookmarkStart w:id="432" w:name="__RefHeading___Toc2793002_1051229030"/>
      <w:bookmarkStart w:id="433" w:name="_Toc157"/>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هناك مجموعة من الإشكالات التي قد ترد على القول بالوجوب، وهي تُعتبر موانع بحدّ ذاتها؛ بحيث لا يمكن أن يُصار إلى القول بالوجوب ما لم تُحلّ تلك الإشكالات، وهي</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2793004_1051229030"/>
      <w:bookmarkStart w:id="435" w:name="_Toc158"/>
      <w:bookmarkEnd w:id="434"/>
      <w:r>
        <w:rPr>
          <w:rtl w:val="true"/>
        </w:rPr>
        <w:t>الإشكال الأول</w:t>
      </w:r>
      <w:r>
        <w:rPr>
          <w:rtl w:val="true"/>
        </w:rPr>
        <w:t xml:space="preserve">: </w:t>
      </w:r>
      <w:r>
        <w:rPr>
          <w:rtl w:val="true"/>
        </w:rPr>
        <w:t>الروايات التي تُعارض الوجوب</w:t>
      </w:r>
      <w:bookmarkEnd w:id="435"/>
    </w:p>
    <w:p>
      <w:pPr>
        <w:pStyle w:val="BookText"/>
        <w:rPr/>
      </w:pPr>
      <w:r>
        <w:rPr>
          <w:rFonts w:ascii="Amiri" w:hAnsi="Amiri" w:eastAsia="Amiri" w:cs="Amiri"/>
          <w:color w:val="111111"/>
          <w:sz w:val="28"/>
          <w:sz w:val="28"/>
          <w:szCs w:val="28"/>
          <w:rtl w:val="true"/>
          <w:lang w:bidi="ar-SA"/>
        </w:rPr>
        <w:t>هناك مجموعة من الروايات تعارض بظاهرها القول بالوجوب؛ لأنّ الظاهر منها هو استحباب الزيارة، والاستحباب يُنافي الوجوب، وهي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المساواة بين زيارة الإمام الحسين عَلیه السَلام وبين باقي الأئمة علیهم السلام ، أو مع زيارة غيرهم حتّى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بسندٍ معتبر،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محمد بن الحسن بن أحمد بن الوليد، عن سعد بن عبد الله، عن أحمد بن محمد، عن الحسن بن علي الوشاء، عن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قبر أبي مثل زيارة قبر الحسين عَلیه السَلام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رواه الشيخ الطوسي في التهذيب، بسندٍ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بن علي الوشاء، عن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زيارة قبر أبي الحسن عَلیه السَلام ، هل هي مثل زيارة قبر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الصدوق في ثواب الأعمال، بسندٍ صحيح عن الحسن بن علي الوشاء،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أتى قبر أحد الأئمة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مثل ما لِمَن أتى قبر أبي عبد الله عَلیه السَلام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الصدوق في ثواب الأعمال،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عمَّن دخل على أبي الحسن علي بن محمد الهادي عَلیهِماالسَّلام من أهل الرَّي،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العسكري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لو زرت قبر عبد العظيم عندكم؛ لكنت كمَن زار الحسين بن علي عَلیهِماالسَّلام </w:t>
      </w:r>
      <w:r>
        <w:rPr>
          <w:rFonts w:eastAsia="IRNazanin" w:cs="IRNazanin"/>
          <w:color w:val="111111"/>
          <w:sz w:val="28"/>
          <w:szCs w:val="28"/>
          <w:rtl w:val="true"/>
          <w:lang w:bidi="fa-IR"/>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ابن قولويه في الكامل</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الروايات جعلت زيارة الإمام الكاظم عَلیه السَلام ، وزيارة بقية الأئمة علیهم السلام كزيارة الإمام الحسين عَلیه السَلام ، بل جعلت زيارة السيد عبد العظيم الحسني كزيارة الإمام الحسين عَلیه السَلام ، مع أنّه من المتسالم عليه أنّ زيارة الإمام الكاظم عَلیه السَلام ، وكذا زيارة بقية الأئمة علیهم السلام ليست واجبة، فضلاً عن زيارة غيرهم علیهم السلام ؛ وعليه فما قُرن بها أيضاً غير واجب؛ فزيارة الإمام الحسين عَلیه السَلام غير واجبة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الإجابة عن هذا الإشكال بأُمور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زيارة الإمام الحسين عَلیه السَلام لها مراتب متعدّدة، وهي متفاوتة بالفضل، تبدأ من أقلّ الثواب إلى أن تصل إلى حدّ الوجوب والفرض، وهذه الروايات قارنت زيارة بقية الأئمة علیهم السلام بزيارة الإمام الحسين عَلیه السَلام بشكلٍ مطلق، وهو يتحقّق بأحد تلك المراتب لا بجميعها،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مُقيَّد بما دلَّ على وجوب زيارة الإمام الحسين عَلیه السَلام ؛ وبذلك يتبيَّن الفرق أيضاً بين زيارة السيد عبد العظيم وزيارة بقية الأئمة علیهم السلام ، فمجرَّد المقارنة لا يعني الوجوب ولا نفيه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زيارة السيد عبد العظيم مرسلة ولا تصلح للاستدلال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القول بالوجوب أيضاً في زيارة بقية الأئمة علیهم السلام ، إلّا أنّه ليس بالنحو الذي في زيارة الإمام الحسين عَلیه السَلام ، بل بنحوٍ آخر، وهو ما تقتضيه بعض الظروف الخارجية التي تُحتّم زيارة الأئمة علیهم السلام ؛ لأجل حفظ الدين من الاندراس، وحفظ بَيضة الإسلام من الضياع؛ ولأجل ذلك كانت المقارنة بين تلك الزيارات وزيارة الإمام الحسين عَلیه السَلام ، وهذا شبيه ما ذهب إليه بعض الفُضلاء في نفس زيارة الإمام الحسين عَلیه السَلام ، وكذا في زيارة الإمام الرضا عَلیه السَلام ، ونحن نوافقه في البعض لا الكل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سبب تفريقنا؛ فلِمَا تقدم من صراحة بعض روايات الوجوب بأنّها ممتدة في عمود الزمان وبالوجوب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مقدار الزيارة بيد الزائر متى شاء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قَبيل ما رواه ابن قولويه بسندٍ معتبر، عن العيص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لزيارة القبر صلاة مفروضة؟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صلاة 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في كم يوم يُزار؟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وجه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كانت الزيارة واجبة لما علّق الإمام عَلیه السَلام ذلك على مشيئة الزائر، بل لكان عليه عَلیه السَلام أن يُبلغه بأقل ما يسعه تركه، وخصوصاً أنّ الزائر يسأل عن المقدار المُفترض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هذا الإشكال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كان عن الأيام التي تكون فيها الزيارة، لا عن أصل الزيارة، ولا عن أصل تكرارها، بل السؤال عن تحديد الأيام التي تفترض فيها الزيارة، وهذان الأمران هما ما تقدم إثباته، فما ثبت ليس هو محل السؤال، وما هو محل السؤال ليس ما أثبتناه، بل مورد السؤال هو ما تقدّم، من أنّه يخضع للظروف الخارجية الوقتية، فلربما تكون سنة، وربما أربع سنوات، وربما أقل أو أكثر من ذلك، فالمشيئة في هذه الرواية تكون في خصوص مورد السؤال، ولا تتعدّى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كان عن الأيام لا عن مطلق الزمن، وهذا لا ينافي الروايات المتقدمة أصلاً؛ لأنّ أقلَّها كان في السنة مرَّتان، وحتى ما دلَّ على أنّ قريب الدار يزور في الشهر مرّة، غير ناظرة إلى الأيام أيضاً، بالإضافة إلى إمكان تقييدها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أفضلية زيارة الإمام الرضا عَلیه السَلام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قَبيل ما رواه الكليني بسندٍ صحيح، عن علي بن إبراهيم، عن أبيه، عن علي بن مهزيار،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الرضا عَلیه السَلام أفضل أم زيارة أبي عبد الله الحسين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أبي أفضل؛ وذلك أنّ أبا عبد الله عَلیه السَلام يزوره كل الناس، وأبي لا يزوره إلّا الخواصّ من الشيعة</w:t>
      </w:r>
      <w:r>
        <w:rPr>
          <w:rFonts w:eastAsia="IRNazanin" w:cs="IRNazanin"/>
          <w:color w:val="111111"/>
          <w:sz w:val="28"/>
          <w:szCs w:val="28"/>
          <w:rtl w:val="true"/>
          <w:lang w:bidi="fa-IR"/>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الطوسي </w:t>
      </w:r>
    </w:p>
    <w:p>
      <w:pPr>
        <w:pStyle w:val="BookText"/>
        <w:rPr/>
      </w:pPr>
      <w:r>
        <w:rPr>
          <w:rFonts w:ascii="Amiri" w:hAnsi="Amiri" w:eastAsia="Amiri" w:cs="Amiri"/>
          <w:color w:val="111111"/>
          <w:sz w:val="28"/>
          <w:sz w:val="28"/>
          <w:szCs w:val="28"/>
          <w:rtl w:val="true"/>
          <w:lang w:bidi="ar-SA"/>
        </w:rPr>
        <w:t>أيضاً</w:t>
      </w:r>
      <w:r>
        <w:rPr>
          <w:rStyle w:val="FootnoteAnchor"/>
          <w:rtl w:val="true"/>
        </w:rPr>
        <w:footnoteReference w:id="340"/>
      </w:r>
      <w:r>
        <w:rPr>
          <w:rFonts w:ascii="Amiri" w:hAnsi="Amiri" w:eastAsia="Amiri" w:cs="Amiri"/>
          <w:color w:val="111111"/>
          <w:sz w:val="28"/>
          <w:sz w:val="28"/>
          <w:szCs w:val="28"/>
          <w:rtl w:val="true"/>
          <w:lang w:bidi="ar-SA"/>
        </w:rPr>
        <w:t>، وكذا رواه ابن قولويه في الكامل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قَبيل ما رواه الصدوق في العيون،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ماجيلويه، عن علي بن إبراهيم،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العظيم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تحيّرت بين زيارة قبر أبي عبد الله عَلیه السَلام وبين زيارة أبيك عَلیه السَلام بطوس، فما ترى؟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وخرج، ودموعه تسيل على خدَّيه،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أبي عبد الله عَلیه السَلام كثيرون، وزوّار قبر أبي بطوس قليلون</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الروايات وصفت زيارة الإمام الرضا عَلیه السَلام بأنّها أفضل من زيارة الإمام الحسين عَلیه السَلام ؛ فإمّا أن تكون زيارة الإمام الرضا عَلیه السَلام واجبة أيضاً، وهذا لا قائل به، وإما أن يكون المستحب أفضل من الواجب، وهو خلاف ما ثبت في بعض الأبحاث الأُصولية من أنّ ملاك الواجب أقوى وأشد من ملاك المستحب، وإمّا أن لا تكون زيارة الإمام الحسين عَلیه السَلام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الأخير هو المُتعيّن؛ لبطلان سابقيه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عن هذا الإشكال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زيارة الإمام الرضا عَلیه السَلام غير واجبة، هذا أمر بحاجة إلى بحث وتدقيق، ولا أقل من احتمال ذلك جداً، ولو في بعض الظروف القديمة، ولأجل ارتباط زيارة الإمام الرضا عَلیه السَلام بكمال الإيمان في تلك الأزمان، فيمكن أن تكون زيارة الإمام الرضا عَلیه السَلام شابهت، بل ترجّحت على زيارة الإمام الحسين عَلیه السَلام من هذه الجهة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الأفضلية على بعض مراتب الاستحباب في زيارة الإمام </w:t>
      </w:r>
    </w:p>
    <w:p>
      <w:pPr>
        <w:pStyle w:val="BookText"/>
        <w:rPr/>
      </w:pPr>
      <w:r>
        <w:rPr>
          <w:rFonts w:ascii="IRNazanin" w:hAnsi="IRNazanin" w:eastAsia="IRNazanin"/>
          <w:color w:val="111111"/>
          <w:sz w:val="28"/>
          <w:sz w:val="28"/>
          <w:szCs w:val="28"/>
          <w:rtl w:val="true"/>
          <w:lang w:bidi="fa-IR"/>
        </w:rPr>
        <w:t>الحسين عَلیه السَلام ؛ وذلك لأنّ الأفضلية هنا مطلقة، فتُقيَّد بما دلَّ على وجوب زيارة الإمام الحسين عَلیه السَلام ، فالوجوب ليس مطلقاً؛ فلا تنافي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تلازم بين الأفضلية والوجوب، فلربما يكون أمر ما أفضل من الواجب في نفسه، إلّا أنّه مستحب، كما تقدمت الإشارة إلى ذلك في مقال سابق، وستأتي الإشارة إليه لاحقاً، وقد صرَّح بذلك بعض العلماء في توجيههم أفضلية زيارة الإمام الحسين عَلیه السَلام على الحجّ الواجب، مع قولهم باستحباب الزيارة، فالأمر له نظائر في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أفضلية زوّار الإمام الرضا عَلیه السَلام على بقية زوار الأئمة علیهم السلام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قَبيل ما رواه الكليني في الكافي،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علي بن الحسين النيسابوري، عن إبراهيم بن أحمد، عن عبد الرحمن بن سعيد المكي، عن يحيى بن سليمان المازني، عن أبي الحسن موسى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ولدي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وبات عنده ليلة كان كمَن زار الله في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زار الله في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يوم القيامة كان على عرش الرحمن أربعة من الأولين، وأربعة من الآخرين، فأمّا الأربعة الذين هم من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فنوح، وإبراهيم، وموسى، وعيسى علیهم السلام ، وأمّا الأربعة من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والحسن، والحسين علیهم السلام ، ثمّ يُمدّ الطعام، فيقعد معنا زوّار قبور الأئمة، إلّا أنّ أعلاهم درجة وأقربهم حبوة زوّار قبر ولدي عَلیه السَلام </w:t>
      </w:r>
      <w:r>
        <w:rPr>
          <w:rFonts w:eastAsia="IRNazanin" w:cs="IRNazanin"/>
          <w:color w:val="111111"/>
          <w:sz w:val="28"/>
          <w:szCs w:val="28"/>
          <w:rtl w:val="true"/>
          <w:lang w:bidi="fa-IR"/>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التهذيب</w:t>
      </w:r>
      <w:r>
        <w:rPr>
          <w:rStyle w:val="FootnoteAnchor"/>
          <w:rtl w:val="true"/>
        </w:rPr>
        <w:footnoteReference w:id="344"/>
      </w:r>
      <w:r>
        <w:rPr>
          <w:rFonts w:ascii="Amiri" w:hAnsi="Amiri" w:eastAsia="Amiri" w:cs="Amiri"/>
          <w:color w:val="111111"/>
          <w:sz w:val="28"/>
          <w:sz w:val="28"/>
          <w:szCs w:val="28"/>
          <w:rtl w:val="true"/>
          <w:lang w:bidi="ar-SA"/>
        </w:rPr>
        <w:t>، والصدوق في الأمالي والعيون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وجه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زائر الإمام الرضا عَلیه السَلام أفضل من زائر الإمام الحسين عَلیه السَلام ، مع أنّ زيارة الإمام الحسين عَلیه السَلام واجبة، وزيارة الإمام الرضا عَلیه السَلام مستحبة؟</w:t>
      </w:r>
    </w:p>
    <w:p>
      <w:pPr>
        <w:pStyle w:val="BookText"/>
        <w:rPr/>
      </w:pP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عن هذا الإشكال بما تقدم في الإشكال السابق، ويُضاف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أفضلية الزائر هنا لا تخضع لمجرّد المزار، بل تخضع كذلك إلى نفس الزائر وقابلياته، وكون الرواية ناظرة إلى مجرّد الزيارة مما لا شاهد عليه،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المحتمل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تارك الزيارة محروم من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قَبيل ما رواه ابن قولويه في الكامل،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على بن مهزيار، عن أبيه، عن جدّه، عن الحسن بن محبوب،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 فدخل عليه رجل، فسلَّم عليه وجلس، 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 البلدان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الكوفة، وأنا لك محبٌّ 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أتزور قبر الحسين عَلیه السَلام في كل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كل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كل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لمحروم من الخير</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قَبيل ما رواه ابن قولويه أيضاً في الكامل،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رحمة الله ، عن الحسين بن الحسن بن أبان، عن محمد بن أورمة، عن أبي عبد الله المؤمن، عن ابن مسكان،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لأقوام يزعمون أنّهم شيعة لنا،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أحدهم يمرُّ به دهره ولا يأتي قبر الحسين عَلیه السَلام ، جفاءً منه، وتهاوناً وعجزاً وكسلاً، أما والله، لو يعلم ما فيه من الفضل ما تهاون ولا كسل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وخيرٌ كثير، أمّا أول ما يصيبه أن يُغفر ما مضي من ذنوبه،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الكلام في الرواية كان عن الذي لم يكن يزور الإمام الحسين عَلیه السَلام ، ومع ذلك لم يقل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تاركٌ لأمر واجب، بل اكتفى بالتنبيه على أنّه فاته الخير الكثير، وهذا التعبير ينسجم أكثر ما يكون مع الأُمور الاستحبابية لا الواجبة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عن الرواية الأُولى فبأُمور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تُبيِّن هذه الرواية أنّ هذا الشخص تارك لزيارة الإمام الحسين عَلیه السَلام بشكل مطلق، بل غاية ما تُثبته أنّه لم يكن يزُر بانتظام وفي كل سنة مرَّة، وهذا أمر لا يصلح للإشكال به على مبتغانا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فوات الخير الكثير كما ينسجم مع الأمر الاستحبابي، كذلك فهو ينسجم مع الأمر الواجب، فمجرد هذا التعبير لا يُعيّن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يكون هذا الشخص من أصحاب الأعذار الذين يسقط الوجوب عنهم، ومن الطبيعي أنّ مَن لم يزُرْ يفوته الخير الكثير، حتى لو كان صاحب 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هذا الاحتمال من المستبعد جداً، بل ممتنع؛ لأنّ الامام عَلیه السَلام تسلسل في سؤال هذا الشخص، فلو كان من أصحاب الأعذار لما كان معنى لذلك</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فبالإضافة إلى بعض ما تقدّم في الجواب عن </w:t>
      </w:r>
    </w:p>
    <w:p>
      <w:pPr>
        <w:pStyle w:val="BookText"/>
        <w:rPr/>
      </w:pPr>
      <w:r>
        <w:rPr>
          <w:rFonts w:ascii="IRNazanin" w:hAnsi="IRNazanin" w:eastAsia="IRNazanin"/>
          <w:color w:val="111111"/>
          <w:sz w:val="28"/>
          <w:sz w:val="28"/>
          <w:szCs w:val="28"/>
          <w:rtl w:val="true"/>
          <w:lang w:bidi="fa-IR"/>
        </w:rPr>
        <w:t xml:space="preserve">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قد شكّك في تشيّع هؤلاء الذين يدّعون التشيّع، ولا يزورون الإمام الحسين عَلیه السَلام ، فهذه الرواية لروايات الوجوب أقرب منها لروايات الاستحباب، وأمّا ما ذكره الإمام عَلیه السَلام من الفضل والثواب؛ فهو لأجل التحفيز، وبيان مقدار الأجر والثواب الجزيل، فكثير من الواجبات، بل أكثرها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 فضلها والثواب المترتب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الزيارة غير مفروضة ولا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ما رواه ابن قولويه في الكامل، بسندٍ معتبر،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وعلي بن الحسين وجماعة مشايخي رحمهم الله، عن سعد بن عبد الله بن أبي خلف، عن أحمد بن محمد بن عيسى، عن محمد بن سنان، عن أبي سعيد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أبي يعفور،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يقول لرجل من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أتزور قبر أبي عبد الله الحسين بن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إنّي أزوره بين ثلاث سنين مرة،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مُصفرّ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الذي لا اله إلّا هو، لو زرته لكان أفضل لك مما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أكلُّ هذا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لو أني حدّثتكم بفضل زيارته، وبفضل قبره لتركتم الحج رأساً، وما حجَّ منكم أحد،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الله اتّخذ كربلاء حرماً آمناً مباركاً قبل أن يتّخذ مكة حرماً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على الناس حج البيت، ولم يذكر زيارة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كذلك؛ فإنّ هذا شيء جعله الله هكذا، أما سمعت قول أبي أمير المؤمنين عَلیه السَلام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باطن القدم أحقُّ بالمسح من ظاهر القدم، ولكنّ الله فرض هذا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 الموقف لو كان في الحرم كان أفضل لأجل الحرم، ولكنّ الله صنع ذلك في غير الحرم؟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وجه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يُثبت أفضلية زيارة الإمام الحسين عَلیه السَلام على الحج، ومع ذلك يُثبت أنّ الزيارة غير واجبة، ويوجّه ذلك بأنّ هذه أُمور علمها عند الله تعالى، ولها نظائر في الشريعة، كما في مسح ظاهر القدم دون باطنها، مع أنّ مسح الباطن أوْلى، فهذه الرواية تُصرّح بعدم وجوب زيارة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هذا الإشكال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الرواية لو سلمت دلالتها على الاستحباب؛ بسبب المقارنة التي ذكرها الإمام عَلیه السَلام بين الزيارة والحج من جهة، وبين مسح باطن القدم وظاهرها من جهة أُخرى، فهي تدلّ عليه بقول مطلق، والإطلاق يمكن تقييده بالروايات التي دلّت على وجوب الزيارة؛ فيكون المقصود من هذه الرواية هو المقارنة بين الزيارة المستحبة والحج، وبين باطن القدم وظاهره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جعل المقارنة بين زيارة هذا الراوي الذي كان يزور في كلّ ثلاث سنوات مرة، وهذا المقدار لم يثبت وجوبه، وإن كانت فيه رواية صحيحة، إلّا أنّه قد تقدّم الحمل على القضية الخارجية، والمقدار الواجب هو أصل الزيارة مكرراً، وما عداه فيدخل في المنع عن الجفاء، فهذه الرواية بموردها لا تضرّ بالاستدلال المتقدم أصلاً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على الاستحباب في هذه الرواية هو المقارنة بين الزيارة والحج، وبين مسح القدم وباطنها، وهذا لا يدلّ على الاستحباب؛ وذلك لأنّ غاية ما تدلّ عليه المقارنة هو السبب في ذكر أحدهما من قِبَل الله تعالى دون الآخر، من دون النظر إلى الوجوب وعدمه؛ فإنّ الظاهر من سؤال الراوي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أنّ الحج </w:t>
      </w:r>
    </w:p>
    <w:p>
      <w:pPr>
        <w:pStyle w:val="BookText"/>
        <w:rPr/>
      </w:pPr>
      <w:r>
        <w:rPr>
          <w:rFonts w:ascii="IRNazanin" w:hAnsi="IRNazanin" w:eastAsia="IRNazanin"/>
          <w:color w:val="111111"/>
          <w:sz w:val="28"/>
          <w:sz w:val="28"/>
          <w:szCs w:val="28"/>
          <w:rtl w:val="true"/>
          <w:lang w:bidi="fa-IR"/>
        </w:rPr>
        <w:t>مذكور في القرآن دون الزيارة؟ فأجابه الإمام عَلیه السَلام أنّ هذا له نظائر، ولا يدلّ على أفضلية المذكور، فغاية المقارنة هو المشابهة في الذكر وعدم الذكر في القرآن، لا في الوجوب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كراهة ترك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قَبيل ما رواه ابن قولويه في كامل الزيارات،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ومحمد بن الحسن رحمهما الله، عن الحسين بن الحسن بن أبان، عن الحسين بن سعيد، عن القاسم بن محمد الجوهري، عن علي بن أبي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العبد الصالح عن زيارة قبر الحسين بن علي عَلیهِماالسَّلام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لك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الصلاة عنده وأنا مقصّر؟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 المسجد الحرام ما شئت تطوّعاً، وفي مسجد الرسول ما شئت تطوّعاً، وعند قبر الحسين عَلیه السَلام ؛ فإنّي أُحبُّ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الصلاة بالنهار عند قبر الحسين عَلیه السَلام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اكتفى بالجواب عن ترك الزيارة بعدم حُبِّه لذلك، ولم ينهَ عن الترك، أو يأمر بالزيارة، وهذا التعبير ينسجم مع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عن الإشكال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بحث الأعلام دلالة قول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وأمثالهما، بأنّ هذه الألفاظ هل تدلّ على اللزوم أو لا تدلّ؟ وقد ذهب جمع منهم إلى أنّ هذه التعابير تدلّ على اللزوم لا مجرد الكراهة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تدلّ على مجرّد الكراهة لا اللزوم، فغايته أنّها لو كانت بمفردها فهي تدلّ على ذلك، أمّا لو كانت هناك قرينة منفصلة على اللزوم فهو </w:t>
      </w:r>
      <w:bookmarkStart w:id="436" w:name="pg7540_66776"/>
    </w:p>
    <w:p>
      <w:pPr>
        <w:pStyle w:val="BookText"/>
        <w:rPr/>
      </w:pPr>
      <w:bookmarkEnd w:id="436"/>
      <w:r>
        <w:rPr>
          <w:rFonts w:ascii="Amiri" w:hAnsi="Amiri" w:eastAsia="Amiri" w:cs="Amiri"/>
          <w:color w:val="111111"/>
          <w:sz w:val="28"/>
          <w:sz w:val="28"/>
          <w:szCs w:val="28"/>
          <w:rtl w:val="true"/>
          <w:lang w:bidi="ar-SA"/>
        </w:rPr>
        <w:t>المتعيّن، وفي المقام القرينة متحقّقة، وهي روايات الوجوب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الغمض عن المناقشة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المتحصّلة من بحث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يُدَّعى معارضتها لروايات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يوجد أيُّ تعارض بين الروايات، بل وجوه الجمع فيما بينها عديدة، كما تقدّم، فلا تصل النوبة إلى بحث المرجّحات؛ لأنّه فرع استقرار التعارض، ولو فرض التعارض فالترجيح مع روايات الوجوب من وجوه، كما لا يخفى على المدقّق</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2793006_1051229030"/>
      <w:bookmarkStart w:id="438" w:name="_Toc159"/>
      <w:bookmarkEnd w:id="437"/>
      <w:r>
        <w:rPr>
          <w:rtl w:val="true"/>
        </w:rPr>
        <w:t>الإشكال الثاني</w:t>
      </w:r>
      <w:r>
        <w:rPr>
          <w:rtl w:val="true"/>
        </w:rPr>
        <w:t xml:space="preserve">: </w:t>
      </w:r>
      <w:r>
        <w:rPr>
          <w:rtl w:val="true"/>
        </w:rPr>
        <w:t>في معنى لفظ الوجوب</w:t>
      </w:r>
      <w:bookmarkEnd w:id="438"/>
    </w:p>
    <w:p>
      <w:pPr>
        <w:pStyle w:val="BookText"/>
        <w:rPr/>
      </w:pPr>
      <w:r>
        <w:rPr>
          <w:rFonts w:ascii="Amiri" w:hAnsi="Amiri" w:eastAsia="Amiri" w:cs="Amiri"/>
          <w:color w:val="111111"/>
          <w:sz w:val="28"/>
          <w:sz w:val="28"/>
          <w:szCs w:val="28"/>
          <w:rtl w:val="true"/>
          <w:lang w:bidi="ar-SA"/>
        </w:rPr>
        <w:t>قد يُشكل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في بعض الروايات المتقدمة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الروايات التي ادُّعي أنّها نصٌّ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ذلك لو كان لفظ الوجوب في صدر الإسلام يحمل نفس المعنى الذي هو عليه في الأزمان المتأخّرة، مع أنّ الأمر ليس كذلك؛ لأنّ معنى الوجوب في الصدر الأول لا يحمل أكثر من معنى الثبوت، وهو أعمّ من الوجوب والاستحباب وأصل المشروعية، ولا يدلّ على معنى الوجوب الاصطلاحي؛ لأجل ذلك فالروايات لا تدلّ على الوجوب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هذا الإشكال بأُمور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دلّت على الوجوب كانت على قسمين، وكان القسم الثاني منها هي الروايات التي دلّت على الوجوب بظهور الأمر فيه؛ فيكون هذا الإشكال حينئذٍ غريباً عنها، ولا يضرّ بها أصلاً، ودلالة تلك الروايات تكفي لإثبات الوجوب المصطلح،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القسم الأول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الروايات التي نصّت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بعضها فقط لفظ الوجوب، دون البعض الآخر، فمن تلك الروايات التي نصّت على الوجوب من دون لفظ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الصدوق في الفقيه، عن أبي جعفر محمد بن علي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شيعتنا بزيارة الحسين بن علي عَلیهِماالسَّلام ؛ فإنّ زيارته تدفع الهدم والغرق والحرق وأكل السبُع، وزيارته مفترضة على مَن أقرّ للحسين عَلیه السَلام بالإمامة من الله عز وجل</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عن علي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أحدكم حجّ ألف حجّة، ثمّ لم يأتِ قبر الحسين بن علي عَلیهِماالسَّلام ؛ لكان قد ترك حقّاً من حقوق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الحسين عَلیه السَلام مفروض على كل مسلم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عن هارون بن خارجة،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عمَّن ترك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قبر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أهل النار</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تدلّ صراحةً ونصّاً على الوجوب، وبها يثبت المطلوب، ويكون هذا الإشكال غريباً عنها أيضاً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لفظ الوجوب لا يدلّ على معناه المصطلح في الأزمنة المتأخرة عن عصر النصّ، إلّا أنّه مع ذلك يمكن أن يدلّ على الوجوب فيما إذا كانت هناك قرينة في البين، والقرينة موجودة في مجموعة من الروايات التي نقلناها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في كامل الزيارات،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أحدكم حجّ دهره، ثمّ لم يزُرْ الحسين بن علي عَلیهِماالسَّلام لكان تاركاً حقّاً من حقوق رسول الله صلّى الله عليه و آله و سلّم ؛ لأنّ حقّ الحسين فريضة من الله تعالى واجبة على كل مسلم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بن قولويه في كامل الزيارات، عن أُمّ سعيد الأحمسية، عن أبي عبد الله عَلیه السَلام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سعيد، تزورين قبر الحسين؟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زوريه؛ فإنّ زيارة قبر الحسين واجبة على الرجال والنساء</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فيها قرينة على أنّ المقصود من الوجوب هو الوجوب الاصطلاحي؛ لأنّ الرواية الأُولى قد قرنت بالفريضة، والثانية قد قرنت بالأمر، وهكذا الحال في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روايتان،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جاء في نوادر علي بن أسباط، عمَّن رواه، عن أحدهما عَلیهِماالسَّلام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ما في الأرض مؤمنة إلّا وقد وجب عليها أن تُسعِد فاطمة عَلیهاالسَلام في زيارة الحسين عَلیه السَلام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الشيخ المفيد في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روايات كثيرة في فضل زيارته عَلیه السَلام ، بل في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عن الصادق جعفر بن محمد عَلیهِماالسَّلام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زيارة الحسين بن علي عَلیه السَلام واجبة على كل مَن يُقرّ للحسين بالإمامة من الله عز وجل</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وهاتان الروايتان أيضاً بقرينة بقية الروايات يكون مدلولهما هو الوجوب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ترى، فهما روايتان مرسلتان ليس الاعتماد في الاستدلال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حتى لو سلّمنا بأنّ لفظ الوجوب في عصر النصّ لا يدلّ على الوجوب المصطلح؛ فهو لا يضرّ ببحثنا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العلماء المتقدمين والمتأخرين قد فهموا الوجوب الاصطلاحي من تلك الروايات، واستدلّوا بنصوصها من دون الاعتماد على قرينة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فهموا الوجوب من مجموع الروايات، والقرائن العديدة على الوجوب، وإن لم يصرّحوا بذلك، فليس فهمهم للوجوب جاء من حاقّ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بحث الأعلام هذا اللفظ، واستنتج الكثير منهم أنّه مشترك بين الوجوب الذي هو بمعنى الفرض، وبين الوجوب الذي هو بمعنى الاستحباب المؤكّد، إلّا أنّه بحسب إفتاء كثير من العلماء، فإنّه نجدهم لا يفتون بالاستحباب في موارد لفظ الوجوب في الروايات، إلّا مع وجود قرائن أُخرى تدلّ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فحتى لو سُلّم أنّ لفظ الوجوب يدلُّ على الأعمّ من الوجوب الاصطلاحي والاستحباب، إلّا أنّه غاية ذلك أنّ العلماء تعاملوا معه بمعنى أنّه لو كانت هناك قرائن على الاستحباب، فلفظ الوجوب في الرواية لا ينافي ذلك، وهذا لا يضرّ بمطلبنا شيئاً؛ لأنّه ليس فقط لا توجد قرائن على الاستحباب في الروايات، بل القرائن على الخلاف، فهناك قرائن عديدة على الفرض والوجوب الاصطلاحي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الإشكال لا يضرّ بالاستدلال المتقدّم على أيّة حال</w:t>
      </w:r>
      <w:r>
        <w:rPr>
          <w:rFonts w:eastAsia="Amiri" w:cs="Amiri" w:ascii="Amiri" w:hAnsi="Amiri"/>
          <w:color w:val="111111"/>
          <w:sz w:val="28"/>
          <w:szCs w:val="28"/>
          <w:rtl w:val="true"/>
          <w:lang w:bidi="ar-SA"/>
        </w:rPr>
        <w:t xml:space="preserve">. </w:t>
      </w:r>
      <w:bookmarkStart w:id="439" w:name="pg7540_66780"/>
    </w:p>
    <w:p>
      <w:pPr>
        <w:pStyle w:val="Heading6"/>
        <w:numPr>
          <w:ilvl w:val="5"/>
          <w:numId w:val="1"/>
        </w:numPr>
        <w:rPr/>
      </w:pPr>
      <w:bookmarkStart w:id="440" w:name="__RefHeading___Toc2793008_1051229030"/>
      <w:bookmarkStart w:id="441" w:name="_Toc160"/>
      <w:bookmarkEnd w:id="439"/>
      <w:bookmarkEnd w:id="440"/>
      <w:r>
        <w:rPr>
          <w:rtl w:val="true"/>
        </w:rPr>
        <w:t>الإشكال الثالث</w:t>
      </w:r>
      <w:r>
        <w:rPr>
          <w:rtl w:val="true"/>
        </w:rPr>
        <w:t xml:space="preserve">: </w:t>
      </w:r>
      <w:r>
        <w:rPr>
          <w:rtl w:val="true"/>
        </w:rPr>
        <w:t>إشكال الإعراض</w:t>
      </w:r>
      <w:bookmarkEnd w:id="441"/>
    </w:p>
    <w:p>
      <w:pPr>
        <w:pStyle w:val="BookText"/>
        <w:rPr/>
      </w:pPr>
      <w:r>
        <w:rPr>
          <w:rFonts w:ascii="Amiri" w:hAnsi="Amiri" w:eastAsia="Amiri" w:cs="Amiri"/>
          <w:color w:val="111111"/>
          <w:sz w:val="28"/>
          <w:sz w:val="28"/>
          <w:szCs w:val="28"/>
          <w:rtl w:val="true"/>
          <w:lang w:bidi="ar-SA"/>
        </w:rPr>
        <w:t>من الإشكالات المهمة التي تُعارض الوجوب، وتمنع من الأخذ برواياته، هو إشكال إعراض أعلام الطائفة ومتقدميهم عن الأخذ بهذه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بما أنّها كانت في معرض أعلام الطائفة وعظمائها، وكانت في متناول أيديهم؛ حيث تقدّم أنّها مرويّة في أُمّهات المصادر الشيعية، ومع ذلك فهم لم يُفتوا بمضمونها؛ فهذا يدلّ على تحقُّق إعراضهم عنها، وعدم التوجه إليها والأخذ بمضمونها، مع ورعهم الشديد ودقّتهم العلمية وعقائدهم الولائية، مما يكشف عن وجود مشكلة وخلل في تلك الروايات يمنع من الأخذ بها والإفتاء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مسألة موهنية الإعراض من المسائل شبه الاتّفاقية بين العلماء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هذا الإشكال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الذي يُعتبر حجّة وموهناً للرواية هو الإعراض الذي يكون من متقدّمي الأصحاب لا متأخريهم، وعندما نرجع إلى كلمات قدماء الأصحاب، فإنّه نجد أكثرهم لم يتعرّض لهذه المسألة، ومجرّد عدم التعرّض لا يدلّ على الإعراض؛ لأنّه لا يصحّ رفع اليد عن مجموعة كبيرة من الروايات لمجرد عدم التّعرض لها، بل حتى يكون الإعراض موهناً للروايات لا بُدَّ من القطع بالإعراض، وهو غير متحقُّق، وإلّا لوجب رفع اليد عن كثير من الواجبات التي استدلّ عليها المتأخرون، ولم يتعرّض لها المتقدمون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الإعراض الذي يكون موهناً هو الإعراض الذي لا يُحتمل فيه </w:t>
      </w:r>
    </w:p>
    <w:p>
      <w:pPr>
        <w:pStyle w:val="BookText"/>
        <w:rPr/>
      </w:pPr>
      <w:r>
        <w:rPr>
          <w:rFonts w:ascii="Amiri" w:hAnsi="Amiri" w:eastAsia="Amiri" w:cs="Amiri"/>
          <w:color w:val="111111"/>
          <w:sz w:val="28"/>
          <w:sz w:val="28"/>
          <w:szCs w:val="28"/>
          <w:rtl w:val="true"/>
          <w:lang w:bidi="ar-SA"/>
        </w:rPr>
        <w:t>المدركية، وأمّا محتملها فلا اعتبار له، وفي المقام فإنّه يوجد نوعان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فلربما مَن أفتى بالاستحباب اعتمد على النوع الثاني من الروايات، فهو لم يُعرض عن روايات الوجوب، وإنّما ترجّحت عنده روايات الاستحباب، والمسألة هنا نظير البحث في الإجماع المدركي؛ حيث قيل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الذي يُعتبر حجّة هو الإجماع الذي لا يحتمل المدركية، وإلّا فمحتملها يُرجع فيه إلى مدركه، ويُتعامل معه وفق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المدركية في الإعراض فرع تعارض الروايات، حتى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عمل الأعلام بإحدى الطائفتين بسبب الطائفة الأُخرى، وأمّا مع عدم التعارض، فلا تُحتمل المدركية؛ لأنّ الروايات سوف تكون طائفة واحدة، وعدم القول بدلالتها على مطلب مُعيَّن مع ظهورها فيه يكون إعراض عن ذلك المعنى، وفي مقامنا؛ فإنّه لا يوجد أيُّ تعارض بين روايات الوجوب وروايات الاستحباب، كما تقدّم ذلك في 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التعارض بين إطلاقات الروايات متحقّق في المقام، نعم نحن ذكرنا وجوهاً للجمع بينها، ربما لا يرتضيها قدماء الأعلام، بل وحتى 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نحتمل أنّ وجوهاً من التعارض قد استقرّت بنظرهم الشريف؛ وعليه فاحتمال المدركية قائم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المتحقق من عظماء العلماء هو خلاف الإعراض؛ لأنّ هناك </w:t>
      </w:r>
      <w:bookmarkStart w:id="442" w:name="pg7540_66782"/>
    </w:p>
    <w:p>
      <w:pPr>
        <w:pStyle w:val="BookText"/>
        <w:rPr/>
      </w:pPr>
      <w:bookmarkEnd w:id="442"/>
      <w:r>
        <w:rPr>
          <w:rFonts w:ascii="Amiri" w:hAnsi="Amiri" w:eastAsia="Amiri" w:cs="Amiri"/>
          <w:color w:val="111111"/>
          <w:sz w:val="28"/>
          <w:sz w:val="28"/>
          <w:szCs w:val="28"/>
          <w:rtl w:val="true"/>
          <w:lang w:bidi="ar-SA"/>
        </w:rPr>
        <w:t>جملة من الأعلام ذهبوا إلى وجوب الزيارة، فليس فقط أنّهم لم يتعرضوا للوجوب، بل أفتوا به؛ وبذلك ينتفي إشكال الإعراض من الأساس</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2793010_1051229030"/>
      <w:bookmarkStart w:id="444" w:name="_Toc161"/>
      <w:bookmarkEnd w:id="443"/>
      <w:r>
        <w:rPr>
          <w:rtl w:val="true"/>
        </w:rPr>
        <w:t>القائلون بالوجوب</w:t>
      </w:r>
      <w:r>
        <w:rPr>
          <w:rtl w:val="true"/>
        </w:rPr>
        <w:t>:</w:t>
      </w:r>
      <w:bookmarkEnd w:id="444"/>
    </w:p>
    <w:p>
      <w:pPr>
        <w:pStyle w:val="BookText"/>
        <w:rPr/>
      </w:pPr>
      <w:r>
        <w:rPr>
          <w:rFonts w:ascii="Amiri" w:hAnsi="Amiri" w:eastAsia="Amiri" w:cs="Amiri"/>
          <w:color w:val="111111"/>
          <w:sz w:val="28"/>
          <w:sz w:val="28"/>
          <w:szCs w:val="28"/>
          <w:rtl w:val="true"/>
          <w:lang w:bidi="ar-SA"/>
        </w:rPr>
        <w:t>ومِمَّن قال بالوجوب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كامل الزيارات،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زيارة الحسين عَلیه السَلام فرض وعهد لازم ولجميع الأئمة علیهم السلام على كل مؤمن ومؤمنة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جاءت روايات كثيرة في فضل زيارته عَلیه السَلام ، بل في وجوبها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وكذا قال في المزار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وجوب زيارة الحسين عَلیه السَلام </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المزار،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زيارته عَلیه السَلام ، وحدّ وجوبها في الزمان على الأغنياء والفقراء</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حاتم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الدرّ النظيم،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جاءت روايات كثيرة في فضل زيارته، بل في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الحسين عَلیه السَلام واجبة على كل مَن يُقرّ للحسين بالإمامة من الله عز وجل</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الإربلي في كشف الغمّة هذا المعنى عن ابن حاتم العاملي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زيارته صلوات الله عليه واجبة مفترضة مأمور بها، وما ورد من الذمّ والتأنيب والتوعُّد على تركها، وأنّها لا تُترك للخوف</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اعلم أنّ ظاهر أكثر أخبار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من أخبار الأبواب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زيارته صلوات الله عليه، بل كونها من أعظم الفرايض وآكدها، ولا يبعد القول بوجوبها في العمر مرّة مع القدرة، وإليه كان يميل الوالد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التفصيل في حدّها للقريب والبعيد، ولا يبعد القول به أيضاً، والله يعلم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الوسائل،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وجوب زيارة الحسين عَلیه السَلام والأئمة علیهم السلام على شيعتهم كفاية</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رياض المسائل،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وتتأكد في الحسين عَلیه السَلام ، بل ورد أنّ زيارته فرض على كل مؤمن، وأن ترْكَها تركُ حقِ الله تعالى، وأنّ تركها عقوق رسول الله‘، وانتقاص في الإيمان والدين، وأنّه حقٌّ على الغني زيارته في السنة مرّتين، والفقير مرّة</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الدراية،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النصوص الدالّة على رجحان الزيارة، بل وجوبها فكثيرة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شيعتنا بزيارة قبر الحسين عَلیه السَلام ، فإنّ إتيانه مفترض على كل مؤمن يُقرّ للحسين عَلیه السَلام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يُستفاد من بعض النصوص وجوب زيارة سائر الأئمة الطاهرين صلوات الله عليهم أجمعين أيضاً</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يُفهم من هذه الرواية ونظائرها أنّ التمسك بحبل ولايتهم والإيمان بإمامتهم لا يتمُّ إلّا بزيارتهم صلوات الله عليهم، فلا يكون أحد إمامياً إلا بالاعتقاد الجناني بإمامتهم، والإقرار اللساني بها، والحضور بالبدن العنصري عند قبورهم، فالزيارة هي الجزء الأخير؛ لسبب اتّصاف المسلم بكونه إمامياً، وتركها كفقدان سابقيها يُوجب الرفض المبعد عن رحمته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تعالى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يخرج وجوب الزيارة الذي قال به جماعة، كالفقيه المقدم أبي القاسم جعفر بن محمد بن قولويه، والمحدّث الكبير صاحب الوسائل، والعلامة المجلسي،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الأحكام الفرعية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جوابه عن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أفضل، زيارة الرسول‘ أم زيارة سيد الشهداء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أفضل الخلق، فزيارته أيضا أفضل الزيارات، إلّا أنّه قد يطرأ عنوان خاص على بعض الزيارات، يكسبها فضيلة أُخرى، بل ربما تبلغ حدّ الوجوب الكفائي، ولعله كان كذلك في العهود السابقة التي منع فيها الناس عن زيارة سيد الشهداء عَلیه السَلام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من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من المتقدمين، فهو دليل على عدم </w:t>
      </w:r>
    </w:p>
    <w:p>
      <w:pPr>
        <w:pStyle w:val="BookText"/>
        <w:rPr/>
      </w:pPr>
      <w:r>
        <w:rPr>
          <w:rFonts w:ascii="Amiri" w:hAnsi="Amiri" w:eastAsia="Amiri" w:cs="Amiri"/>
          <w:color w:val="111111"/>
          <w:sz w:val="28"/>
          <w:sz w:val="28"/>
          <w:szCs w:val="28"/>
          <w:rtl w:val="true"/>
          <w:lang w:bidi="ar-SA"/>
        </w:rPr>
        <w:t>الإعراض، بل هو إفتاء طبق روايات الوجوب، ومَن كان من العلماء من المتأخرين، فهو يدلّ على أنّ متأخري علمائنا وعظمائنا يعتقدون أنّ متقدمي العلماء لم يُعرضوا عن هذه الروايات، وإلّا لما أفتوا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من هذه الأقوال مخالفاً لما استظهرناه في بعض الجزئيات، فهو لا يضرّ بمطلبنا إلّا بمخالفة الاستظهار، وقد ذكرنا وجهة نظرنا بالتفصيل في هذا المقال، وفي مقالين 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مَن قال بالاستحباب من العلماء، فإنه لا يُعتبر معرضاً عن روايات الوجوب؛ لأنّه استدلّ على فتواه بنفس الروايات التي استدلّ بها على الوجوب، وهذا يعني أنّهم يقبلونها، إلّا أنّهم حملوها على الاستحباب، والظاهر من كلماتهم أنّ سبب ذلك هو جمعهم بين الروايات، وعلى كلّ حال؛ فهذا يُثبت عدم الإعراض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تذكرة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تُستحب زيارة الحسين عَلیه السَلام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شيعتنا بزيارة قبر الحسين عَلیه السَلام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زيارته فضلٌ كثير، روى الشيخ، عن محمد بن مسلم،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شيعتنا بزيارة الحسين عَلیه السَلام ؛ فإنّ إتيانه يزيد في الرزق، ويمدّ في العمر، ويدفع السوء، وإتيانه مفترض على كل مؤمن يُقرّ بالإمامة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بن رباب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تعالى على الغني أن يأتي قبر الحسين عَلیه السَلام في السنة مرّتين، وحقٌّ على الفقير أن يأتيه في السنة مرّة</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يستحب زيارة الإمام الشهيد أبي </w:t>
      </w:r>
      <w:bookmarkStart w:id="445" w:name="pg7540_66786"/>
    </w:p>
    <w:p>
      <w:pPr>
        <w:pStyle w:val="BookText"/>
        <w:rPr/>
      </w:pPr>
      <w:bookmarkEnd w:id="445"/>
      <w:r>
        <w:rPr>
          <w:rFonts w:ascii="IRNazanin" w:hAnsi="IRNazanin" w:eastAsia="IRNazanin"/>
          <w:color w:val="111111"/>
          <w:sz w:val="28"/>
          <w:sz w:val="28"/>
          <w:szCs w:val="28"/>
          <w:rtl w:val="true"/>
          <w:lang w:bidi="fa-IR"/>
        </w:rPr>
        <w:t>عبد الله الحسين عَلیه السَلام بن أمير المؤمنين عَلیه السَلام ، 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تأكُّد استحبابها من ضروريات المذهب أو الدين، حتى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زيارته فرض على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وواجبة على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تركها ترك حقّ الله تعالى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تركُها عقوق رسول الله‘، وانتقاص في الإيمان والدين؛ فإنّ حقّاً على الغني زيارته في السنة مرّتين، والفقير في السنة مرّة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فالنتيجة من بحث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للإشكال،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 الإعراض غير وارد؛ لما تقدم من الأجوبة</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2793012_1051229030"/>
      <w:bookmarkStart w:id="447" w:name="_Toc162"/>
      <w:bookmarkEnd w:id="446"/>
      <w:r>
        <w:rPr>
          <w:rtl w:val="true"/>
        </w:rPr>
        <w:t>الخلاصة النهائية من البحث في أقسامه الثلاثة</w:t>
      </w:r>
      <w:bookmarkEnd w:id="447"/>
    </w:p>
    <w:p>
      <w:pPr>
        <w:pStyle w:val="BookText"/>
        <w:rPr/>
      </w:pPr>
      <w:r>
        <w:rPr>
          <w:rFonts w:ascii="Amiri" w:hAnsi="Amiri" w:eastAsia="Amiri" w:cs="Amiri"/>
          <w:color w:val="111111"/>
          <w:sz w:val="28"/>
          <w:sz w:val="28"/>
          <w:szCs w:val="28"/>
          <w:rtl w:val="true"/>
          <w:lang w:bidi="ar-SA"/>
        </w:rPr>
        <w:t>إنّ روايات الوجوب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نصّت على الوجوب وصرّحت به، وهي عديدة، ومنها ما هو صحيح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الظاهرة في الوجوب، وهي كثيرة، منها ما هو صحيح السند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مجموع الروايات يمكن أن يدّعى التواتر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المقصود من الزيارة هو الحضور عند قبر الإمام عَلیه السَلام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الواجب من الزيارة هو أصل زيارة الإمام مكرراً، ولا حدود واضحة لمقدار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جاء من تحديد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تحديد أوقات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محمول على </w:t>
      </w:r>
    </w:p>
    <w:p>
      <w:pPr>
        <w:pStyle w:val="BookText"/>
        <w:rPr/>
      </w:pPr>
      <w:r>
        <w:rPr>
          <w:rFonts w:ascii="Amiri" w:hAnsi="Amiri" w:eastAsia="Amiri" w:cs="Amiri"/>
          <w:color w:val="111111"/>
          <w:sz w:val="28"/>
          <w:sz w:val="28"/>
          <w:szCs w:val="28"/>
          <w:rtl w:val="true"/>
          <w:lang w:bidi="ar-SA"/>
        </w:rPr>
        <w:t>القضية الخارجية التي بموجبها يتحدد الجفاء من عدمه؛ فإنّ الجفاء منهيٌّ عنه أيضاً في روايات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الإشكالات التي ادُّعيَ ورودها في المقام غير واردة، سواء إشكال الروايات المعارضة، أو إشكال عدم دلالة لفظ الوجوب على الوجوب الاصطلاحي في صدر الإسلام، أو إشكال الإعراض الذي يُعتبر أهم تلك الإشكالات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فزيارة الإمام الحسين عَلیه السَلام واجبة مكرراً؛ لتمام الأدلّة على ذلك، وعدم وجود المانع منه</w:t>
      </w:r>
      <w:r>
        <w:rPr>
          <w:rFonts w:eastAsia="IRNazanin" w:cs="IRNazanin"/>
          <w:color w:val="111111"/>
          <w:sz w:val="28"/>
          <w:szCs w:val="28"/>
          <w:rtl w:val="true"/>
          <w:lang w:bidi="fa-IR"/>
        </w:rPr>
        <w:t xml:space="preserve">. </w:t>
      </w:r>
      <w:bookmarkStart w:id="448" w:name="pg7540_66788"/>
    </w:p>
    <w:p>
      <w:pPr>
        <w:pStyle w:val="Heading2"/>
        <w:numPr>
          <w:ilvl w:val="1"/>
          <w:numId w:val="1"/>
        </w:numPr>
        <w:rPr/>
      </w:pPr>
      <w:bookmarkStart w:id="449" w:name="__RefHeading___Toc2793014_1051229030"/>
      <w:bookmarkStart w:id="450" w:name="_Toc163"/>
      <w:bookmarkEnd w:id="448"/>
      <w:bookmarkEnd w:id="449"/>
      <w:r>
        <w:rPr>
          <w:rtl w:val="true"/>
        </w:rPr>
        <w:t>دِرَاسَاتٌ دِينِيَّة</w:t>
      </w:r>
      <w:bookmarkEnd w:id="450"/>
    </w:p>
    <w:p>
      <w:pPr>
        <w:pStyle w:val="Heading3"/>
        <w:numPr>
          <w:ilvl w:val="2"/>
          <w:numId w:val="1"/>
        </w:numPr>
        <w:rPr/>
      </w:pPr>
      <w:bookmarkStart w:id="451" w:name="__RefHeading___Toc2793016_1051229030"/>
      <w:bookmarkStart w:id="452" w:name="_Toc164"/>
      <w:bookmarkEnd w:id="451"/>
      <w:r>
        <w:rPr>
          <w:rtl w:val="true"/>
        </w:rPr>
        <w:t>اشارة</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p>
    <w:p>
      <w:pPr>
        <w:pStyle w:val="BookText"/>
        <w:rPr/>
      </w:pPr>
      <w:r>
        <w:rPr>
          <w:rFonts w:ascii="Amiri" w:hAnsi="Amiri" w:eastAsia="Amiri" w:cs="Amiri"/>
          <w:color w:val="111111"/>
          <w:sz w:val="28"/>
          <w:sz w:val="28"/>
          <w:szCs w:val="28"/>
          <w:rtl w:val="true"/>
          <w:lang w:bidi="ar-SA"/>
        </w:rPr>
        <w:t>دراسة نقدية لآراء ابن تيمية والمعلمي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تجليات الحاكمية والعدل الإلهي في قصة العبد الصالح</w:t>
      </w:r>
    </w:p>
    <w:p>
      <w:pPr>
        <w:pStyle w:val="BookText"/>
        <w:rPr/>
      </w:pPr>
      <w:r>
        <w:rPr>
          <w:rFonts w:ascii="IRNazanin" w:hAnsi="IRNazanin" w:eastAsia="IRNazanin"/>
          <w:color w:val="111111"/>
          <w:sz w:val="28"/>
          <w:sz w:val="28"/>
          <w:szCs w:val="28"/>
          <w:rtl w:val="true"/>
          <w:lang w:bidi="fa-IR"/>
        </w:rPr>
        <w:t>بحث قرآني في سورة الکهف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ومزار عبيد الله بن علي بن أبي طالب عَلیه السَلام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تاريخية تحليلية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7540_66790"/>
      <w:bookmarkStart w:id="454" w:name="pg7540_66790"/>
      <w:bookmarkEnd w:id="454"/>
    </w:p>
    <w:p>
      <w:pPr>
        <w:pStyle w:val="Heading3"/>
        <w:numPr>
          <w:ilvl w:val="2"/>
          <w:numId w:val="1"/>
        </w:numPr>
        <w:rPr/>
      </w:pPr>
      <w:bookmarkStart w:id="455" w:name="pg7540_66790"/>
      <w:bookmarkStart w:id="456" w:name="__RefHeading___Toc2793018_1051229030"/>
      <w:bookmarkStart w:id="457" w:name="_Toc165"/>
      <w:bookmarkEnd w:id="455"/>
      <w:bookmarkEnd w:id="456"/>
      <w:r>
        <w:rPr>
          <w:rtl w:val="true"/>
        </w:rPr>
        <w:t>حَدیثُ انَا مَدِینَة العلم دِراسَة نَقدیَّة لارَاءِ ابن تَیمِیَّة وَ المُعَلمِي د</w:t>
      </w:r>
      <w:r>
        <w:rPr>
          <w:rtl w:val="true"/>
        </w:rPr>
        <w:t xml:space="preserve">. </w:t>
      </w:r>
      <w:r>
        <w:rPr>
          <w:rtl w:val="true"/>
        </w:rPr>
        <w:t>يحيى عبد الحسن الدوخي</w:t>
      </w:r>
      <w:bookmarkEnd w:id="457"/>
    </w:p>
    <w:p>
      <w:pPr>
        <w:pStyle w:val="Heading4"/>
        <w:numPr>
          <w:ilvl w:val="3"/>
          <w:numId w:val="1"/>
        </w:numPr>
        <w:rPr/>
      </w:pPr>
      <w:bookmarkStart w:id="458" w:name="__RefHeading___Toc2793020_1051229030"/>
      <w:bookmarkStart w:id="459" w:name="_Toc166"/>
      <w:bookmarkEnd w:id="458"/>
      <w:r>
        <w:rPr>
          <w:rtl w:val="true"/>
        </w:rPr>
        <w:t>المقدمة</w:t>
      </w:r>
      <w:r>
        <w:rPr>
          <w:rtl w:val="true"/>
        </w:rPr>
        <w:t>:</w:t>
      </w:r>
      <w:bookmarkEnd w:id="459"/>
    </w:p>
    <w:p>
      <w:pPr>
        <w:pStyle w:val="BookText"/>
        <w:rPr/>
      </w:pPr>
      <w:r>
        <w:rPr>
          <w:rFonts w:ascii="IRNazanin" w:hAnsi="IRNazanin" w:eastAsia="IRNazanin"/>
          <w:color w:val="111111"/>
          <w:sz w:val="28"/>
          <w:sz w:val="28"/>
          <w:szCs w:val="28"/>
          <w:rtl w:val="true"/>
          <w:lang w:bidi="fa-IR"/>
        </w:rPr>
        <w:t xml:space="preserve">إن فضيلة العلم تُعدّ القمّة والهرم والأساس لجميع الفضائل، وعليّ عَلیه السَلام هو مَن يملك هذه الفضيلة ولا يُباريه فيها أحدٌ بعد النبي على الإطلاق، وهذا ما نطق به خاتم الأنبياء‘، من خلال أحاديث كثيرة بهذا المضمون، وأحد هذه الأحاديث المهمّة هو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فعليٌّ هو الباب لعلم رسول الله صلّى الله عليه و آله و سلّم ، وهذا الباب ينفتح منه ألف باب، وهذا الأمر ممّا لا يمكن استغرابه؛ لأن علياً مسدّد القلب واللسان بدعاء النبي‘، وعليٌّ ذو قلب عقول ولسان سؤول، كما صرَّحت به الروايات، والتي سيأتي بيانها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نجد أن هذا الحديث قد ضُعّف من قِبَل بعض مَن يدّعي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تيمية والمعلمي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وجه حقّ؛ فمِن هنا جاء هذا البحث لبيان ومناقشة هذه الآراء للوصول إلى الحقّ الذي يبتغيه كلُّ باحث ومنصف؛ لنبين أنّ هذا الحديث في غاية الصحّة، وذلك من خلال مناقشتنا لآرائهم، وبياننا لطرق هذا الحديث في السنّة النبوية، وكثرة متابعاته وشواهده، وكذلك شهادة علماء أهل السنّة بصحته، مع ذِكْر ترجمةٍ وتوثيق لهؤلاء العلماء الذين قالوا بصحّته ووثاقته</w:t>
      </w:r>
      <w:r>
        <w:rPr>
          <w:rFonts w:eastAsia="Amiri" w:cs="Amiri" w:ascii="Amiri" w:hAnsi="Amiri"/>
          <w:color w:val="111111"/>
          <w:sz w:val="28"/>
          <w:szCs w:val="28"/>
          <w:rtl w:val="true"/>
          <w:lang w:bidi="ar-SA"/>
        </w:rPr>
        <w:t xml:space="preserve">. </w:t>
      </w:r>
      <w:bookmarkStart w:id="460" w:name="pg7540_66791"/>
    </w:p>
    <w:p>
      <w:pPr>
        <w:pStyle w:val="Heading4"/>
        <w:numPr>
          <w:ilvl w:val="3"/>
          <w:numId w:val="1"/>
        </w:numPr>
        <w:rPr/>
      </w:pPr>
      <w:bookmarkStart w:id="461" w:name="__RefHeading___Toc2793022_1051229030"/>
      <w:bookmarkStart w:id="462" w:name="_Toc167"/>
      <w:bookmarkEnd w:id="460"/>
      <w:bookmarkEnd w:id="461"/>
      <w:r>
        <w:rPr>
          <w:rtl w:val="true"/>
        </w:rPr>
        <w:t>سابقة البحث والجديد فيه</w:t>
      </w:r>
      <w:bookmarkEnd w:id="462"/>
    </w:p>
    <w:p>
      <w:pPr>
        <w:pStyle w:val="Heading5"/>
        <w:numPr>
          <w:ilvl w:val="4"/>
          <w:numId w:val="1"/>
        </w:numPr>
        <w:rPr/>
      </w:pPr>
      <w:bookmarkStart w:id="463" w:name="__RefHeading___Toc2793024_1051229030"/>
      <w:bookmarkStart w:id="464" w:name="_Toc168"/>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لا يخفى على طالب الحقيقة أنّ هذا الحديث قد طرقه الباحثون والمحقّقون بنوع من التفصيل، كالشيخ العلاّمة الأميني في موسوعته الغدير، والعلامة التستري في كتابه إحقاق الحقّ، والعلاّمة السيّد النقوي في خلاصة 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شرحها السيّد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المحدِّث البارع المحقق السيّد أحمد الغماري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كتبوه رضوان الله عليهم قد استوفى البحث، ولكننا قد نجد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عصرنا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يناقش في بعض جوانب هذا الحديث، طاعناً فيه، وهو الشيخ عبد الرحمن المعلمي، الذي يُعتبر مِن السلفيين المعاصرين، وقد أغدق عليه حواريوه ألقاباً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تشبيهاً بابن تيمية،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ذهبيّ العصر أو الذهبيّ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تشبيهاً بالذهبيّ أبي عبد الله محمد بن أحمد بن عثمان، صاحب الكتب الشهيرة، والتي منها سير أعلام النبلاء، وتاريخ الإسلام، وتذكرة الحفّاظ،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فجديد بحثنا هو مناقشتنا للشيخ المعلمي ذهبي العصر كما يُدعى، الذي نظّر بشكل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بظاهره قديم بواقعه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للطعن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وبالتبع سيتضح للقارئ وهن كلام ابن تيمية الذي لم ينصف في حكمه بضعف هذا الحديث، معتمداً في ذلك على ابن الجوزي، الذي ادّعى أنّ طرقه كلها ضعيفة؛ لذا سيكون بياننا لطرق هذا الحديث هو ردّ على ابن تيمية وابن الجوزي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فخطة البحث ستكون في أربعة مباحث، وهي كما يلي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 عَلیه السَلام في السنّة </w:t>
      </w:r>
      <w:bookmarkStart w:id="465" w:name="pg7540_66792"/>
    </w:p>
    <w:p>
      <w:pPr>
        <w:pStyle w:val="BookText"/>
        <w:rPr/>
      </w:pPr>
      <w:bookmarkEnd w:id="465"/>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مدّعيات ابن تيمية والمعلمي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طرق الحديث ومتابعاته وشواهده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علماء أهل السنّة للحديث وتوثيق هؤلاء الإعلام من خلال كتب التراجم</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2793026_1051229030"/>
      <w:bookmarkStart w:id="467" w:name="_Toc169"/>
      <w:bookmarkEnd w:id="466"/>
      <w:r>
        <w:rPr>
          <w:rtl w:val="true"/>
        </w:rPr>
        <w:t>المبحث الأول</w:t>
      </w:r>
      <w:r>
        <w:rPr>
          <w:rtl w:val="true"/>
        </w:rPr>
        <w:t xml:space="preserve">: </w:t>
      </w:r>
      <w:r>
        <w:rPr>
          <w:rtl w:val="true"/>
        </w:rPr>
        <w:t>علم عليّ عَلیه السَلام في السنّة</w:t>
      </w:r>
      <w:bookmarkEnd w:id="467"/>
    </w:p>
    <w:p>
      <w:pPr>
        <w:pStyle w:val="Heading6"/>
        <w:numPr>
          <w:ilvl w:val="5"/>
          <w:numId w:val="1"/>
        </w:numPr>
        <w:rPr/>
      </w:pPr>
      <w:bookmarkStart w:id="468" w:name="__RefHeading___Toc2793028_1051229030"/>
      <w:bookmarkStart w:id="469" w:name="_Toc170"/>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 xml:space="preserve">لا يشكّ إنسان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طليق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لعليٍّ عَلیه السَلام مِن غزارة علم ونور وحكمة، وهذا العلم امتلأ به قلب عليّ وفاض إلى جميع جوارحه، ومَن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النبويّة وما جاء في كتب العلماء مِن مدرسة الخلفاء، يجد فضائله قد ملأت الخافقين؛ فقد أخرج الحاكم النيسابوري في مستدركه، بسنده عن محمد بن منصور الطوسي،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أحمد بن حنبل،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لأحد من أصحاب رسول الله صلى الله عليه وسلم من الفضائل ما جاء لعليّ بن أبي طالب رضي الله عنه</w:t>
      </w:r>
      <w:r>
        <w:rPr>
          <w:rFonts w:eastAsia="IRNazanin" w:cs="IRNazanin"/>
          <w:color w:val="111111"/>
          <w:sz w:val="28"/>
          <w:szCs w:val="28"/>
          <w:rtl w:val="true"/>
          <w:lang w:bidi="fa-IR"/>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هذا المعنى أيضاً في الاستيعاب لابن عبد البر</w:t>
      </w:r>
      <w:r>
        <w:rPr>
          <w:rStyle w:val="FootnoteAnchor"/>
          <w:rtl w:val="true"/>
        </w:rPr>
        <w:footnoteReference w:id="374"/>
      </w:r>
      <w:r>
        <w:rPr>
          <w:rFonts w:ascii="Amiri" w:hAnsi="Amiri" w:eastAsia="Amiri" w:cs="Amiri"/>
          <w:color w:val="111111"/>
          <w:sz w:val="28"/>
          <w:sz w:val="28"/>
          <w:szCs w:val="28"/>
          <w:rtl w:val="true"/>
          <w:lang w:bidi="ar-SA"/>
        </w:rPr>
        <w:t>، ومناقب الإمام أحمد بن حنبل لابن الجوزي</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لا يكون كذلك وقد قال عَلیه السَلام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أدخل على رسول الله ليلاً ونهاراً، وكنت إذا سألته أجابني، وإن سكتُّ ابتدأني، وما نزلت آية إلّا قرأتها، وعلمت تفسيرها وتأويلها، ودعا الله لي ألاّ أنسى شيئاً علَّمني إياه، فما نسيت مِن حرام ولا حلال، وأمرٍ ونهي، وطاعة ومعصية، ولقد وضع يده على صدري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املأ قلبه علماً وفهماً، وحكماً ونوراً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ربي عزّ وجلّ أنّه قد </w:t>
      </w:r>
    </w:p>
    <w:p>
      <w:pPr>
        <w:pStyle w:val="BookText"/>
        <w:rPr/>
      </w:pPr>
      <w:r>
        <w:rPr>
          <w:rFonts w:ascii="Amiri" w:hAnsi="Amiri" w:eastAsia="Amiri" w:cs="Amiri"/>
          <w:color w:val="111111"/>
          <w:sz w:val="28"/>
          <w:sz w:val="28"/>
          <w:szCs w:val="28"/>
          <w:rtl w:val="true"/>
          <w:lang w:bidi="ar-SA"/>
        </w:rPr>
        <w:t>استجاب لي فيك</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دعا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وسدد لسانه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يُعَدّ من ألَدّ أعداء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وسلّم يغرّ علياً بالعلم غرّاً</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كما قال أيضاً عنه عَلیه السَلام حين بلغه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والفقه بموت ابن أبي طالب</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حجر العسقلاني وابن عبد البرّ والسيوطي، عن أبي الطفيل،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فو الله، لا تسألوني عن شيء إلا أخبرتكم، سلوني عن كتاب الله، فو الله، ما من آية إلا وأنا أعلم بليل نزلت أم نهار، أم في سهل أم في جبل</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في كثير من كتب الحفّاظ وأئمة الحديث عنه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نزلت آية إلّا وقد علمت فيمَ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وهب لي قلباً عقولاً ولساناً سؤولاً</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شهد له عمر بن الخطاب بعلمه في مواضع كثيرة، فعن عطاء،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للقضاء</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وعن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عمر يقول لعليٍّ، وسأله عن شيء فأجابه، فقال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نعوذ بالله من أن أعيش في قوم لست </w:t>
      </w:r>
    </w:p>
    <w:p>
      <w:pPr>
        <w:pStyle w:val="BookText"/>
        <w:rPr/>
      </w:pPr>
      <w:r>
        <w:rPr>
          <w:rFonts w:ascii="Amiri" w:hAnsi="Amiri" w:eastAsia="Amiri" w:cs="Amiri"/>
          <w:color w:val="111111"/>
          <w:sz w:val="28"/>
          <w:sz w:val="28"/>
          <w:szCs w:val="28"/>
          <w:rtl w:val="true"/>
          <w:lang w:bidi="ar-SA"/>
        </w:rPr>
        <w:t>فيهم يا أبا حسن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وعن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بن الخطاب يتعوّذ بالله من معضلة ليس لها أبو الحسن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شهد عبد الله بن مسعود بأن عليّ بن أبي طالب عَلیه السَلام عنده علم الظاهر والباطن</w:t>
      </w:r>
      <w:r>
        <w:rPr>
          <w:rStyle w:val="FootnoteAnchor"/>
          <w:rtl w:val="true"/>
        </w:rPr>
        <w:footnoteReference w:id="385"/>
      </w:r>
      <w:r>
        <w:rPr>
          <w:rFonts w:ascii="IRNazanin" w:hAnsi="IRNazanin" w:eastAsia="IRNazanin"/>
          <w:color w:val="111111"/>
          <w:sz w:val="28"/>
          <w:sz w:val="28"/>
          <w:szCs w:val="28"/>
          <w:rtl w:val="true"/>
          <w:lang w:bidi="fa-IR"/>
        </w:rPr>
        <w:t xml:space="preserve">، وشهد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بغزارة علمه عَلیه السَلام ، وأن علم سائر الصحابة بالنسبة إلى علمه عَلیه السَلام كقطرة في سبعة أبحر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ونختم الكلام في مبحثنا هذا بقول ابن الأثير في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إيراده جملة من علمه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ذكرنا ما سأله الصحابة مثل عمر وغيره لأطلنا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نستجلي من هذه الأحاديث الأُمور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مسدد اللسان والقلب، وقلبه مملوء بالفهم والعلم والنور والحكمة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أعلم الناس بعد النبي صلّى الله عليه و آله و سلّم بكتاب الله؛ لأنّ الله وهب له قلباً عقولاً ولساناً سؤولاً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كان يغرّه بالعلم غرّاً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يشهد بأنّ علياً أقضاهم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يتعوّذ أن يعيش في قوم ليس فيهم الإمام علي عَلیه السَلام ؛ إشارة إلى حَلّه للمعضلات العلميّة، التي يفتقدها عمر أو يصعب عليه فهمها</w:t>
      </w:r>
      <w:r>
        <w:rPr>
          <w:rFonts w:eastAsia="IRNazanin" w:cs="IRNazanin"/>
          <w:color w:val="111111"/>
          <w:sz w:val="28"/>
          <w:szCs w:val="28"/>
          <w:rtl w:val="true"/>
          <w:lang w:bidi="fa-IR"/>
        </w:rPr>
        <w:t xml:space="preserve">. </w:t>
      </w:r>
      <w:bookmarkStart w:id="470" w:name="pg7540_66795"/>
    </w:p>
    <w:p>
      <w:pPr>
        <w:pStyle w:val="BookText"/>
        <w:rPr/>
      </w:pPr>
      <w:bookmarkEnd w:id="47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عنده علم الظاهر والباطن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من علم النبي صلّى الله عليه و آله و سلّم ، وعلم النبي‘ من الله؛ فيكون علمه عَلیه السَلام من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علم الصحابة في علم عليّ عَلیه السَلام إلّا كقطرة في سبعة أبحر</w:t>
      </w:r>
      <w:r>
        <w:rPr>
          <w:rFonts w:eastAsia="IRNazanin" w:cs="IRNazanin"/>
          <w:color w:val="111111"/>
          <w:sz w:val="28"/>
          <w:szCs w:val="28"/>
          <w:rtl w:val="true"/>
          <w:lang w:bidi="fa-IR"/>
        </w:rPr>
        <w:t>.</w:t>
      </w:r>
    </w:p>
    <w:p>
      <w:pPr>
        <w:pStyle w:val="Heading6"/>
        <w:numPr>
          <w:ilvl w:val="5"/>
          <w:numId w:val="1"/>
        </w:numPr>
        <w:rPr/>
      </w:pPr>
      <w:bookmarkStart w:id="471" w:name="__RefHeading___Toc2793030_1051229030"/>
      <w:bookmarkStart w:id="472" w:name="_Toc171"/>
      <w:bookmarkEnd w:id="471"/>
      <w:r>
        <w:rPr>
          <w:rtl w:val="true"/>
        </w:rPr>
        <w:t>فقهاء الإسلام ينهلون من علم علي عَلیه السَلام</w:t>
      </w:r>
      <w:bookmarkEnd w:id="472"/>
    </w:p>
    <w:p>
      <w:pPr>
        <w:pStyle w:val="BookText"/>
        <w:rPr/>
      </w:pPr>
      <w:r>
        <w:rPr>
          <w:rFonts w:ascii="IRNazanin" w:hAnsi="IRNazanin" w:eastAsia="IRNazanin"/>
          <w:color w:val="111111"/>
          <w:sz w:val="28"/>
          <w:sz w:val="28"/>
          <w:szCs w:val="28"/>
          <w:rtl w:val="true"/>
          <w:lang w:bidi="fa-IR"/>
        </w:rPr>
        <w:t>أجمع الناس كافة على أنّ علي بن أبي طالب عَلیه السَلام كان أعلم أهل زمانه، وسائر العلماء راجعون إليه ولو بالواسطة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الشيعة، فرجوعهم إليه واضح؛ إذ إنّهم لا يأخذون إلّا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علماء الكلام من غير الشيعة كالمعتزلة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فأوّلهم وشيخهم أبو هاشم عبد الله بن محمد بن الحنفيّة، وهو تلميذ أبيه محمد ومحمد بن الحنفيّة تلميذ أبيه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فقهاء المذاهب الأربعة وغيرهم، فكلهم يرجعون إليه؛ لأن فقهاء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أبي يوسف ومحمد ينتمون إلى أبي حنيفة النعمان بن ثابت، والأخير تلميذ أبي عبد الله الصادق عَلیه السَلام ، ولا نزاع في أنّ علم الإمام أبي عبد الله الصادق عَلیه السَلام إنما ورثه بواسطة أبيه، عن جده علي بن الحسين عَلیه السَلام ، عن أبيه عن أمير المؤمنين عَلیه السَلام ،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الشافعيّة، فإنّهم ينتمون إلى محمد بن إدريس الشافعي، وهو تلميذ محمد بن الحسن تلميذ أبي حنيفة، وقد تقدّم معنا أنّ أبا حنيفة تتلمذ على يد الإمام الصادق عَلیه السَلام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الحنابلة، فإلى أحمد بن حنبل، وهو تلميذ الشافعي؛ فيرجع ما عنده مِن علم إليه</w:t>
      </w:r>
      <w:r>
        <w:rPr>
          <w:rFonts w:eastAsia="Amiri" w:cs="Amiri" w:ascii="Amiri" w:hAnsi="Amiri"/>
          <w:color w:val="111111"/>
          <w:sz w:val="28"/>
          <w:szCs w:val="28"/>
          <w:rtl w:val="true"/>
          <w:lang w:bidi="ar-SA"/>
        </w:rPr>
        <w:t xml:space="preserve">. </w:t>
      </w:r>
      <w:bookmarkStart w:id="473" w:name="pg7540_66796"/>
    </w:p>
    <w:p>
      <w:pPr>
        <w:pStyle w:val="BookText"/>
        <w:rPr/>
      </w:pPr>
      <w:bookmarkEnd w:id="473"/>
      <w:r>
        <w:rPr>
          <w:rFonts w:ascii="IRNazanin" w:hAnsi="IRNazanin" w:eastAsia="IRNazanin"/>
          <w:color w:val="111111"/>
          <w:sz w:val="28"/>
          <w:sz w:val="28"/>
          <w:szCs w:val="28"/>
          <w:rtl w:val="true"/>
          <w:lang w:bidi="fa-IR"/>
        </w:rPr>
        <w:t>وأمّا المالكيّة، فإلى أنس بن مالك صاحب كتاب الموطّأ المدني، وهو تلميذ ربيعة، وربيعة تلميذ عكرمة، وعكرمة تلميذ ابن عباس، وابن عباس تلميذ عليّ عَلیه السَلام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السلوك والطريقة، فإلى عليّ عَلیه السَلام ينتهون، كما صرّح به الشبلي، والجنيد، والسري، وأبو زيد البسطامي، ومعروف الكرخي وغيرهم من الصوفيّة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علم العربية، فيرجع إليه أيضاً؛ لأنه الواضع والمؤسّس لعلم العربية، وقد اتّفق أهل النقل على ذلك، فهو الذي أملى على أبي الأسود الدؤلي جوامعه</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نستغرب بعد ذلك أن يكون علي عَلیه السَلام هو رأس الفضائل كلّها، كما صرّح أحمد بن حنبل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فلا غرو أن يكون عليّ هو الباب لمدينة علم رسول الله‘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2793032_1051229030"/>
      <w:bookmarkStart w:id="475" w:name="_Toc172"/>
      <w:bookmarkEnd w:id="474"/>
      <w:r>
        <w:rPr>
          <w:rtl w:val="true"/>
        </w:rPr>
        <w:t>المبحث الثاني</w:t>
      </w:r>
      <w:r>
        <w:rPr>
          <w:rtl w:val="true"/>
        </w:rPr>
        <w:t xml:space="preserve">: </w:t>
      </w:r>
      <w:r>
        <w:rPr>
          <w:rtl w:val="true"/>
        </w:rPr>
        <w:t>الرد على مدّعيات الشيخ ابن تيمية والمعلمي</w:t>
      </w:r>
      <w:bookmarkEnd w:id="475"/>
    </w:p>
    <w:p>
      <w:pPr>
        <w:pStyle w:val="Heading6"/>
        <w:numPr>
          <w:ilvl w:val="5"/>
          <w:numId w:val="1"/>
        </w:numPr>
        <w:rPr/>
      </w:pPr>
      <w:bookmarkStart w:id="476" w:name="__RefHeading___Toc2793034_1051229030"/>
      <w:bookmarkStart w:id="477" w:name="_Toc173"/>
      <w:bookmarkEnd w:id="476"/>
      <w:r>
        <w:rPr>
          <w:rtl w:val="true"/>
        </w:rPr>
        <w:t>اشارة</w:t>
      </w:r>
      <w:bookmarkEnd w:id="47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ذكرنا في مقدمة بحثنا أنّ هناك مَن يُشكّك في منقبة من مناقب أمير المؤمنين عَلیه السَلام طالما ردّدها رسول الله‘ على مسامع المسلمين، ألا وهي فضيلة كون عليٍّ عَلیه السَلام هو باب مدينة علم رسول الله صلّى الله عليه و آله و سلّم الذي ينفتح منه ألف باب من العلم والمعرفة، فقد ذكر ابن تيمية في خصوص ذلك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وحديث أنا مدينة العلم وعليٌّ بابها، أضعف وأوهى؛ ولهذا إنّما يعدّ في الموضوعات، وإن رواه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ابن الجوزي وبيَّن أن سائر طرقه موضوعة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جاء المعلمي</w:t>
      </w:r>
      <w:r>
        <w:rPr>
          <w:rStyle w:val="FootnoteAnchor"/>
          <w:rtl w:val="true"/>
        </w:rPr>
        <w:footnoteReference w:id="390"/>
      </w:r>
      <w:r>
        <w:rPr>
          <w:rFonts w:ascii="Amiri" w:hAnsi="Amiri" w:eastAsia="Amiri" w:cs="Amiri"/>
          <w:color w:val="111111"/>
          <w:sz w:val="28"/>
          <w:sz w:val="28"/>
          <w:szCs w:val="28"/>
          <w:rtl w:val="true"/>
          <w:lang w:bidi="ar-SA"/>
        </w:rPr>
        <w:t>مقتفياً أثر أشياخه ليُتحفنا بفتح جديد،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النظر والتدّبر في هذا الحديث، بعد أن كان يعتقد بقوته، وبعد طول تدبّر وصل إلى نتيجة مؤدّاها تضعيف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الفوائد المجموعة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قَبل أميل إلى اعتقاد قوّة هذا الخبر حتى تدبّرته، وله لفظان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داعي للنظر في الطرق التي لا نزاع في سقوطها، وأنظر فيما عدا ذلك على ثلاثة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الخبر الأول إلى أبي معاوية، والثاني إلى شريك، روى الأول عن أبي معاوية، أبو الصلت عبد السلام بن صالح، وقد تقدّم حال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أبا معاوية حدَّث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وشريكاً حدَّث بهذا، فإنّما جاء ذاك، عن أبي معاوية، عن الأعمش،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معاوية، والأعمش، وشريك، كلهم مدلّسون متشيّعون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ذُكروا في الطبقة الثانية، من طبقات المدلسين، وهي طبقة مَن </w:t>
      </w:r>
      <w:bookmarkStart w:id="478" w:name="pg7540_66798"/>
    </w:p>
    <w:p>
      <w:pPr>
        <w:pStyle w:val="BookText"/>
        <w:rPr/>
      </w:pPr>
      <w:bookmarkEnd w:id="4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الأُمّة تدليسه، وأخرجوا له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هذا أنّ المذكورين في الطبقة الثانية تُقبل عنعنتهم مطلقاً، كمَن ليس بمدلّس البتّة، إنّما المعنى أنّ الشيخين انتقيا في المتابعات ونحوها في معنعناتهم، ما غلب على ظنهما أنّه سماع، أو أنّ الساقط منه ثقة، أو كان ثابتاً من طريق أُخرى، ونحو ذلك كشأنهما فيمَن أخرجا له ممَّن فيه ضعف، وقد قرّر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نخبته ومقدمة اللسان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نوثّقه، ونقبل خبره من المبتدعة، يختصّ ذلك بما لا يؤيّد بدعته، فأمّا ما يؤيّد بدعته، فلا يقبل منه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متن الخبر، كلّ مَن تأمّل منطوق الخبر، ثمّ عرضه على الواقع، عرف حقيقة الحال، والله المستعان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نضع كلام المعلمي على طاولة النقاش العلمي والموضوعي، وبالردّ عليه يتّضح الردّ على ابن تيمية؛ لذا سوف نأخذ عيّنات من كلماته ونردّ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داعي للنظر في الطرق التي لا نزاع في سقوطها</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2793036_1051229030"/>
      <w:bookmarkStart w:id="480" w:name="_Toc174"/>
      <w:bookmarkEnd w:id="479"/>
      <w:r>
        <w:rPr>
          <w:rtl w:val="true"/>
        </w:rPr>
        <w:t>الجواب</w:t>
      </w:r>
      <w:r>
        <w:rPr>
          <w:rtl w:val="true"/>
        </w:rPr>
        <w:t xml:space="preserve">: </w:t>
      </w:r>
      <w:r>
        <w:rPr>
          <w:rtl w:val="true"/>
        </w:rPr>
        <w:t>الحديث يتقوَّى بتعدُّد الطرق والمتابعات</w:t>
      </w:r>
      <w:bookmarkEnd w:id="48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الأُمور التي تجعل الحديث معتبراً في نظر العلماء هو كونه متعدد الطرق والمتابعات، والحديث الذي ذكرناه من صغريات هذه القاعدة، إلّا أنّ الشيخ أغمض عينيه عن مجموع الطرق الكثيرة التي بلغت من الكثرة؛ بحيث نستطيع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الحديث متواتر تواتراً إجمالياً، فقد ذكره جمع من الصحابة، كأمير المؤمنين، والإمام الحسن، والإمام الحسين علیهم السلام وعبد الله بن عباس، وجابر بن عبد الله، وعبد الله بن </w:t>
      </w:r>
    </w:p>
    <w:p>
      <w:pPr>
        <w:pStyle w:val="BookText"/>
        <w:rPr/>
      </w:pPr>
      <w:r>
        <w:rPr>
          <w:rFonts w:ascii="Amiri" w:hAnsi="Amiri" w:eastAsia="Amiri" w:cs="Amiri"/>
          <w:color w:val="111111"/>
          <w:sz w:val="28"/>
          <w:sz w:val="28"/>
          <w:szCs w:val="28"/>
          <w:rtl w:val="true"/>
          <w:lang w:bidi="ar-SA"/>
        </w:rPr>
        <w:t xml:space="preserve">مسعود، وعبد الله بن عمر، وعمرو بن العاص، وحذيفة بن اليمان، وأنس بن مالك، ومتابعاته وشواهده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مفصّلاً حول تلك الطرق؛ فليس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 عن الاعتبار؛ بل صحّحه أعلام أهل السنّة، كالحاكم النيسابوري، وابن حجر، والسيوطي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بسقوط تلك الطرق ليس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ونعتقد أنّ الشيخ يؤمن بذلك؛ لأنّ منشأ اعتقاده وميله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قوّته كما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بحسب تعدّد الطرق لهذا الحديث، والمفترض أنه ملمّاً بهذا الأمر، ولا يخفى على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مشابه لهذا الحديث</w:t>
      </w:r>
      <w:r>
        <w:rPr>
          <w:rStyle w:val="FootnoteAnchor"/>
          <w:rtl w:val="true"/>
        </w:rPr>
        <w:footnoteReference w:id="392"/>
      </w:r>
      <w:r>
        <w:rPr>
          <w:rFonts w:ascii="Amiri" w:hAnsi="Amiri" w:eastAsia="Amiri" w:cs="Amiri"/>
          <w:color w:val="111111"/>
          <w:sz w:val="28"/>
          <w:sz w:val="28"/>
          <w:szCs w:val="28"/>
          <w:rtl w:val="true"/>
          <w:lang w:bidi="ar-SA"/>
        </w:rPr>
        <w:t xml:space="preserve">الذي ضعَّفه ابن الجوزي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ابن الجوزي في هذا الحديث باطل، وأنّه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لم يستدلّ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إقدام على ردّ الأحاديث الصحيحة بمجرّد التوهّم، ولا ينبغي الإقدام على الحُكم بالوضع، إلّا عند عدم إمكان الجمع، ولا يلزم من تعذُّر الجمع في الحال، أنّه لا يمكن بعد ذلك؛ لأن فوق كلّ ذي علم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مشهور له طرق متعددة، كلّ طريق منها على انفراده لا يقصر عن رتبة الحسن، ومجموعها ممّا يقطع بصحته، على طريقة كثير من أهل الحديث</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عندما سُئل الحافظ ابن حجر عن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تلك الأحاديث التي اُدعي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حديث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أنّ فيها حديثاً </w:t>
      </w:r>
    </w:p>
    <w:p>
      <w:pPr>
        <w:pStyle w:val="BookText"/>
        <w:rPr/>
      </w:pPr>
      <w:r>
        <w:rPr>
          <w:rFonts w:ascii="Amiri" w:hAnsi="Amiri" w:eastAsia="Amiri" w:cs="Amiri"/>
          <w:color w:val="111111"/>
          <w:sz w:val="28"/>
          <w:sz w:val="28"/>
          <w:szCs w:val="28"/>
          <w:rtl w:val="true"/>
          <w:lang w:bidi="ar-SA"/>
        </w:rPr>
        <w:t>واحداً يتأتّى الحكم عليه بالوضع</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نجد أنّ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القاعدة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لو لم يصل ويثبت عند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هذا الحديث في سنده مجهول، أو قطع، أو متّهم، بل لو كان سيء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هناك طرق أُخرى له؛ فيصح الحديث بالمتابعات والشواهد،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الحديث قد بلغه لكنه لم يثبت عنده، إمّا لأن محدِّثه أو محدِّث محدِّثه أو غيره من رجال الإسناد مجهول عنده، أو متّهم، أو سيء الحفظ، وإمّا لأنّه لم يبلغه مسنداً بل منقطعاً، أو لم يضبط لفظ الحديث، مع أنّ ذلك الحديث قد رواه الثقات لغيره بإسناد متّصل، بأن يكون غيره يعلم من المجهول عنده الثقةَ، أو يكون قد رواه غير أُولئك المجروحين عنده، أو قد اتّصل من غير الجهة المنقطعة، وقد ضبط ألفاظ الحديث بعض المحدِّثين الحفّاظ، أو لتلك الرواية من الشواهد والمتابعات ما يُبيّن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الأحاديث كانت قد انتشرت واشتُهرت، لكن كانت تبلغ كثيراً من العلماء من طرق ضعيفة، وقد بلغت غيرهم من طرق صحيحة غير تلك الطرق؛ فتكون حجة من هذا الوجه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نستنتج أنّ طريقة أهل الحديث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تعددت الطرق والمتابعات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الحديث يرقى إلى الصحيح أو الحسن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وسنأتي على تعدُّد هذا الحديث ومتابعاته وشواهده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المعلمي مجرّد وهم، وخالٍ من الدليل والبرهان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الخبر الأول إلى أبي معاوية،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شريك، روى الأول عن أبي معاوية، أبو الصلت عبد السلام بن صالح، وقد تقدّم حال أبي الصلت</w:t>
      </w:r>
      <w:r>
        <w:rPr>
          <w:rFonts w:eastAsia="Amiri" w:cs="Amiri" w:ascii="Amiri" w:hAnsi="Amiri"/>
          <w:color w:val="111111"/>
          <w:sz w:val="28"/>
          <w:szCs w:val="28"/>
          <w:rtl w:val="true"/>
          <w:lang w:bidi="ar-SA"/>
        </w:rPr>
        <w:t xml:space="preserve">..» </w:t>
      </w:r>
      <w:bookmarkStart w:id="481" w:name="pg7540_66801"/>
    </w:p>
    <w:p>
      <w:pPr>
        <w:pStyle w:val="Heading6"/>
        <w:numPr>
          <w:ilvl w:val="5"/>
          <w:numId w:val="1"/>
        </w:numPr>
        <w:rPr/>
      </w:pPr>
      <w:bookmarkStart w:id="482" w:name="__RefHeading___Toc2793038_1051229030"/>
      <w:bookmarkStart w:id="483" w:name="_Toc175"/>
      <w:bookmarkEnd w:id="481"/>
      <w:bookmarkEnd w:id="482"/>
      <w:r>
        <w:rPr>
          <w:rtl w:val="true"/>
        </w:rPr>
        <w:t>الجواب</w:t>
      </w:r>
      <w:r>
        <w:rPr>
          <w:rtl w:val="true"/>
        </w:rPr>
        <w:t xml:space="preserve">: </w:t>
      </w:r>
      <w:r>
        <w:rPr>
          <w:rtl w:val="true"/>
        </w:rPr>
        <w:t>أبو الصلت الهروي بين التوثيق والتضعيف</w:t>
      </w:r>
      <w:bookmarkEnd w:id="483"/>
    </w:p>
    <w:p>
      <w:pPr>
        <w:pStyle w:val="BookText"/>
        <w:rPr/>
      </w:pPr>
      <w:r>
        <w:rPr>
          <w:rFonts w:ascii="Amiri" w:hAnsi="Amiri" w:eastAsia="Amiri" w:cs="Amiri"/>
          <w:color w:val="111111"/>
          <w:sz w:val="28"/>
          <w:sz w:val="28"/>
          <w:szCs w:val="28"/>
          <w:rtl w:val="true"/>
          <w:lang w:bidi="ar-SA"/>
        </w:rPr>
        <w:t>قد حكم المعلمي بضعف أبي الصلت الهروي، ولكن قبل أن نُبدي رأينا فيه لا بدّ أن نخوض البحث بطريقة علميّة، فنضع الرجل في مقصّ ورقيب ومجهر علماء الجرح والتعديل، بمجموع مَن وثّقه ومَن جرحه، ونناقش أو نحاكم تلكم الأقوال وفق الضوابط والمباني الرجاليّة التي يؤمن بها الشيخ المعلمي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نقع في عين الخطأ الذي فعله، بحيث نجد أنّه حكم بضعفه، ولم ينقل كلام أساطين الفنّ الذين وثّقوه، كابن معين، وابن حجر،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عيب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وللعلاّمة اللكنوي كلام دقيق، وفي الوقت نفسه شديد على مَن تمسَّك بالجرح وترك التعديل؛ حيث إنّه بعد إيراده كلاماً للذهبي،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الذهبي في ميزانه في ترجمة أبان بن يزيد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أورده أيضاً العلاّمة ابن الجوزي في الضعفاء، ولم يذكر فيه أقوال مَن وثّقه، وهذا من عيوب كتابه، يسرد الجرح ويسكت عن التوثيق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اللكنوي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النصوص لعلّها لم تقرع صماخ أفاضل عصرنا وأماثل دهرنا، فإنّ شيمتهم أنّهم حين قصدهم بيان ضعف روايةٍ، ينقلون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دون التعديل، فيوقعون العوام في المغلطة؛ لظنهم أنّ هذا الراوي عار عن تعديل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عليهم أن ينقلوا الجرح والتعديل كليهما، ثمّ يرجّحوا حسبما يلوح لهم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تلك شيمة محرّمة وخصلة مخرمة</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لنأخذ نماذج ممَّن قالوا بتوثيقه وتضعيفه، ومن ثَمَّ نناقشها</w:t>
      </w:r>
      <w:r>
        <w:rPr>
          <w:rFonts w:eastAsia="Amiri" w:cs="Amiri" w:ascii="Amiri" w:hAnsi="Amiri"/>
          <w:color w:val="111111"/>
          <w:sz w:val="28"/>
          <w:szCs w:val="28"/>
          <w:rtl w:val="true"/>
          <w:lang w:bidi="ar-SA"/>
        </w:rPr>
        <w:t xml:space="preserve">. </w:t>
      </w:r>
      <w:bookmarkStart w:id="484" w:name="pg7540_66802"/>
    </w:p>
    <w:p>
      <w:pPr>
        <w:pStyle w:val="Heading6"/>
        <w:numPr>
          <w:ilvl w:val="5"/>
          <w:numId w:val="1"/>
        </w:numPr>
        <w:rPr/>
      </w:pPr>
      <w:bookmarkStart w:id="485" w:name="__RefHeading___Toc2793040_1051229030"/>
      <w:bookmarkStart w:id="486" w:name="_Toc176"/>
      <w:bookmarkEnd w:id="484"/>
      <w:bookmarkEnd w:id="485"/>
      <w:r>
        <w:rPr>
          <w:rtl w:val="true"/>
        </w:rPr>
        <w:t>الموثِقون</w:t>
      </w:r>
      <w:r>
        <w:rPr>
          <w:rtl w:val="true"/>
        </w:rPr>
        <w:t>:</w:t>
      </w:r>
      <w:bookmarkEnd w:id="4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معين، وهو من أكابر علماء 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يوثِّق أبا الصلت</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الصلت ثقة مأمون؛ فإني سمعت أبا العباس محمد بن يعقوب في التاريخ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حدَّث عن أبي معاوية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به محمد بن جعفر الفيدي، وهو ثقة مأمون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صاحب قشاف، وهو من آحاد المعدودين في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عبيد الله بن عمر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الحسن بن علي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إلا أنّه يتشيّع</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فالخطيب يميل إلى توثيقه؛ تبعاً لتوثيق ابن معين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السلام بن صالح بن سليمان، أبو الصلت الهروي مولى قريش، نزل نيسابور، صدوق له مناكير، وكان يتشيّع، وأفرط العقيلي </w:t>
      </w:r>
      <w:bookmarkStart w:id="487" w:name="pg7540_66803"/>
    </w:p>
    <w:p>
      <w:pPr>
        <w:pStyle w:val="BookText"/>
        <w:rPr/>
      </w:pPr>
      <w:bookmarkEnd w:id="48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ابن حجر يرى حُسنه</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2793042_1051229030"/>
      <w:bookmarkStart w:id="489" w:name="_Toc177"/>
      <w:bookmarkEnd w:id="488"/>
      <w:r>
        <w:rPr>
          <w:rtl w:val="true"/>
        </w:rPr>
        <w:t>المضعِّفون</w:t>
      </w:r>
      <w:r>
        <w:rPr>
          <w:rtl w:val="true"/>
        </w:rPr>
        <w:t>:</w:t>
      </w:r>
      <w:bookmarkEnd w:id="489"/>
    </w:p>
    <w:p>
      <w:pPr>
        <w:pStyle w:val="BookText"/>
        <w:rPr/>
      </w:pPr>
      <w:r>
        <w:rPr>
          <w:rFonts w:ascii="Amiri" w:hAnsi="Amiri" w:eastAsia="Amiri" w:cs="Amiri"/>
          <w:color w:val="111111"/>
          <w:sz w:val="28"/>
          <w:sz w:val="28"/>
          <w:szCs w:val="28"/>
          <w:rtl w:val="true"/>
          <w:lang w:bidi="ar-SA"/>
        </w:rPr>
        <w:t>أما المضعِّفون لأبي الصلت، فقد أحصاهم المزّي في موسوعته تهذيب الكمال، وهم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الرحمان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بصدوق، وهو ضعيف، ولم يحدثني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أن يُضرب على حديث أبي الصلت،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عنه ولا أرضاه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يعقوب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الصلت الهروي زائغاً عن الحقّ مائلاً عن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الدارالقطني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بكر البرقاني عن أبي الحسن الدار قطني، كان رافضيّاً خبيثاً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العالم العابد، شيخ الشيعة، أبو الصلت عبد السلام بن صالح الهروي، ثمّ النيسابوري مولى قريش، له فضل وجلالة، فيا ليته ثقة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فالذهبي يقرّ بكونه شيخاً عابداً، وله فضل وجلالة، ولكن يتمنّى أن يكون ثقة</w:t>
      </w:r>
      <w:r>
        <w:rPr>
          <w:rFonts w:eastAsia="Amiri" w:cs="Amiri" w:ascii="Amiri" w:hAnsi="Amiri"/>
          <w:color w:val="111111"/>
          <w:sz w:val="28"/>
          <w:szCs w:val="28"/>
          <w:rtl w:val="true"/>
          <w:lang w:bidi="ar-SA"/>
        </w:rPr>
        <w:t xml:space="preserve">. </w:t>
      </w:r>
      <w:bookmarkStart w:id="490" w:name="pg7540_66804"/>
    </w:p>
    <w:p>
      <w:pPr>
        <w:pStyle w:val="BookText"/>
        <w:rPr/>
      </w:pPr>
      <w:bookmarkEnd w:id="49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يكفي في صدق هذه الأمنية التي تمنَّاها الذهبي كونه رضوان الله عليه عابداً، وفي بعض التراجم من المعدودين في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هناك سبباً آخر يمنعه من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نناقش هذا الأمر بإنصاف وحكمة، ونضع الأُمور في نصابها الصحيح</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2793044_1051229030"/>
      <w:bookmarkStart w:id="492" w:name="_Toc178"/>
      <w:bookmarkEnd w:id="491"/>
      <w:r>
        <w:rPr>
          <w:rtl w:val="true"/>
        </w:rPr>
        <w:t>مناقشة المضعِّفين لأبي الصلت الهروي</w:t>
      </w:r>
      <w:bookmarkEnd w:id="492"/>
    </w:p>
    <w:p>
      <w:pPr>
        <w:pStyle w:val="Heading6"/>
        <w:numPr>
          <w:ilvl w:val="5"/>
          <w:numId w:val="1"/>
        </w:numPr>
        <w:rPr/>
      </w:pPr>
      <w:bookmarkStart w:id="493" w:name="__RefHeading___Toc2793046_1051229030"/>
      <w:bookmarkStart w:id="494" w:name="_Toc179"/>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بعدما تقدم من ذكرنا لتضعيف أبي الصلت، لا بدّ أن نضع أيدينا على بعض الأُسس والقواعد التي ارتآها أرباب الجرح والتعديل في قبول أو ردّ تلكم الأقوال</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2793048_1051229030"/>
      <w:bookmarkStart w:id="496" w:name="_Toc180"/>
      <w:bookmarkEnd w:id="495"/>
      <w:r>
        <w:rPr>
          <w:rtl w:val="true"/>
        </w:rPr>
        <w:t>القاعدة الأولى</w:t>
      </w:r>
      <w:r>
        <w:rPr>
          <w:rtl w:val="true"/>
        </w:rPr>
        <w:t xml:space="preserve">: </w:t>
      </w:r>
      <w:r>
        <w:rPr>
          <w:rtl w:val="true"/>
        </w:rPr>
        <w:t>التضعيف والتوثيق للرواة أمر اجتهادي</w:t>
      </w:r>
      <w:bookmarkEnd w:id="496"/>
    </w:p>
    <w:p>
      <w:pPr>
        <w:pStyle w:val="BookText"/>
        <w:rPr/>
      </w:pPr>
      <w:r>
        <w:rPr>
          <w:rFonts w:ascii="Amiri" w:hAnsi="Amiri" w:eastAsia="Amiri" w:cs="Amiri"/>
          <w:color w:val="111111"/>
          <w:sz w:val="28"/>
          <w:sz w:val="28"/>
          <w:szCs w:val="28"/>
          <w:rtl w:val="true"/>
          <w:lang w:bidi="ar-SA"/>
        </w:rPr>
        <w:t>من القواعد التي قرّرها علماء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التوثيق أمر اجتهادي نسبي؛ فقد يكون رجل ثقةً عند عالم ضعيفاً عند غيره، وكما قال التهانوي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تضعيف الرجال وتوثيقهم وتصحيح الأحاديث وتحسينها أمر اجتهادي ولكلٍّ وجهة، فيجوز أن يكون راو ضعيفاً عند واحد ثقةً عند غيره؛ وهذا يدلّ عليه قول العلاّمة ابن تيمية في كتابه رفع الملام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الرجال علم واسع، وللعلماء بالرجال وأحوالهم في ذلك من الإجماع والاختلاف مثل ما لغيرهم من سائر أهل العلم في علومهم</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معقّباً على كلام ابن جرير الذي صحَّح حديث مدينة 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صحيح سنده، وقد يجب أن يكون عند الآخرين سقيماً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كلام ابن جرير على اختلافهم في شروط صحّة الحديث وتوثيق الرجال</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نفهم من ذلك أنّه ليس بالضرورة أن يكون الحديث ضعيفاً، فقد توجد </w:t>
      </w:r>
      <w:bookmarkStart w:id="497" w:name="pg7540_66805"/>
    </w:p>
    <w:p>
      <w:pPr>
        <w:pStyle w:val="BookText"/>
        <w:rPr/>
      </w:pPr>
      <w:bookmarkEnd w:id="497"/>
      <w:r>
        <w:rPr>
          <w:rFonts w:ascii="Amiri" w:hAnsi="Amiri" w:eastAsia="Amiri" w:cs="Amiri"/>
          <w:color w:val="111111"/>
          <w:sz w:val="28"/>
          <w:sz w:val="28"/>
          <w:szCs w:val="28"/>
          <w:rtl w:val="true"/>
          <w:lang w:bidi="ar-SA"/>
        </w:rPr>
        <w:t>شروط صحيحة للحديث فيتمّ تصحيحه، والعكس صحيح أيضاً، وخير مثال ما نحن فيه، فحديث الباب قد صحّحه كبار الأئمة، كابن جرير وابن معين وغيرهم؛ وذلك طبقاً لاجتهادهم الذي أوصلهم إلى هذه النتيجة، وأمّا إذا حكمنا بضعف هذا الحديث إطلاقاً، فهو كلام غير دقيق وبعيد عن الصحة</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2793050_1051229030"/>
      <w:bookmarkStart w:id="499" w:name="_Toc181"/>
      <w:bookmarkEnd w:id="498"/>
      <w:r>
        <w:rPr>
          <w:rtl w:val="true"/>
        </w:rPr>
        <w:t>القاعدة الثانية</w:t>
      </w:r>
      <w:r>
        <w:rPr>
          <w:rtl w:val="true"/>
        </w:rPr>
        <w:t xml:space="preserve">: </w:t>
      </w:r>
      <w:r>
        <w:rPr>
          <w:rtl w:val="true"/>
        </w:rPr>
        <w:t>الجرح لا يُقبل إلا مفسَّراً</w:t>
      </w:r>
      <w:bookmarkEnd w:id="499"/>
    </w:p>
    <w:p>
      <w:pPr>
        <w:pStyle w:val="BookText"/>
        <w:rPr/>
      </w:pPr>
      <w:r>
        <w:rPr>
          <w:rFonts w:ascii="Amiri" w:hAnsi="Amiri" w:eastAsia="Amiri" w:cs="Amiri"/>
          <w:color w:val="111111"/>
          <w:sz w:val="28"/>
          <w:sz w:val="28"/>
          <w:szCs w:val="28"/>
          <w:rtl w:val="true"/>
          <w:lang w:bidi="ar-SA"/>
        </w:rPr>
        <w:t>إنّ الجرح للرواة لا بدّ أن يُذكر فيه السبب، وأن يُفسَّر تفسيراً صريحاً واضحاً في ذلك، مثلاً إذا قيل عن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بيان ذلك، فلا يُكتفى بهذا التعبير، بل لا بدّ من بيان ماهية الكذب وأنّه سمعه، وأن يقيم الدليل على ذلك، بحيث يُطمأن بمصداقية الجارح للراوي، وهناك جملة من الشروط لخّصها العلاّمة أحمد بن الصديق المغربي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الجرح المفسَّر يُقبل من الجارح ما هو جرح حقيقة،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كذّاب؛ لأنّه حدَّث عن فلان وادّعى السماع منه، وقد مات قبل ولادته أو قبل دخوله لبلده، أو سُئل الشيخ عن الحديث فأنكره، وأبدى دليلاً على عدم سماعه له، أو أقرّ على نفسه بالكذب، أو زاد في النسخة، أو أدخل نفسه في الطباق، أو كان يترك الصلاة، ويقيم الدليل على ذلك كما فعل بعضهم مع بعض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ويطرح ما ليس بجرح؛ لهذا فلا يُقبل خصوصاً مع معارضه التعديل، وعلى هذا استقر صنيع جميعهم، وصرّح به أكثرهم في أُصول الفقه والحديث كما هو معروف</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مشهورة على لسان المحدِّثين؛ فلا نطيل الكلام فيها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تتبعنا كلمات الجارحين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نجدهم يبيّنون لنا ماهية هذا الجرح سوى تهمته بأنّه رافضيّ خبيث أو بالتشيّع وكونه جلداً، كما قال الذهبي</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Amiri" w:hAnsi="Amiri" w:eastAsia="Amiri" w:cs="Amiri"/>
          <w:color w:val="111111"/>
          <w:sz w:val="28"/>
          <w:sz w:val="28"/>
          <w:szCs w:val="28"/>
          <w:rtl w:val="true"/>
          <w:lang w:bidi="ar-SA"/>
        </w:rPr>
        <w:t>لا يعدّ جرحاً مفسَّراً؛ لأنّه من خلال متابعتنا لكلمات الذهبي يتّضح معنى الشيعي الجلد؛ وذلك من خلال ترجمته لأبان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 بن تغلب الكوفي، شيعي جلد، لكنه صدوق، فلنا صدقه وعليه بدعته</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فالشيعي الجلد صاحب بدعة، والبدعة لها أقسام، كما يفسّرها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يتساءل الذهبي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ساغ توثيق مبتدع، وحدُّ الثقة العدالة والإتقان؟ فكيف يكون عدلاً مَن هو صاحب بدعة؟</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فبدعة صغرى، كغلو التشيّع، أو كالتشيّع بلا غلو ولا تحريف، فهذا كثيراً في التابعين وتابعيهم مع الدين والورع والصدق، فلو رُدّ حديث هؤلاء؛ لذهب جملة من الآثار النبوية، وهذه مفسدة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بدعة كبرى، كالرفض الكامل والغلو فيه، والحطّ على أبي بكر وعمر، والدعاء إلى ذلك، فهذا النوع لا يحتجّ بهم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أبان بن تغلب يعرض للشيخين أصلاً، بل قد يعتقد علياً أفضل منهما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فيرى الذهبي أن أبان بن تغلب صاحب بدعة صغرى، ومعيار البدعة الصغرى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الحطّ على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أنّ علياً هو الأفضل ممَّن سبقه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فأبان مع بدعته حاله كحال التابعين وتابعي التابعين مع الدين والصدق، ولو </w:t>
      </w:r>
      <w:bookmarkStart w:id="500" w:name="pg7540_66807"/>
    </w:p>
    <w:p>
      <w:pPr>
        <w:pStyle w:val="BookText"/>
        <w:rPr/>
      </w:pPr>
      <w:bookmarkEnd w:id="500"/>
      <w:r>
        <w:rPr>
          <w:rFonts w:ascii="Amiri" w:hAnsi="Amiri" w:eastAsia="Amiri" w:cs="Amiri"/>
          <w:color w:val="111111"/>
          <w:sz w:val="28"/>
          <w:sz w:val="28"/>
          <w:szCs w:val="28"/>
          <w:rtl w:val="true"/>
          <w:lang w:bidi="ar-SA"/>
        </w:rPr>
        <w:t>ردّ حديثه لذهب وسقطت جملة كبيرة من الأحاديث النبوية، ولازم ذلك هو الفساد الواضح؛ لذا وثّقه</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2793052_1051229030"/>
      <w:bookmarkStart w:id="502" w:name="_Toc182"/>
      <w:bookmarkEnd w:id="501"/>
      <w:r>
        <w:rPr>
          <w:rtl w:val="true"/>
        </w:rPr>
        <w:t>مناقشة الذهبي</w:t>
      </w:r>
      <w:r>
        <w:rPr>
          <w:rtl w:val="true"/>
        </w:rPr>
        <w:t>:</w:t>
      </w:r>
      <w:bookmarkEnd w:id="502"/>
    </w:p>
    <w:p>
      <w:pPr>
        <w:pStyle w:val="BookText"/>
        <w:rPr/>
      </w:pPr>
      <w:r>
        <w:rPr>
          <w:rFonts w:ascii="Amiri" w:hAnsi="Amiri" w:eastAsia="Amiri" w:cs="Amiri"/>
          <w:color w:val="111111"/>
          <w:sz w:val="28"/>
          <w:sz w:val="28"/>
          <w:szCs w:val="28"/>
          <w:rtl w:val="true"/>
          <w:lang w:bidi="ar-SA"/>
        </w:rPr>
        <w:t>لو سألنا الإمام الذهبي،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الصلت الهروي لا يختلف عن أبان في حاله الذي ذُكر؛ حيث نُقل عن ابن معين بأنّه لا يكذب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يكذب</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فلماذا تضعّفه؟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أبا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العالم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وجلالة</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عالم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كما روى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يردّ على أهل الأهواء من الجهمية المرجئة والقدرية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يقدّم أبا بكر، ولا يذكر الصحابة إلّا بالجميل</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طبقنا ذلك المعيار الذي ذكره لوجدنا تهافتاً واضحاً، فأبو الصلت لم يتعرض للشيخين؛ بل على مبناه أنّه يقدم أبا بكر ويذكر الصحابة بالجميل، فلماذا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صدقه وعليه بدعته؟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نجد أنّ السيد ابن عقيل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العتب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يُسجِّل استغرابه على هذا التناقض،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أنّ حبّه وتقديمه لأبي بكر وعمر لم يشفع له عند الطاعنين فيه لتشيّعه، وكأنّهم لا يرضيهم إلّا لعن عليٍّ وذمّه وذمّ أهل البيت، وتكذيب ما ورد فيهم من المناقب</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503" w:name="pg7540_66808"/>
    </w:p>
    <w:p>
      <w:pPr>
        <w:pStyle w:val="BookText"/>
        <w:rPr/>
      </w:pPr>
      <w:bookmarkEnd w:id="503"/>
      <w:r>
        <w:rPr>
          <w:rFonts w:ascii="Amiri" w:hAnsi="Amiri" w:eastAsia="Amiri" w:cs="Amiri"/>
          <w:color w:val="111111"/>
          <w:sz w:val="28"/>
          <w:sz w:val="28"/>
          <w:szCs w:val="28"/>
          <w:rtl w:val="true"/>
          <w:lang w:bidi="ar-SA"/>
        </w:rPr>
        <w:t>وبطبيعة الحال؛ فإنّ العصبية أخذت مأخذها من الذهبي؛ بحيث صدّته عن الصدع بكلمة الحقّ، ورحم الله السيد محسن الأمين حينما 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الذهبي يعدّ ولاء أهل البيت وتفضيلهم وتقديمهم على غيرهم، وأخذ أحكام الدين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أحد الثقلين، ومثل باب حطَّة، وسفينة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ويُسمّيه غلواً ورفضاً كاملاً، ويرد الرواية لأجله، فهذه هي البدعة والنصب الكامل والغلو فيه، وحاشا أن يكون في ذلك بدعة صغرى أو كبرى، وإنّما أخذوا دينهم وأحكامهم عن أئمة أهل البيت الطاهر، واقتدوا بهم وهم أعلم بسنّة جدهم صلّى الله عليه و آله و سلّم من الذهبي وغيره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4" w:name="__RefHeading___Toc2793054_1051229030"/>
      <w:bookmarkStart w:id="505" w:name="_Toc183"/>
      <w:bookmarkEnd w:id="504"/>
      <w:r>
        <w:rPr>
          <w:rtl w:val="true"/>
        </w:rPr>
        <w:t>القاعدة الثالثة</w:t>
      </w:r>
      <w:r>
        <w:rPr>
          <w:rtl w:val="true"/>
        </w:rPr>
        <w:t xml:space="preserve">: </w:t>
      </w:r>
      <w:r>
        <w:rPr>
          <w:rtl w:val="true"/>
        </w:rPr>
        <w:t>العبرة في الرواية بصدق الراوي وصيانة كلامه عن الكذب</w:t>
      </w:r>
      <w:bookmarkEnd w:id="505"/>
    </w:p>
    <w:p>
      <w:pPr>
        <w:pStyle w:val="BookText"/>
        <w:rPr/>
      </w:pPr>
      <w:r>
        <w:rPr>
          <w:rFonts w:ascii="Amiri" w:hAnsi="Amiri" w:eastAsia="Amiri" w:cs="Amiri"/>
          <w:color w:val="111111"/>
          <w:sz w:val="28"/>
          <w:sz w:val="28"/>
          <w:szCs w:val="28"/>
          <w:rtl w:val="true"/>
          <w:lang w:bidi="ar-SA"/>
        </w:rPr>
        <w:t>تقدَّم في كلمات الذهبي أنّ أبا الصلت صادق في الكلام، لا يحدِّث إلّا بصدق، كما أنّ المزي يروي ذلك في تهذيبه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إبراهيم بن عبد الله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وذكر أبا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أبو الصلت عندنا من أهل الكذب</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فعلماء الجرح والتعديل قرروا قاعدة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المحور في قبول الروايات والأحاديث هو كون مَن يرويها صادقاً لا يكذب؛ ولذلك نجد في كلمات الأعلام أنّ مَن قال بتبديع بعض الرواة لا يُلتفت إليه؛ لأن المعيار في قبولها هو الصدق والأمانة في النقل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أحمد محمد شاكر، معقِّباً على مَن تكلّم في روايات المبتدع نفياً وإثباتاً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الأقوال كلها نظرية، والعبرة في الرواية بصدق الراوي، وأمانته والثقة بدينه وخُلقه، والمتتبع لأحوال الرواة يرى كثيراً من أهل البدع موضعاً للثقة والاطمئنان، </w:t>
      </w:r>
    </w:p>
    <w:p>
      <w:pPr>
        <w:pStyle w:val="BookText"/>
        <w:rPr/>
      </w:pPr>
      <w:r>
        <w:rPr>
          <w:rFonts w:ascii="Amiri" w:hAnsi="Amiri" w:eastAsia="Amiri" w:cs="Amiri"/>
          <w:color w:val="111111"/>
          <w:sz w:val="28"/>
          <w:sz w:val="28"/>
          <w:szCs w:val="28"/>
          <w:rtl w:val="true"/>
          <w:lang w:bidi="ar-SA"/>
        </w:rPr>
        <w:t>وإن رووا ما يوافق رأيهم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فيرى هذا المُحقّق أنّ صاحب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كونها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روى ما يوافق ويتلاءم مع رأيه، تُقبل رواياته أيضاً؛ لصدقه وأمانته فيما ينقل ويحدِّث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الراوي وتجنبه للكذب في حديث رسول الله صلّى الله عليه و آله و سلّم خاصّة، لا لمطلق الكذب ولا لغيره من المعاصي</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أحداً يدّعي أنّ هذا الناقل لهذه الروايات ليس عادلاً؛ لأنّه يعتقد بخلاف ما نعتقد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الكلام أجاب عنه الإمام مالك الذي كان يتشدّد في قبول الرواية عن المبتدعة، وينهى عنها، لكنه يروي عن جماعة عُرفوا بخلافهم العقائدي، كثور بن زيد الديلي، وداود بن الحصين، وثور بن يزيد الشامي، وهم خوارج قدرية، وعدي بن ثابت، وهو شيعي، بل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رويت عن داود بن الحصين، وثور بن زيد، وكانوا يرمون بالقدر؟ قال في جوابه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لأن يخرّوا من السماء إلى الأرض أسهل عليهم من أن يكذبوا كذبة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وتعبير الإمام مالك فيه نكتة دقيقة، وهي أنّ هؤلاء الرواة لو خُيّروا أن يسقطوا من السماء إلى الأرض على أن يكذبوا ما كذبوا، وهذا دليل على صدق رواة الشيعة، وأنّ ديدنهم هو الأمانة في النقل، ويدعم هذه الحقيقة كلام الشافعي؛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يحيى الشيعي، وقيل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الرواية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يخرّ إبراهيم من جبل أحبّ إليه من أن يكذب، وكان ثقة في الحديث؛ ولهذا كان </w:t>
      </w:r>
      <w:bookmarkStart w:id="506" w:name="pg7540_66810"/>
    </w:p>
    <w:p>
      <w:pPr>
        <w:pStyle w:val="BookText"/>
        <w:rPr/>
      </w:pPr>
      <w:bookmarkEnd w:id="506"/>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في حديثه المتهم في دينه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الملاك في التوثيق هو الصدق والأمانة وعدم الكذب، بغضّ النظر عمّا يُدّعى في حقّ الرواة من كلام</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2793056_1051229030"/>
      <w:bookmarkStart w:id="508" w:name="_Toc184"/>
      <w:bookmarkEnd w:id="507"/>
      <w:r>
        <w:rPr>
          <w:rtl w:val="true"/>
        </w:rPr>
        <w:t>القاعدة الرابعة</w:t>
      </w:r>
      <w:r>
        <w:rPr>
          <w:rtl w:val="true"/>
        </w:rPr>
        <w:t xml:space="preserve">: </w:t>
      </w:r>
      <w:r>
        <w:rPr>
          <w:rtl w:val="true"/>
        </w:rPr>
        <w:t>التوقف في قول الجارح إذا كان بسبب العقيدة</w:t>
      </w:r>
      <w:bookmarkEnd w:id="508"/>
    </w:p>
    <w:p>
      <w:pPr>
        <w:pStyle w:val="BookText"/>
        <w:rPr/>
      </w:pPr>
      <w:r>
        <w:rPr>
          <w:rFonts w:ascii="Amiri" w:hAnsi="Amiri" w:eastAsia="Amiri" w:cs="Amiri"/>
          <w:color w:val="111111"/>
          <w:sz w:val="28"/>
          <w:sz w:val="28"/>
          <w:szCs w:val="28"/>
          <w:rtl w:val="true"/>
          <w:lang w:bidi="ar-SA"/>
        </w:rPr>
        <w:t xml:space="preserve">قد اتّضح من كلمات الأعلام في القاعدة الثالثة أنّ للصدق في النقل محورية في قبول الرواية، ولو كان شيعيّاً أو رافضيّاً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يعبرون ويدّعون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والشيعي يعتنق مذهباً يخالف الجارح أو المعدِّل، أو بتعبير آخر يخالف مَن يقيّمه في كونه ثقةً أو غير ثقة؛ من هنا قرّر علماء هذا الفنّ أنّ للعقيدة مدخليّة في القبول والردّ؛ فعالِم الجرح والتعديل لا بدّ أن يقف موقف المحايد، فدائرة هذا العلم يجب أن تقف موقفاً مغايراً لما قد يشوبه من تحيّز، بحيث لا يمكن ولا يصحّ أن يجرح الراوي خلافاً لما هو ثابت من كونه صادقاً فيما يرويه، وإن كان مخالفاً لعقيدة الجارح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أقوال العلماء في هذا الشأن قد شدّدت النكير على مَن جرح الرجال لهذه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ينبغي أن يتوقّف في قبول قوله في الجرح، مَن كان بينه وبين مَن جرحه عداوة سببها الاختلاف في الاعتقاد</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ينبغي أن يُتفقَّد عند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العقائد واختلافها بالنسبة إلى الجارح والمجروح، فربما خالف الجارحُ المجروحَ في العقيدة فجرحه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أشار الرافعي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المزكّون برآء من الشحناء والعصبية في المذاهب؛ خوفاً من أن يحملهم على جرح عدلٍ أو تزكية فاسقٍ، وقد وقع هذا لكثير </w:t>
      </w:r>
      <w:bookmarkStart w:id="509" w:name="pg7540_66811"/>
    </w:p>
    <w:p>
      <w:pPr>
        <w:pStyle w:val="BookText"/>
        <w:rPr/>
      </w:pPr>
      <w:bookmarkEnd w:id="509"/>
      <w:r>
        <w:rPr>
          <w:rFonts w:ascii="Amiri" w:hAnsi="Amiri" w:eastAsia="Amiri" w:cs="Amiri"/>
          <w:color w:val="111111"/>
          <w:sz w:val="28"/>
          <w:sz w:val="28"/>
          <w:szCs w:val="28"/>
          <w:rtl w:val="true"/>
          <w:lang w:bidi="ar-SA"/>
        </w:rPr>
        <w:t>من الأئمة، جرحوا بناءً على معتقدهم، وهم المخطئون والمجروح مصيب</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حسن بن فرحان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أبرز آثار العقيدة على الجرح والتعديل عند الحنابلة تضعيف ثقات المخالفين وتوثيق ضعفاء الموافقين،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ثقات الشيعة، وخاصّة فيما يروونه في فضائل عليّ</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 أنّ أبا الصلت الهروي هو من رواة فضائل أهل البيت علیهم السلام ، لا سيما هذا الحديث الذي نحن بصدده، وهو أيضاً من خواصّ أصحاب الإمام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وفقاً لهذه القاعدة لا نحكم بقبول الجارح الذي بنى فيه على الاختلاف العقائدي، بل جرحه مردود، سيما إذا ضممنا إليها كونه ليس من أهل الكذب، فهو ذلك الرجل الأمين والصادق</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2793058_1051229030"/>
      <w:bookmarkStart w:id="511" w:name="_Toc185"/>
      <w:bookmarkEnd w:id="510"/>
      <w:r>
        <w:rPr>
          <w:rtl w:val="true"/>
        </w:rPr>
        <w:t>القاعدة الخامسة</w:t>
      </w:r>
      <w:r>
        <w:rPr>
          <w:rtl w:val="true"/>
        </w:rPr>
        <w:t xml:space="preserve">: </w:t>
      </w:r>
      <w:r>
        <w:rPr>
          <w:rtl w:val="true"/>
        </w:rPr>
        <w:t>التشدّد والتعنّت في الجرح يُسقط قول الجارح في الرواة</w:t>
      </w:r>
      <w:bookmarkEnd w:id="511"/>
    </w:p>
    <w:p>
      <w:pPr>
        <w:pStyle w:val="BookText"/>
        <w:rPr/>
      </w:pPr>
      <w:r>
        <w:rPr>
          <w:rFonts w:ascii="Amiri" w:hAnsi="Amiri" w:eastAsia="Amiri" w:cs="Amiri"/>
          <w:color w:val="111111"/>
          <w:sz w:val="28"/>
          <w:sz w:val="28"/>
          <w:szCs w:val="28"/>
          <w:rtl w:val="true"/>
          <w:lang w:bidi="ar-SA"/>
        </w:rPr>
        <w:t>تقرّر عند علماء الجرح والتعديل أن الجارح المتشدد يردّ جرحه، ولا بدّ أن ينظر هل وافقه غيره في ذلك أو لا؟</w:t>
      </w:r>
    </w:p>
    <w:p>
      <w:pPr>
        <w:pStyle w:val="BookText"/>
        <w:rPr/>
      </w:pPr>
      <w:r>
        <w:rPr>
          <w:rFonts w:ascii="Amiri" w:hAnsi="Amiri" w:eastAsia="Amiri" w:cs="Amiri"/>
          <w:color w:val="111111"/>
          <w:sz w:val="28"/>
          <w:sz w:val="28"/>
          <w:szCs w:val="28"/>
          <w:rtl w:val="true"/>
          <w:lang w:bidi="ar-SA"/>
        </w:rPr>
        <w:t>قال الذهبي في تصنيفه للناقدين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متعنّت في الجرح متثبّت في التعديل، يغمز الراوي بالغلطتين والثلاث؛ فهذا إذا وثّق شخصاً فعضّ على قوله بنواجذك وتمسّك بتوثيقه، وإذا ضعّف رجلاً 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وافقه غيره على تضعيفه؟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ووفقاً لهذه القاعدة؛ فلو أسقطنا هذا الكلام على واقع أبي الصلت لوجدنا أنه ناشئ من تعصّب وتعنّت وتحامل، فكلّ ما ابتُلي به من هذا التضعيف هو نقله لهذه الفضيلة </w:t>
      </w:r>
    </w:p>
    <w:p>
      <w:pPr>
        <w:pStyle w:val="BookText"/>
        <w:rPr/>
      </w:pPr>
      <w:r>
        <w:rPr>
          <w:rFonts w:ascii="IRNazanin" w:hAnsi="IRNazanin" w:eastAsia="IRNazanin"/>
          <w:color w:val="111111"/>
          <w:sz w:val="28"/>
          <w:sz w:val="28"/>
          <w:szCs w:val="28"/>
          <w:rtl w:val="true"/>
          <w:lang w:bidi="fa-IR"/>
        </w:rPr>
        <w:t>لعليٍّ عَلیه السَلام ؛ لذا نجد بعض الضمائر المنصفة نطقت بهذه الحقيقة، قائلةً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منهم تحامُل لا دليل عليه ولا موجب له سوى موالاته لأهل البيت كعادتهم مع غيره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نرى أنّ يحيى بن معين ضاق ذرعاً بمَن قال بضعفه؛ بحيث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هذا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حدّث به محمد بن جعفر الفيدي</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الفيدي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فتضعيف الجوزجاني والنسائي لا عبرة به، فكلاهما من المتشدّدين، لا سيما إذا لاحظنا توثيق البعض لأبي الصلت، كابن معين والخطيب وابن حجر وغيرهم، وأيضاً تصريحهم بكونه من الرواة الصادقين في النقل، بل وصل الحال بالجوزجاني الانحراف عن عليٍّ عَلیه السَلام ، ووصفه بعض الحفّاظ بالنصب، قال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وكتابه في الضعفاء يوضّح مقالته، ورأيت في نسخة من كتاب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حريزي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بفتح الحاء المهملة وكسر الراء وبعد الياء زاي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إلى حريز بن عثمان المعروف بالنصب، وكلام ابن عدي يؤيد هذا</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الحاذق إذا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ثلْبَ أبي إسحاق الجوزج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لأهل الكوفة رأى العجب؛ وذلك لشدّة انحرافه في النصب، وشهرة أهلها بالتشيّع، فتراه لا يتوقف في جرح مَن ذكره منهم بلسان ذلقة وعبارة طلقة، حتى أنّه أخذ يلين مثل الأعمش وأبي نُعيم وعبيد الله بن موسى وأساطين الحديث وأركان الرواية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كيف يمكن الوثوق والاطمئنان بالجارح إذا كان متشدّداً؛ بل وكان فيه </w:t>
      </w:r>
      <w:bookmarkStart w:id="512" w:name="pg7540_66813"/>
    </w:p>
    <w:p>
      <w:pPr>
        <w:pStyle w:val="BookText"/>
        <w:rPr/>
      </w:pPr>
      <w:bookmarkEnd w:id="512"/>
      <w:r>
        <w:rPr>
          <w:rFonts w:ascii="IRNazanin" w:hAnsi="IRNazanin" w:eastAsia="IRNazanin"/>
          <w:color w:val="111111"/>
          <w:sz w:val="28"/>
          <w:sz w:val="28"/>
          <w:szCs w:val="28"/>
          <w:rtl w:val="true"/>
          <w:lang w:bidi="fa-IR"/>
        </w:rPr>
        <w:t>انحراف عن عليٍّ عَلیه السَلام ؛ فالنتيجة الطبيعية أن يكون منطلق كلامه وتقييمه للرواة ناشئاً من تعصّب وتجنّ، وليس تحرّياً وتدقيقاً لطلب الحقّ</w:t>
      </w:r>
      <w:r>
        <w:rPr>
          <w:rFonts w:eastAsia="IRNazanin" w:cs="IRNazanin"/>
          <w:color w:val="111111"/>
          <w:sz w:val="28"/>
          <w:szCs w:val="28"/>
          <w:rtl w:val="true"/>
          <w:lang w:bidi="fa-IR"/>
        </w:rPr>
        <w:t>.</w:t>
      </w:r>
    </w:p>
    <w:p>
      <w:pPr>
        <w:pStyle w:val="Heading6"/>
        <w:numPr>
          <w:ilvl w:val="5"/>
          <w:numId w:val="1"/>
        </w:numPr>
        <w:rPr/>
      </w:pPr>
      <w:bookmarkStart w:id="513" w:name="__RefHeading___Toc2793060_1051229030"/>
      <w:bookmarkStart w:id="514" w:name="_Toc186"/>
      <w:bookmarkEnd w:id="513"/>
      <w:r>
        <w:rPr>
          <w:rtl w:val="true"/>
        </w:rPr>
        <w:t>القاعدة السادسة</w:t>
      </w:r>
      <w:r>
        <w:rPr>
          <w:rtl w:val="true"/>
        </w:rPr>
        <w:t xml:space="preserve">: </w:t>
      </w:r>
      <w:r>
        <w:rPr>
          <w:rtl w:val="true"/>
        </w:rPr>
        <w:t>إذا اختلف في التوثيق والتضعيف ولم يكن الجرح مفسَّراً فيُقدم التعديل</w:t>
      </w:r>
      <w:bookmarkEnd w:id="514"/>
    </w:p>
    <w:p>
      <w:pPr>
        <w:pStyle w:val="BookText"/>
        <w:rPr/>
      </w:pPr>
      <w:r>
        <w:rPr>
          <w:rFonts w:ascii="Amiri" w:hAnsi="Amiri" w:eastAsia="Amiri" w:cs="Amiri"/>
          <w:color w:val="111111"/>
          <w:sz w:val="28"/>
          <w:sz w:val="28"/>
          <w:szCs w:val="28"/>
          <w:rtl w:val="true"/>
          <w:lang w:bidi="ar-SA"/>
        </w:rPr>
        <w:t>قرّر العلماء قاعدة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التعديل مقدّم على الجرح، إلّا إذا كان مفسَّراً، فإذا اختُلف في التوثيق والتضعيف ولم يكن الجرح مفسَّراً، فالراوي ثقة، عند الأكثرين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الحافظ ابن دقيق والمنذري وابن حجر استندوا لهذه القاعدة، في توثيق المختلَف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دقيق العيد في نصب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وسنان بن ربيعة أخرج له البخاري، وهو وإن كان ليّن الحديث، فقد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فالحديث عندنا حسن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المنذري في مقدمة الترغيب والترهيب في حكم ما يرويه محمد بن إسحاق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فهو ممَّن اختُلف فيه، وهو حسن الحديث</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العسقلاني في القول المسدّد عن قزعة بن سويد بن حجير الباهلي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فيه ابن معين مرّة ضعيف، ومرّة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وليس بالمتين، 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وفيه ضعف</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هذا </w:t>
      </w:r>
      <w:bookmarkStart w:id="515" w:name="pg7540_66814"/>
    </w:p>
    <w:p>
      <w:pPr>
        <w:pStyle w:val="BookText"/>
        <w:rPr/>
      </w:pPr>
      <w:bookmarkEnd w:id="515"/>
      <w:r>
        <w:rPr>
          <w:rFonts w:ascii="Amiri" w:hAnsi="Amiri" w:eastAsia="Amiri" w:cs="Amiri"/>
          <w:color w:val="111111"/>
          <w:sz w:val="28"/>
          <w:sz w:val="28"/>
          <w:szCs w:val="28"/>
          <w:rtl w:val="true"/>
          <w:lang w:bidi="ar-SA"/>
        </w:rPr>
        <w:t>الاختلاف، فقد حكم عليه ابن حجر أنّ حديثه في مرتبة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تهذيب التهذيب في ترجمة عبد الله بن صالح كاتب الليث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القطان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 ولم يثبت عليه ما يُسقط حديثه؛ إلّا أنّه مختلَف فيه، فحديثه حسن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تنزّلنا عن كلّ ما سبق، فإنّ أبا الصلت الهروي قد اختُلف في توثيقه وتضعيفه، وقد تقدّمت المناقشة لأقوال المضعِّفين، وتبيّن أيضاً أنّ الجرح الذي اتُّهم به لم يكن مفسَّراً، كما تقدّم في القاعدة الثانية، فالحقّ أن يكون أبو الصلت ثقة؛ فيُقدّم قول الموثِّقين له</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2793062_1051229030"/>
      <w:bookmarkStart w:id="517" w:name="_Toc187"/>
      <w:bookmarkEnd w:id="516"/>
      <w:r>
        <w:rPr>
          <w:rtl w:val="true"/>
        </w:rPr>
        <w:t>النتيجة</w:t>
      </w:r>
      <w:r>
        <w:rPr>
          <w:rtl w:val="true"/>
        </w:rPr>
        <w:t>:</w:t>
      </w:r>
      <w:bookmarkEnd w:id="517"/>
    </w:p>
    <w:p>
      <w:pPr>
        <w:pStyle w:val="BookText"/>
        <w:rPr/>
      </w:pPr>
      <w:r>
        <w:rPr>
          <w:rFonts w:ascii="Amiri" w:hAnsi="Amiri" w:eastAsia="Amiri" w:cs="Amiri"/>
          <w:color w:val="111111"/>
          <w:sz w:val="28"/>
          <w:sz w:val="28"/>
          <w:szCs w:val="28"/>
          <w:rtl w:val="true"/>
          <w:lang w:bidi="ar-SA"/>
        </w:rPr>
        <w:t xml:space="preserve">إذن؛ من خلال ما تقرّر من القواعد الآنفة الذكر قد تبيّن أنّ التُّهم الموجَّهة لأبي الصلت لا ترتقي إلى الاعتبار، وبلحاظ هذه القواعد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من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بوثاقته وصدق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أبا معاوية حدَّث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وشريكاً حدَّث بهذا، فإنّما جاء ذاك عن أبي معاوية، عن الأعمش،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معاوية والأعمش وشريك، كلّهم مدلِّسون متشيعون</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2793064_1051229030"/>
      <w:bookmarkStart w:id="519" w:name="_Toc188"/>
      <w:bookmarkEnd w:id="518"/>
      <w:r>
        <w:rPr>
          <w:rtl w:val="true"/>
        </w:rPr>
        <w:t>الجواب</w:t>
      </w:r>
      <w:r>
        <w:rPr>
          <w:rtl w:val="true"/>
        </w:rPr>
        <w:t xml:space="preserve">: </w:t>
      </w:r>
      <w:r>
        <w:rPr>
          <w:rtl w:val="true"/>
        </w:rPr>
        <w:t>القول بالتدليس دعوى بلا دليل</w:t>
      </w:r>
      <w:bookmarkEnd w:id="519"/>
    </w:p>
    <w:p>
      <w:pPr>
        <w:pStyle w:val="BookText"/>
        <w:rPr/>
      </w:pPr>
      <w:r>
        <w:rPr>
          <w:rFonts w:ascii="Amiri" w:hAnsi="Amiri" w:eastAsia="Amiri" w:cs="Amiri"/>
          <w:color w:val="111111"/>
          <w:sz w:val="28"/>
          <w:sz w:val="28"/>
          <w:szCs w:val="28"/>
          <w:rtl w:val="true"/>
          <w:lang w:bidi="ar-SA"/>
        </w:rPr>
        <w:t>أما ما ادّعاه من التدليس، فيرد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الخطيب البغدادي قد روى ما يُفهم منه الإجابة عن هذا التساؤل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صحيح من حديث أبي معاوية وليس بباطل؛ إذ قد رواه غير واحد عنه</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ركّز على تأكيد الراوي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أنّه صحيح من حديث أبي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يؤكده أيضاً رواية غير واحد عنه أي عن أبي معاوية، وفيه إشارة للمتابعات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من الطبقة التاسعة، كما صنّفه مَن روى له من أصحاب الصحاح الستّة، كالبخاري، ومسلم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هؤلاء الأعلام عنه يؤكّد صحّة رواياته وخلوها من شائبة التدليس عندهم، فأبو معاوية ثقة، كما يصرّح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أحفظ الناس لحديث الأعمش</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في الأعمش</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حافظ وثبت لحديث الأعمش؛ فيكون مقبولاً، وردّه مكابرة، ولا يضر عدم تصريحه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في أبي معاوية يقال في الأعمش بالنسبة للتدليس، إذا كانوا يروون عن ثقة، فلا يضر تدليسهم،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ذكروا في الطبقة الثانية، من طبقات المدلّسين، وهي طبقة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الأئمة تدليسه، وأخرجوا له في الصحيح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هذا أنّ المذكورين في الطبقة الثانية تقبل عنعنتهم مطلقاً، كمَن ليس بمدلّس البتّة، إنّما المعنى أنّ الشيخين انتقيا في المتابعات ونحوها من معنعناتهم، ما غلب على ظنّهما أنّه سماع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الكلام مردود بثلاثة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الأعلام بعدم الحاجة للتصريح بالسماع، وإن كان مدلّساً، ولكن بشرط روايته عن الثقة، وهذا ما أكده العلائي في كلامه حول طبقات المدلّسين،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 مَن احتمل الأئمة تدليسه وخرّجوا له في الصحيح وإن لم يصرّح بالسماع؛ وذلك إمّا لإمامته؛ أو لقلّة تدليسه في جنب ما روى، أو لأنّه لا يدلس إلّا عن ثقة، وذلك كالزهري وسليمان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الصحيحين وغيرهما لهؤلاء الحديث الكثير ما ليس فيه التصريح بالسماع</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التهانوي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التدليس، فقد ذكر جماعة من الحفّاظ أنّ البخاري كان لا يخرّج إلّا ما صرح فيه بالتحديث</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سواء صرّح أو لم يُصرّح بالسماع، وسواء كانت متابعات أو معنعنات، فإنها تُقبل بشكل مطلق، وهذا الذي دعا البخاري لانتقاء أحاديثهم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نفسه يُصرّح بأنّ الأعمش سمع من مجاهد مباشرةً، وكأنّ هذا التصريح قد خفي على المعلمي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نقله الترمذي، كما يرويه ابن عبد البر في التمهيد،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الأعمش من مجاهد إلّا 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ليس بشيء، لقد عددت له أحاديث كثيرة، نحواً من ثلاثين أو أقل أو أكثر،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بقول المعلمي، وقلنا بردّ عنعنة الطبقة الثانية؛ للزم من ذلك خروج كثير من الأعيان الذين ذكرهم ابن حجر وغيره في هذه الطبقة، والذين هم محل قبول عند كبار القوم، فأين يقف المعلمي من هؤلاء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كسفيان الثوري، وابن عُيينة، والزهري، وابن جريج، وأبي داوود الطيالسي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نعتقد أنّ كلام المعلمي غير دقيق تماماً، وفيه استعجال أوقعه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قرّر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نخبته ومقدمة اللسان،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نوثّقه، ونقبل خبره من المبتدعة، يختصّ ذلك بما لا يؤيد بدعته، فأمّا ما يؤيد بدعته، فلا يُقبل منه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المعلمي يقصد بدعة أبي الصلت الهروي، وقد تقدّم الكلام في القاعدة الثالثة أنّ الملاك والمعيار في قبول الروايات هو الصدق وعدم الكذب في نقل الرواية، كما قال أحمد شاكر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الأقوال كلها نظرية، والعبرة في الرواية بصدق الراوي، وأمانته والثقة بدينه وخلقه، والمتتبع لأحوال الرواة يرى كثيراً من أهل البدع موضعاً للثقة والاطمئنان، وإن رووا ما يوافق رأيهم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سألنا المعلمي عن بدعة أبي الصلت ما هي؟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نقطع بأنّها ما نُقل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 للعلويّة خير من بني أُمية،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عثمان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هذا الكلام يمكن أن يُجاب عنه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 نقل الذهبي أنّ أبا الصلت يقدّم الصحابة ويذكرهم بالجميل حسب 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صح عنه، فهو مبالغة، لا تدلّ على ضعف حديثه، وربما استخرجها بعضهم منه في حال الجدال والمناظرة، وما يحصل في المناظرات والجدال قد يتعدّى هذه الكلمات عند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أين هو من حريز بن عثمان الذي كان يلعن علياً عَلیه السَلام سبعين مرّة في الصباح، وسبعين مرّة في المساء، وعرفوا منه هذا وتحققوه، ثمّ 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أوثق الثقات، فما أُجيب به عن حريز، فهو الجواب عن عبد السلام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متن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تأمّل منطوق الخبر، ثمّ عرضه على الواقع، عرف حقيقة الحال، والله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النصب والعياذ بالله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وأقولها بمرارة وحزن؛ لأنّه ليس من منهجنا أن نتفوّه بهذه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الكلام عن علم علي عَلیه السَلام في السنّة، وأشبعناه تفصيلاً هناك، وأُضيف إلى ذلك قول ابن أبي الحديد في فضل علمه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إمام الفصحاء، وسيّد البلغاء، وفي كلامه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كلام الخالق، وفوق كلام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تعلّم الناس الخطابة والكتابة، قال عبد الحميد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سبعين خطبة من خطب الأصلع، ففاضت ثمّ 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من الخطابة كنزاً لا يزيده الإنفاق إلّا سعة وكثرة، حفظت مائة فصل من مواعظ عليّ بن </w:t>
      </w:r>
      <w:bookmarkStart w:id="520" w:name="pg7540_66819"/>
    </w:p>
    <w:p>
      <w:pPr>
        <w:pStyle w:val="BookText"/>
        <w:rPr/>
      </w:pPr>
      <w:bookmarkEnd w:id="520"/>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 محفن بن أبي محفن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أعيا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أعيا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سنّ الفصاحة لقريش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هذا الكتاب الذي نحن شارحوه دلالة على أنّه لا يجارى في الفصاحة، ولا يبارى في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أنّه لم يُدوّن لأحد من فصحاء الصحابة العشر، ولا نصف العشر مما دون له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2793066_1051229030"/>
      <w:bookmarkStart w:id="522" w:name="_Toc189"/>
      <w:bookmarkEnd w:id="521"/>
      <w:r>
        <w:rPr>
          <w:rtl w:val="true"/>
        </w:rPr>
        <w:t>المبحث الثالث</w:t>
      </w:r>
      <w:r>
        <w:rPr>
          <w:rtl w:val="true"/>
        </w:rPr>
        <w:t xml:space="preserve">: </w:t>
      </w:r>
      <w:r>
        <w:rPr>
          <w:rtl w:val="true"/>
        </w:rPr>
        <w:t>طرق الحديث ومتابعاته وشواهده</w:t>
      </w:r>
      <w:bookmarkEnd w:id="522"/>
    </w:p>
    <w:p>
      <w:pPr>
        <w:pStyle w:val="Heading6"/>
        <w:numPr>
          <w:ilvl w:val="5"/>
          <w:numId w:val="1"/>
        </w:numPr>
        <w:rPr/>
      </w:pPr>
      <w:bookmarkStart w:id="523" w:name="__RefHeading___Toc2793068_1051229030"/>
      <w:bookmarkStart w:id="524" w:name="_Toc190"/>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قبل أن نلج في بيان طرق هذا الحديث، ننقل نصّه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الحاكم النيسابوري،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طرقه، فهي كالتالي</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2793070_1051229030"/>
      <w:bookmarkStart w:id="526" w:name="_Toc191"/>
      <w:bookmarkEnd w:id="525"/>
      <w:r>
        <w:rPr/>
        <w:t>1</w:t>
      </w:r>
      <w:r>
        <w:rPr>
          <w:rtl w:val="true"/>
        </w:rPr>
        <w:t xml:space="preserve">- </w:t>
      </w:r>
      <w:r>
        <w:rPr>
          <w:rtl w:val="true"/>
        </w:rPr>
        <w:t>عن علي عَلیه السَلام بطرق مختلفة</w:t>
      </w:r>
      <w:bookmarkEnd w:id="52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ضمرة، عن علي عَلیه السَلام ، عن رسول 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 وعليّ بابها، فمَن أراد المدينة فليأتها من بابها</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الشيخ منصور علي ناصف في غاية المأمول في شرح تاج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منقبة لعليٍّ لم يُشاركه فيها غيره رضي الله عنه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عن عليٍّ عَلیه السَلام ، عن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وعليٌّ </w:t>
      </w:r>
      <w:bookmarkStart w:id="527" w:name="pg7540_66820"/>
    </w:p>
    <w:p>
      <w:pPr>
        <w:pStyle w:val="BookText"/>
        <w:rPr/>
      </w:pPr>
      <w:bookmarkEnd w:id="527"/>
      <w:r>
        <w:rPr>
          <w:rFonts w:ascii="Amiri" w:hAnsi="Amiri" w:eastAsia="Amiri" w:cs="Amiri"/>
          <w:color w:val="111111"/>
          <w:sz w:val="28"/>
          <w:sz w:val="28"/>
          <w:szCs w:val="28"/>
          <w:rtl w:val="true"/>
          <w:lang w:bidi="ar-SA"/>
        </w:rPr>
        <w:t>بابها، ولا تُؤتى البيوت إلّا من أبوابها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8" w:name="__RefHeading___Toc2793072_1051229030"/>
      <w:bookmarkStart w:id="529" w:name="_Toc192"/>
      <w:bookmarkEnd w:id="528"/>
      <w:r>
        <w:rPr/>
        <w:t>2</w:t>
      </w:r>
      <w:r>
        <w:rPr>
          <w:rtl w:val="true"/>
        </w:rPr>
        <w:t xml:space="preserve">- </w:t>
      </w:r>
      <w:r>
        <w:rPr>
          <w:rtl w:val="true"/>
        </w:rPr>
        <w:t>عن ابن عباس</w:t>
      </w:r>
      <w:bookmarkEnd w:id="529"/>
    </w:p>
    <w:p>
      <w:pPr>
        <w:pStyle w:val="BookText"/>
        <w:rPr/>
      </w:pPr>
      <w:r>
        <w:rPr>
          <w:rFonts w:ascii="Amiri" w:hAnsi="Amiri" w:eastAsia="Amiri" w:cs="Amiri"/>
          <w:color w:val="111111"/>
          <w:sz w:val="28"/>
          <w:sz w:val="28"/>
          <w:szCs w:val="28"/>
          <w:rtl w:val="true"/>
          <w:lang w:bidi="ar-SA"/>
        </w:rPr>
        <w:t>عن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المناوي في فيض القدير على هذا الحديث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المصطفى صلى الله عليه وسلم المدينة الجامعة لمعاني الديانات كلّها أوَ لا بدّ للمدينة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بابها هو عليّ كرم الله وجهه، فمَن أخذ طريقه دخل المدينة، ومَن أخطأه أخطأ طريق الهدى، وقد شهد له بالأعلميّة الموافق والمخالف والمعادي والمحالف، خرّج الكلاباذي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معاوية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هو أعلم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رجلاً كان رسول الله صلى الله عليه وسلم يعزه بالعلم عزا، وقد كان أكابر الصحب يعترفون له بذلك، وكان عمر يسأله عما أشكل عليه، جاءه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أسمع منك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ومحى اسمه من الديوان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0" w:name="__RefHeading___Toc2793074_1051229030"/>
      <w:bookmarkStart w:id="531" w:name="_Toc193"/>
      <w:bookmarkEnd w:id="530"/>
      <w:r>
        <w:rPr/>
        <w:t>3</w:t>
      </w:r>
      <w:r>
        <w:rPr>
          <w:rtl w:val="true"/>
        </w:rPr>
        <w:t xml:space="preserve">- </w:t>
      </w:r>
      <w:r>
        <w:rPr>
          <w:rtl w:val="true"/>
        </w:rPr>
        <w:t>عن سعيد بن جبير</w:t>
      </w:r>
      <w:bookmarkEnd w:id="53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مدينة العلم وأنت بابها، ولن تؤتى المدينة إلّا من قِبَل الباب</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532" w:name="pg7540_66821"/>
    </w:p>
    <w:p>
      <w:pPr>
        <w:pStyle w:val="Heading6"/>
        <w:numPr>
          <w:ilvl w:val="5"/>
          <w:numId w:val="1"/>
        </w:numPr>
        <w:rPr/>
      </w:pPr>
      <w:bookmarkStart w:id="533" w:name="__RefHeading___Toc2793076_1051229030"/>
      <w:bookmarkStart w:id="534" w:name="_Toc194"/>
      <w:bookmarkEnd w:id="532"/>
      <w:bookmarkEnd w:id="533"/>
      <w:r>
        <w:rPr/>
        <w:t>4</w:t>
      </w:r>
      <w:r>
        <w:rPr>
          <w:rtl w:val="true"/>
        </w:rPr>
        <w:t xml:space="preserve">- </w:t>
      </w:r>
      <w:r>
        <w:rPr>
          <w:rtl w:val="true"/>
        </w:rPr>
        <w:t>جابر بن عبد الله</w:t>
      </w:r>
      <w:bookmarkEnd w:id="5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صلى الله عليه وسلم يوم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الفجرة، منصور مَن نصره، مخذول مَن خذله، ثمَّ مدَّ بها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5" w:name="__RefHeading___Toc2793078_1051229030"/>
      <w:bookmarkStart w:id="536" w:name="_Toc195"/>
      <w:bookmarkEnd w:id="535"/>
      <w:r>
        <w:rPr>
          <w:rtl w:val="true"/>
        </w:rPr>
        <w:t>المتابعات والشواهد</w:t>
      </w:r>
      <w:r>
        <w:rPr>
          <w:rtl w:val="true"/>
        </w:rPr>
        <w:t>:</w:t>
      </w:r>
      <w:bookmarkEnd w:id="536"/>
    </w:p>
    <w:p>
      <w:pPr>
        <w:pStyle w:val="BookText"/>
        <w:rPr/>
      </w:pPr>
      <w:r>
        <w:rPr>
          <w:rFonts w:ascii="Amiri" w:hAnsi="Amiri" w:eastAsia="Amiri" w:cs="Amiri"/>
          <w:color w:val="111111"/>
          <w:sz w:val="28"/>
          <w:sz w:val="28"/>
          <w:szCs w:val="28"/>
          <w:rtl w:val="true"/>
          <w:lang w:bidi="ar-SA"/>
        </w:rPr>
        <w:t>وأكتفي بذكر الأحاديث التي حملت نفس مضمون الحديث المتقدم التي دلّت على هذه الحقيقة التي لا مناص ولا فرار منها، ولا يمكن إنكارها أو الالتفاف عليها،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دار العلم وعليّ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ميزان العلم وعليّ كفتاه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ميزان الحكمة وعليّ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المدينة وأنت الباب، ولا يُؤتى المدينة إلّا من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أخي ومني وأنا من عليٍّ، فهو باب علمي ووصيي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 علمي ومبيّن 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باب علمي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عن عليٍّ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الجنّة </w:t>
      </w:r>
      <w:bookmarkStart w:id="537" w:name="pg7540_66822"/>
    </w:p>
    <w:p>
      <w:pPr>
        <w:pStyle w:val="BookText"/>
        <w:rPr/>
      </w:pPr>
      <w:bookmarkEnd w:id="537"/>
      <w:r>
        <w:rPr>
          <w:rFonts w:ascii="Amiri" w:hAnsi="Amiri" w:eastAsia="Amiri" w:cs="Amiri"/>
          <w:color w:val="111111"/>
          <w:sz w:val="28"/>
          <w:sz w:val="28"/>
          <w:szCs w:val="28"/>
          <w:rtl w:val="true"/>
          <w:lang w:bidi="ar-SA"/>
        </w:rPr>
        <w:t>وأنت بابها يا عليّ، كذب مَن زعم أنّه يدخلها من غير بابها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أُمّ سلمة بألفاظ متعدّدة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اشهدي واسمعي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 المؤمنين، وسيد المسلمين، وعيبة علمي وبابي الذي أُوتى منه</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الأحاديث في هذا المضمون</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2793080_1051229030"/>
      <w:bookmarkStart w:id="539" w:name="_Toc196"/>
      <w:bookmarkEnd w:id="538"/>
      <w:r>
        <w:rPr>
          <w:rtl w:val="true"/>
        </w:rPr>
        <w:t>المبحث الرابع</w:t>
      </w:r>
      <w:r>
        <w:rPr>
          <w:rtl w:val="true"/>
        </w:rPr>
        <w:t xml:space="preserve">: </w:t>
      </w:r>
      <w:r>
        <w:rPr>
          <w:rtl w:val="true"/>
        </w:rPr>
        <w:t>تصحيح علماء السنّة للحديث وتوثيقهم من خلال كتب التراجم</w:t>
      </w:r>
      <w:bookmarkEnd w:id="539"/>
    </w:p>
    <w:p>
      <w:pPr>
        <w:pStyle w:val="Heading6"/>
        <w:numPr>
          <w:ilvl w:val="5"/>
          <w:numId w:val="1"/>
        </w:numPr>
        <w:rPr/>
      </w:pPr>
      <w:bookmarkStart w:id="540" w:name="__RefHeading___Toc2793082_1051229030"/>
      <w:bookmarkStart w:id="541" w:name="_Toc197"/>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وأذكر أقوال بعض الحفّاظ الكبار الذين لهم اليد الطولى في علم الجرح والتعديل، ولهم من الاستقراء في نقد الرجال، وأقوالهم تعدّ حجّة ولا يمكن تجاوزها بحال، مع ذكرنا لتراجمهم التي تشرح وثاقتهم وما هم عليه من العلم بمعرفة الحديث سنداً ومتناً</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2793084_1051229030"/>
      <w:bookmarkStart w:id="543" w:name="_Toc198"/>
      <w:bookmarkEnd w:id="542"/>
      <w:r>
        <w:rPr/>
        <w:t>1</w:t>
      </w:r>
      <w:r>
        <w:rPr>
          <w:rtl w:val="true"/>
        </w:rPr>
        <w:t xml:space="preserve">- </w:t>
      </w:r>
      <w:r>
        <w:rPr>
          <w:rtl w:val="true"/>
        </w:rPr>
        <w:t>يحيى بن معين</w:t>
      </w:r>
      <w:bookmarkEnd w:id="543"/>
    </w:p>
    <w:p>
      <w:pPr>
        <w:pStyle w:val="BookText"/>
        <w:rPr/>
      </w:pPr>
      <w:r>
        <w:rPr>
          <w:rFonts w:ascii="Amiri" w:hAnsi="Amiri" w:eastAsia="Amiri" w:cs="Amiri"/>
          <w:color w:val="111111"/>
          <w:sz w:val="28"/>
          <w:sz w:val="28"/>
          <w:szCs w:val="28"/>
          <w:rtl w:val="true"/>
          <w:lang w:bidi="ar-SA"/>
        </w:rPr>
        <w:t>روى الخطيب البغدادي في تاريخ بغداد بسنده،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الصلت الهروي، حدَّثنا أبو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عند يحيى بن معين صحيح ولا غبار عليه</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2793086_1051229030"/>
      <w:bookmarkStart w:id="545" w:name="_Toc199"/>
      <w:bookmarkEnd w:id="544"/>
      <w:r>
        <w:rPr>
          <w:rtl w:val="true"/>
        </w:rPr>
        <w:t>ترجمة يحيى بن معين</w:t>
      </w:r>
      <w:r>
        <w:rPr>
          <w:rtl w:val="true"/>
        </w:rPr>
        <w:t>:</w:t>
      </w:r>
      <w:bookmarkEnd w:id="54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يحيى بن معين بن عون، أبو زكريا البغدادي الحافظ، مولى غطفان، من </w:t>
      </w:r>
    </w:p>
    <w:p>
      <w:pPr>
        <w:pStyle w:val="BookText"/>
        <w:rPr/>
      </w:pPr>
      <w:r>
        <w:rPr>
          <w:rFonts w:ascii="Amiri" w:hAnsi="Amiri" w:eastAsia="Amiri" w:cs="Amiri"/>
          <w:color w:val="111111"/>
          <w:sz w:val="28"/>
          <w:sz w:val="28"/>
          <w:szCs w:val="28"/>
          <w:rtl w:val="true"/>
          <w:lang w:bidi="ar-SA"/>
        </w:rPr>
        <w:t>كبار الآخذين عن تبع 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وأبو داود، والترمذي، والنسائي، وابن ماجه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معين أعلمنا بالرجال، وحكى ابن المدني عن أبي سعيد 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عيال على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ربّانياً عالماً حافظاً ثبتاً متقناً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تعالى أحداً كان أعرف بالحديث من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لا يعرفه ابن معين فليس هو بحديث، 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أحمد بن النضر عن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العلم إلى يحيى بن آدم وبعده إلى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العلم إلى ابن المبارك وبعده إلى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العلم إلى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 الرازي وغيره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حديث الثقات على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شذّ عن هؤلاء يصير إلى اثني عشر، ثمّ صار حديث هؤلاء كلهم إلى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ابن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أحداً من لدن آدم كتب من الحديث ما كتب يحيى بن معين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بعد هذه الترجمة المختصرة لعَلم من أعلام الجرح والتعديل، والذي شهد بصحة هذا الحديث؛ فلا نستطيع إلّا أن نُذعن بما قال</w:t>
      </w:r>
      <w:r>
        <w:rPr>
          <w:rFonts w:eastAsia="Amiri" w:cs="Amiri" w:ascii="Amiri" w:hAnsi="Amiri"/>
          <w:color w:val="111111"/>
          <w:sz w:val="28"/>
          <w:szCs w:val="28"/>
          <w:rtl w:val="true"/>
          <w:lang w:bidi="ar-SA"/>
        </w:rPr>
        <w:t xml:space="preserve">. </w:t>
      </w:r>
      <w:bookmarkStart w:id="546" w:name="pg7540_66824"/>
    </w:p>
    <w:p>
      <w:pPr>
        <w:pStyle w:val="Heading6"/>
        <w:numPr>
          <w:ilvl w:val="5"/>
          <w:numId w:val="1"/>
        </w:numPr>
        <w:rPr/>
      </w:pPr>
      <w:bookmarkStart w:id="547" w:name="__RefHeading___Toc2793088_1051229030"/>
      <w:bookmarkStart w:id="548" w:name="_Toc200"/>
      <w:bookmarkEnd w:id="546"/>
      <w:bookmarkEnd w:id="547"/>
      <w:r>
        <w:rPr/>
        <w:t>2</w:t>
      </w:r>
      <w:r>
        <w:rPr>
          <w:rtl w:val="true"/>
        </w:rPr>
        <w:t xml:space="preserve">- </w:t>
      </w:r>
      <w:r>
        <w:rPr>
          <w:rtl w:val="true"/>
        </w:rPr>
        <w:t>الحاكم النيسابوري</w:t>
      </w:r>
      <w:bookmarkEnd w:id="548"/>
    </w:p>
    <w:p>
      <w:pPr>
        <w:pStyle w:val="BookText"/>
        <w:rPr/>
      </w:pPr>
      <w:r>
        <w:rPr>
          <w:rFonts w:ascii="Amiri" w:hAnsi="Amiri" w:eastAsia="Amiri" w:cs="Amiri"/>
          <w:color w:val="111111"/>
          <w:sz w:val="28"/>
          <w:sz w:val="28"/>
          <w:szCs w:val="28"/>
          <w:rtl w:val="true"/>
          <w:lang w:bidi="ar-SA"/>
        </w:rPr>
        <w:t>روى هذا الحديث في المستدرك على الصحيحين بثلاثة أسانيد،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العباس محمد بن يعقوب، حدَّثنا محمد بن عبد الرحيم الهروي بالرملة، حدَّثنا أبو الصلت عبد السلام بن صالح، حدَّثنا أبو معاوية، عن الأعمش، عن مجاهد،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 وأبو الصلت ثقة مأمون؛ فإني سمعت أبا العباس محمد بن يعقوب في التاريخ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حدَّث عن أبي معاوية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به محمد بن جعفر الفيدي، وهو 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أحمد بن سهل الفقيه القباني إمام عصره ببخارى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محمد بن حبيب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أبي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يحيى بن معين ونحن معه على أبي الصلت فسلّم عليه، فلمّا خرج تبعته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حديث الأعمش عن مجاهد عن ابن عباس،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ذاك الفيدي عن أبي معاوية عن الأعمش، كما رواه أبو الصلت</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بصحة ما ذكره الإمام أبو زكريا، حدَّثنا يحيى بن معين، حدَّثنا أبو الحسين محمد بن أحمد بن تميم القنطري، حدَّثنا الحسين بن فهم، حدَّثنا محمد بن يحيى بن الضريس، حدَّثنا محمد بن جعفر الفيدي، حدَّثنا أبو معاوية </w:t>
      </w:r>
      <w:bookmarkStart w:id="549" w:name="pg7540_66825"/>
    </w:p>
    <w:p>
      <w:pPr>
        <w:pStyle w:val="BookText"/>
        <w:rPr/>
      </w:pPr>
      <w:bookmarkEnd w:id="549"/>
      <w:r>
        <w:rPr>
          <w:rFonts w:ascii="Amiri" w:hAnsi="Amiri" w:eastAsia="Amiri" w:cs="Amiri"/>
          <w:color w:val="111111"/>
          <w:sz w:val="28"/>
          <w:sz w:val="28"/>
          <w:szCs w:val="28"/>
          <w:rtl w:val="true"/>
          <w:lang w:bidi="ar-SA"/>
        </w:rPr>
        <w:t>عن الأعمش عن مجاهد عن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الصلت الهروي عن أبي معاوية،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المستفيد لهذا العلم أنّ الحسين بن فهم بن عبد الرحمن ثقة مأمون حافظ، ولهذا الحديث شاهد من حديث سفيان الثوري بإسناد صحيح</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بكر محمد بن عليّ الفقيه الإمام الشاشي القفال ببخارى وأنا سألته، حدَّثني النعمان بن الهارون البلدي ببلد من أصل كتابه، حدَّثنا أحمد بن عبد الله بن يزيد الحراني، حدَّثنا عبد الرزاق، حدَّثنا سفيان الثوري، عن عبد الله بن عثمان بن خثيم، عن عبد الرحمن بن عثمان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عند الحاكم صحيح وعلى شرط الشيخين</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2793090_1051229030"/>
      <w:bookmarkStart w:id="551" w:name="_Toc201"/>
      <w:bookmarkEnd w:id="550"/>
      <w:r>
        <w:rPr>
          <w:rtl w:val="true"/>
        </w:rPr>
        <w:t>ترجمة الحاكم النيسابوري</w:t>
      </w:r>
      <w:bookmarkEnd w:id="55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الذهبي بألفاظ قلّ نظيرها، نذكر بعضاً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الكبير، إمام المحدِّثين، أبو عبد الله محمد بن عبد الله بن محمد بن حمدويه بن نعيم الضبي الطهماني النيسابوري، المعروف بابن البيع، صاحب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في خراسان وما وراء النهر، وسمع بالبلاد من ألفَي شيخ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الدارقطني فرضيه، وهو ثقة واسع العلم بلغت تصانيفه قريباً من خمس مائة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كان ثقة، يميل إلى التشيّع، فحدَّثني إبراهيم بن محمد الأرموي وكان صالحاً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الغافر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هو إمام أهل الحديث في عصره العارف به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له من التصانيف ما لعله يبلغ قريباً من ألف جزء من تخريج </w:t>
      </w:r>
      <w:bookmarkStart w:id="552" w:name="pg7540_66826"/>
    </w:p>
    <w:p>
      <w:pPr>
        <w:pStyle w:val="BookText"/>
        <w:rPr/>
      </w:pPr>
      <w:bookmarkEnd w:id="552"/>
      <w:r>
        <w:rPr>
          <w:rFonts w:ascii="Amiri" w:hAnsi="Amiri" w:eastAsia="Amiri" w:cs="Amiri"/>
          <w:color w:val="111111"/>
          <w:sz w:val="28"/>
          <w:sz w:val="28"/>
          <w:szCs w:val="28"/>
          <w:rtl w:val="true"/>
          <w:lang w:bidi="ar-SA"/>
        </w:rPr>
        <w:t>الصحيحين، والعلل، والتراجم، والأبواب، والشيوخ، ثمّ المجموعات مثل معرفة علوم الحديث ومستدرك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مشايخنا يذكرون أيامه ويحكون أنّ مقدمي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الصعلوكي والإمام ابن فورك وسائر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يقدمونه على أنفسهم، ويراعون حقّ فضله ويعرفون له الحرمة الأكيدة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أطنب في تعظيمه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 يسيرة، وهو غيض من فيض سيره وأحواله، ومَن تأمّل كلامه في تصانيفه وتصرفه في أماليه، ونظره في طرق الحديث، أذعن بفضله واعترف له بالمزيّة على مَن تقدّمه وإتعابه مَن بعده وتعجيزه اللاحقين عن بلوغ شأوه، عاش حميداً ولم يُخلف في وقته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أيهما أفضل، ابن منده أو ابن 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البيع أتقن حفظاً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نستنتجه من كلمات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الرجل الخبير في تقييم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هو إمام المحدِّثين والعارف به حقّ معرفته وأن سائر الأئمة يقدّمونه على أنفسهم؛ حرمة لعلمه وإذعاناً لفضله، لا سيما في ميدان الحديث وطرقه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قد صحح هذا الحديث، فقوله يكون حجّة بهذا اللحاظ</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2793092_1051229030"/>
      <w:bookmarkStart w:id="554" w:name="_Toc202"/>
      <w:bookmarkEnd w:id="553"/>
      <w:r>
        <w:rPr/>
        <w:t>3</w:t>
      </w:r>
      <w:r>
        <w:rPr>
          <w:rtl w:val="true"/>
        </w:rPr>
        <w:t xml:space="preserve">- </w:t>
      </w:r>
      <w:r>
        <w:rPr>
          <w:rtl w:val="true"/>
        </w:rPr>
        <w:t>محمد بن جرير الطبري</w:t>
      </w:r>
      <w:bookmarkEnd w:id="554"/>
    </w:p>
    <w:p>
      <w:pPr>
        <w:pStyle w:val="BookText"/>
        <w:rPr/>
      </w:pPr>
      <w:r>
        <w:rPr>
          <w:rFonts w:ascii="Amiri" w:hAnsi="Amiri" w:eastAsia="Amiri" w:cs="Amiri"/>
          <w:color w:val="111111"/>
          <w:sz w:val="28"/>
          <w:sz w:val="28"/>
          <w:szCs w:val="28"/>
          <w:rtl w:val="true"/>
          <w:lang w:bidi="ar-SA"/>
        </w:rPr>
        <w:t>في كتابه تهذيب الآثار،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إسماعيل بن موسى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الرومي، عن شريك، عن سلمة بن كهيل، عن سويد بن غفلة، عن الصنابحي،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خبر صحيح سنده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وإن اختلفت بعض مفرداته، ولكن هذا لا يضر؛ لأنّ كلامنا هو أنّ </w:t>
      </w:r>
      <w:bookmarkStart w:id="555" w:name="pg7540_66827"/>
    </w:p>
    <w:p>
      <w:pPr>
        <w:pStyle w:val="BookText"/>
        <w:rPr/>
      </w:pPr>
      <w:bookmarkEnd w:id="555"/>
      <w:r>
        <w:rPr>
          <w:rFonts w:ascii="IRNazanin" w:hAnsi="IRNazanin" w:eastAsia="IRNazanin"/>
          <w:color w:val="111111"/>
          <w:sz w:val="28"/>
          <w:sz w:val="28"/>
          <w:szCs w:val="28"/>
          <w:rtl w:val="true"/>
          <w:lang w:bidi="fa-IR"/>
        </w:rPr>
        <w:t>علياً عَلیه السَلام باب علم رسول الله‘، والحديث مفاده ومؤداه ذلك</w:t>
      </w:r>
      <w:r>
        <w:rPr>
          <w:rFonts w:eastAsia="IRNazanin" w:cs="IRNazanin"/>
          <w:color w:val="111111"/>
          <w:sz w:val="28"/>
          <w:szCs w:val="28"/>
          <w:rtl w:val="true"/>
          <w:lang w:bidi="fa-IR"/>
        </w:rPr>
        <w:t>.</w:t>
      </w:r>
    </w:p>
    <w:p>
      <w:pPr>
        <w:pStyle w:val="Heading6"/>
        <w:numPr>
          <w:ilvl w:val="5"/>
          <w:numId w:val="1"/>
        </w:numPr>
        <w:rPr/>
      </w:pPr>
      <w:bookmarkStart w:id="556" w:name="__RefHeading___Toc2793094_1051229030"/>
      <w:bookmarkStart w:id="557" w:name="_Toc203"/>
      <w:bookmarkEnd w:id="556"/>
      <w:r>
        <w:rPr>
          <w:rtl w:val="true"/>
        </w:rPr>
        <w:t>ترجمة ابن جرير الطبري</w:t>
      </w:r>
      <w:r>
        <w:rPr>
          <w:rtl w:val="true"/>
        </w:rPr>
        <w:t>:</w:t>
      </w:r>
      <w:bookmarkEnd w:id="557"/>
    </w:p>
    <w:p>
      <w:pPr>
        <w:pStyle w:val="BookText"/>
        <w:rPr/>
      </w:pPr>
      <w:r>
        <w:rPr>
          <w:rFonts w:ascii="Amiri" w:hAnsi="Amiri" w:eastAsia="Amiri" w:cs="Amiri"/>
          <w:color w:val="111111"/>
          <w:sz w:val="28"/>
          <w:sz w:val="28"/>
          <w:szCs w:val="28"/>
          <w:rtl w:val="true"/>
          <w:lang w:bidi="ar-SA"/>
        </w:rPr>
        <w:t>ترجم له الخطيب البغدادي والذهبي، والكلام للثاني،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جرير بن يزيد بن كثير، الإمام العلَم الفرد الحافظ، أبو جعفر الطبري، أحد الأعلام وصاحب التصانيف من أهل آمل طبرستان،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جرير أحد الأئمة يُحكم بقوله ويُرجع إلى رأيه؛ لمعرفته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العلوم ما لم يُشاركه فيه أحد من أهل عصره، فكان حافظاً لكتاب الله بصيراً بالمعاني، فقيهاً في أحكام القرآن، عالماً بالسنن وطرقها صحيحها وسقيمها ناسخها ومنسوخها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هذه الترجمة والتي صرّح بها الذهبي وكذلك الخطيب البغدادي؛ فإن لابن جرير خبرة وعلماً بالسنن وطرقها صحيحها وسقيمها، وهو العَلم الفرد الحافظ، والرجل صرّح بصحّة هذا الحديث؛ فيلزم من ذلك التصديق بأقواله، وهي حجّة بلا نزاع بينهم</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2793096_1051229030"/>
      <w:bookmarkStart w:id="559" w:name="_Toc204"/>
      <w:bookmarkEnd w:id="558"/>
      <w:r>
        <w:rPr/>
        <w:t>4</w:t>
      </w:r>
      <w:r>
        <w:rPr>
          <w:rtl w:val="true"/>
        </w:rPr>
        <w:t xml:space="preserve">- </w:t>
      </w:r>
      <w:r>
        <w:rPr>
          <w:rtl w:val="true"/>
        </w:rPr>
        <w:t>الحافظ أبو سعيد العلائي الشافعي</w:t>
      </w:r>
      <w:bookmarkEnd w:id="559"/>
    </w:p>
    <w:p>
      <w:pPr>
        <w:pStyle w:val="BookText"/>
        <w:rPr/>
      </w:pPr>
      <w:r>
        <w:rPr>
          <w:rFonts w:ascii="Amiri" w:hAnsi="Amiri" w:eastAsia="Amiri" w:cs="Amiri"/>
          <w:color w:val="111111"/>
          <w:sz w:val="28"/>
          <w:sz w:val="28"/>
          <w:szCs w:val="28"/>
          <w:rtl w:val="true"/>
          <w:lang w:bidi="ar-SA"/>
        </w:rPr>
        <w:t>قال مستنكراً على مَن ضعّف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استحالة في أن يقول النبي صلى الله عليه وسلم مثل هذا في حقّ عليٍّ كرم الله وجهه، ولم يأتِ كلّ مَن تكلّم في هذا الحديث وجزم بوضعه بجواب عن هذه الروايات الصحيحة عن ابن معين، ومع ذلك فله شاهد</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حكم بوضعه فقد أخطأ، والصواب أنه حسن باعتبار طرقه، </w:t>
      </w:r>
      <w:bookmarkStart w:id="560" w:name="pg7540_66828"/>
    </w:p>
    <w:p>
      <w:pPr>
        <w:pStyle w:val="BookText"/>
        <w:rPr/>
      </w:pPr>
      <w:bookmarkEnd w:id="560"/>
      <w:r>
        <w:rPr>
          <w:rFonts w:ascii="Amiri" w:hAnsi="Amiri" w:eastAsia="Amiri" w:cs="Amiri"/>
          <w:color w:val="111111"/>
          <w:sz w:val="28"/>
          <w:sz w:val="28"/>
          <w:szCs w:val="28"/>
          <w:rtl w:val="true"/>
          <w:lang w:bidi="ar-SA"/>
        </w:rPr>
        <w:t>لا صحيح ولا ضعيف، فضلاً عن أن يكون موضوعاً، وليس هو من الألفاظ المنكرة التي تأباها العقول</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1" w:name="__RefHeading___Toc2793098_1051229030"/>
      <w:bookmarkStart w:id="562" w:name="_Toc205"/>
      <w:bookmarkEnd w:id="561"/>
      <w:r>
        <w:rPr>
          <w:rtl w:val="true"/>
        </w:rPr>
        <w:t>ترجمة العلائي الشافعي</w:t>
      </w:r>
      <w:r>
        <w:rPr>
          <w:rtl w:val="true"/>
        </w:rPr>
        <w:t>:</w:t>
      </w:r>
      <w:bookmarkEnd w:id="562"/>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الشيخ الإمام العلاّمة الحافظ الفقيه ذو الفنون، صلاح الدين أبو سعيد خليل بن كليدي الشافعي، عالم بيت المقدس وبرع في الفنون، وكان إماماً محدِّثاً حافظاً متقناً جليلاً فقيهاً أُصولياً نحوياً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يستحضر الرجال والعلل، وتقدّم في هذا الشأن مع صحّة الذهن وسرعة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 زمانه، إماماً في الفقه وغيره ذكياً نظاراً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الفقه والأُصول والنحو، متفنّناً في علوم الحديث وفنونه، علاّمة فيه، عارفاً في الرجال، علاّمة في المتون والأسانيد، ولم يخلف بعده مثله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3" w:name="__RefHeading___Toc2793100_1051229030"/>
      <w:bookmarkStart w:id="564" w:name="_Toc206"/>
      <w:bookmarkEnd w:id="563"/>
      <w:r>
        <w:rPr/>
        <w:t>5</w:t>
      </w:r>
      <w:r>
        <w:rPr>
          <w:rtl w:val="true"/>
        </w:rPr>
        <w:t xml:space="preserve">- </w:t>
      </w:r>
      <w:r>
        <w:rPr>
          <w:rtl w:val="true"/>
        </w:rPr>
        <w:t>جلال الدين السيوطي</w:t>
      </w:r>
      <w:bookmarkEnd w:id="5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المتقي الهندي نقلاً عن السيوطي بعد أن كان الأخير يذهب إلى مقالة ابن حجر العسقلاني، وأن الحديث من قسم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كنت أُجيب بهذا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 من قسم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إلى أن وقفت على تصحيح ابن جرير لحديث عليّ في تهذيب الآثار مع تصحيح لحديث ابن عباس، فاستخرت الله وجزمت بارتقاء الحديث من مرتبة الحسن إلى مرتبة الصحّة، والله أعلم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565" w:name="pg7540_66829"/>
    </w:p>
    <w:p>
      <w:pPr>
        <w:pStyle w:val="Heading6"/>
        <w:numPr>
          <w:ilvl w:val="5"/>
          <w:numId w:val="1"/>
        </w:numPr>
        <w:rPr/>
      </w:pPr>
      <w:bookmarkStart w:id="566" w:name="__RefHeading___Toc2793102_1051229030"/>
      <w:bookmarkStart w:id="567" w:name="_Toc207"/>
      <w:bookmarkEnd w:id="565"/>
      <w:bookmarkEnd w:id="566"/>
      <w:r>
        <w:rPr/>
        <w:t>6</w:t>
      </w:r>
      <w:r>
        <w:rPr>
          <w:rtl w:val="true"/>
        </w:rPr>
        <w:t xml:space="preserve">- </w:t>
      </w:r>
      <w:r>
        <w:rPr>
          <w:rtl w:val="true"/>
        </w:rPr>
        <w:t>أبو الفيض الغماري</w:t>
      </w:r>
      <w:bookmarkEnd w:id="567"/>
    </w:p>
    <w:p>
      <w:pPr>
        <w:pStyle w:val="BookText"/>
        <w:rPr/>
      </w:pPr>
      <w:r>
        <w:rPr>
          <w:rFonts w:ascii="Amiri" w:hAnsi="Amiri" w:eastAsia="Amiri" w:cs="Amiri"/>
          <w:color w:val="111111"/>
          <w:sz w:val="28"/>
          <w:sz w:val="28"/>
          <w:szCs w:val="28"/>
          <w:rtl w:val="true"/>
          <w:lang w:bidi="ar-SA"/>
        </w:rPr>
        <w:t>قال في كتابه المداوي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الحديث صحيح لا شك في صحته، بل هو أصح من كثير من الأحاديث التي حكموا بصحتها، كما ذلك في جزء مفرد سميته فتح الملك العليّ بصحّة حديث باب مدينة العلم عليّ</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أجاد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كل الأقوال التي تضمّنت تضعيف هذا الحديث، ووثق أبا الصلت الهروي بأُسلوب قلّ نظيره، وذكر المتابعات والشواهد لهذا الحديث، ثمّ 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وننصح كلّ باحث منصف بمراجعة هذا الكتاب؛ ففيه الغاية والمطلوب</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2793104_1051229030"/>
      <w:bookmarkStart w:id="569" w:name="_Toc208"/>
      <w:bookmarkEnd w:id="568"/>
      <w:r>
        <w:rPr>
          <w:rtl w:val="true"/>
        </w:rPr>
        <w:t>نتيجة البحث</w:t>
      </w:r>
      <w:r>
        <w:rPr>
          <w:rtl w:val="true"/>
        </w:rPr>
        <w:t>:</w:t>
      </w:r>
      <w:bookmarkEnd w:id="569"/>
    </w:p>
    <w:p>
      <w:pPr>
        <w:pStyle w:val="BookText"/>
        <w:rPr/>
      </w:pPr>
      <w:r>
        <w:rPr>
          <w:rFonts w:ascii="Amiri" w:hAnsi="Amiri" w:eastAsia="Amiri" w:cs="Amiri"/>
          <w:color w:val="111111"/>
          <w:sz w:val="28"/>
          <w:sz w:val="28"/>
          <w:szCs w:val="28"/>
          <w:rtl w:val="true"/>
          <w:lang w:bidi="ar-SA"/>
        </w:rPr>
        <w:t>من خلال ما تقدم معنا يثبت اعتبار هذا الحديث، بالإضافة إلى تصريح كبار المحدِّثين بصحّته واعتباره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فالحديث في غاية الاعتبار، ولا عبرة بتضعيف ابن الجوزي وابن تيمية والمعلمي ومن نسج على منوالهم</w:t>
      </w:r>
      <w:r>
        <w:rPr>
          <w:rFonts w:eastAsia="Amiri" w:cs="Amiri" w:ascii="Amiri" w:hAnsi="Amiri"/>
          <w:color w:val="111111"/>
          <w:sz w:val="28"/>
          <w:szCs w:val="28"/>
          <w:rtl w:val="true"/>
          <w:lang w:bidi="ar-SA"/>
        </w:rPr>
        <w:t xml:space="preserve">. </w:t>
      </w:r>
      <w:bookmarkStart w:id="570" w:name="pg7540_66830"/>
    </w:p>
    <w:p>
      <w:pPr>
        <w:pStyle w:val="Heading3"/>
        <w:numPr>
          <w:ilvl w:val="2"/>
          <w:numId w:val="1"/>
        </w:numPr>
        <w:rPr/>
      </w:pPr>
      <w:bookmarkStart w:id="571" w:name="__RefHeading___Toc2793106_1051229030"/>
      <w:bookmarkStart w:id="572" w:name="_Toc209"/>
      <w:bookmarkEnd w:id="570"/>
      <w:bookmarkEnd w:id="571"/>
      <w:r>
        <w:rPr>
          <w:rtl w:val="true"/>
        </w:rPr>
        <w:t>تَجَلیبَاتُ الحَاکِمیَّة وَ العُدلُ الالهيّ في قِصةِ العَبدِ الصَّالح</w:t>
      </w:r>
      <w:bookmarkEnd w:id="572"/>
    </w:p>
    <w:p>
      <w:pPr>
        <w:pStyle w:val="Heading4"/>
        <w:numPr>
          <w:ilvl w:val="3"/>
          <w:numId w:val="1"/>
        </w:numPr>
        <w:rPr/>
      </w:pPr>
      <w:bookmarkStart w:id="573" w:name="__RefHeading___Toc2793108_1051229030"/>
      <w:bookmarkStart w:id="574" w:name="_Toc210"/>
      <w:bookmarkEnd w:id="573"/>
      <w:r>
        <w:rPr>
          <w:rtl w:val="true"/>
        </w:rPr>
        <w:t>(</w:t>
      </w:r>
      <w:r>
        <w:rPr>
          <w:rtl w:val="true"/>
        </w:rPr>
        <w:t>بَحثٌ قُرآنيٌ في سٌورَةِ الکَهفِ</w:t>
      </w:r>
      <w:r>
        <w:rPr>
          <w:rtl w:val="true"/>
        </w:rPr>
        <w:t>)</w:t>
      </w:r>
      <w:r>
        <w:rPr>
          <w:rtl w:val="true"/>
        </w:rPr>
        <w:t>سعد عطية حسوني</w:t>
      </w:r>
      <w:bookmarkEnd w:id="574"/>
    </w:p>
    <w:p>
      <w:pPr>
        <w:pStyle w:val="Heading5"/>
        <w:numPr>
          <w:ilvl w:val="4"/>
          <w:numId w:val="1"/>
        </w:numPr>
        <w:rPr/>
      </w:pPr>
      <w:bookmarkStart w:id="575" w:name="__RefHeading___Toc2793110_1051229030"/>
      <w:bookmarkStart w:id="576" w:name="_Toc211"/>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كثيراً ما يقع الخلط عند بعض الناس في مسألة الحاكميّة والعدل الإلهي، على الرغم ممّا في القضية من وضوح كبير وأهمية فائقة على المستوى العقدي، والذي يُلقي بظلاله على السيرة العملية لحياة الإنسان، ولكن مع ذلك قد نلتمس عذراً لهؤلاء الناس؛ بقدر ما ندرك بأنَّهم لا طاقة لهم على استيعاب ما هو أعظم من إدراك المخلوق، إلّا ما جعل الله سبحانه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ومسألتنا من قبيل المسائل المستصعبة؛ إذ تتميز هذه المسألة بأنها ليست مسألة امتدادية كيفيّة، تُباح فيها آراء وابتداعات المخلوق القاصر، أو فيها من الفراغ والهشاشة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للمخلوق أنْ يوسّع تلك أو يضيّق هذه، فيُحدث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عظمى فيما لا يجوز له، فيضمّنُ فكرهُ القاصر الظلم والشبهة والضلال في تلك المساحة التي مُلئتْ بالعلم الرباني المطلق، والحكمة، والهيمنة، والرقابة، واللطف، والعفو، والرحمة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الخالق سبحانه أعلم بالمخلوق من نفسه، وهو أقرب إليه من حبل الوريد، فلم يجعل المواعظ والبيانات القرآنية غامضة، بل غُطّيت بعظيم الدلالات </w:t>
      </w:r>
      <w:bookmarkStart w:id="577" w:name="pg7540_66831"/>
    </w:p>
    <w:p>
      <w:pPr>
        <w:pStyle w:val="BookText"/>
        <w:rPr/>
      </w:pPr>
      <w:bookmarkEnd w:id="577"/>
      <w:r>
        <w:rPr>
          <w:rFonts w:ascii="Amiri" w:hAnsi="Amiri" w:eastAsia="Amiri" w:cs="Amiri"/>
          <w:color w:val="111111"/>
          <w:sz w:val="28"/>
          <w:sz w:val="28"/>
          <w:szCs w:val="28"/>
          <w:rtl w:val="true"/>
          <w:lang w:bidi="ar-SA"/>
        </w:rPr>
        <w:t>التي سنتطرق إليها من خلال إحدى المسائل القرآنيّة بحسب حاجة السياق الموضوعي البحثي لها، وفي ضمن المبحثين التاليين</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2793112_1051229030"/>
      <w:bookmarkStart w:id="579" w:name="_Toc212"/>
      <w:bookmarkEnd w:id="578"/>
      <w:r>
        <w:rPr>
          <w:rtl w:val="true"/>
        </w:rPr>
        <w:t>المبحث الأول</w:t>
      </w:r>
      <w:r>
        <w:rPr>
          <w:rtl w:val="true"/>
        </w:rPr>
        <w:t xml:space="preserve">: </w:t>
      </w:r>
      <w:r>
        <w:rPr>
          <w:rtl w:val="true"/>
        </w:rPr>
        <w:t>الحاكميّة المطلقة</w:t>
      </w:r>
      <w:bookmarkEnd w:id="579"/>
    </w:p>
    <w:p>
      <w:pPr>
        <w:pStyle w:val="BookText"/>
        <w:rPr/>
      </w:pPr>
      <w:r>
        <w:rPr>
          <w:rFonts w:ascii="Amiri" w:hAnsi="Amiri" w:eastAsia="Amiri" w:cs="Amiri"/>
          <w:color w:val="111111"/>
          <w:sz w:val="28"/>
          <w:sz w:val="28"/>
          <w:szCs w:val="28"/>
          <w:rtl w:val="true"/>
          <w:lang w:bidi="ar-SA"/>
        </w:rPr>
        <w:t xml:space="preserve">من فيض اللطف والرحمة، والهداية المحكمة، واتر الله تبارك وتعالى الرسالات والرسل؛ لأجل التبليغ وإقامة الحجج؛ حتى شملت كل الأُمم والأقوام، فكانت مساحة التبليغ لا فراغ فيها، بل بُيّنت مقاصد الرسالات، وكلُّ ما يخص سعي المخلوق، والحساب والثواب بالحق والعدل، فأصبح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أجياله وعصوره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ودراية؛ ما أوجب عليه إقرار العبودية لله وحده مع الإقرار بوحدانيّته إيماناً، وبحاكميّته للخلق من دون ظلم أو افتقار للعزة أو حاجة إلى الأدوات والكيفيات والأعوان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تسلّطٍ 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قاهرةٌ غير مقهورة، ومهيمنة غير ضعيفة، ومتمكّنة غير عاجزة عن كثرة وتنوّع الخلق، أو معرفة نواياهم أو الإحاطة بهم في السر والعلن، أو سدّ حاجات العباد، أو صدق الوفاء بعهود الخالق لهم إحساناً بهم، من دون وجود شرط لهم عليه سبحانه، كل ذلك بالعالميّة المطلقة، والرحمة الواسعة، والتدبير والتقدير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ترابط الحكم بالعدل أكمل الترابط والتلاؤم، ولو طغت الحاكميّة على العدل لأَفرغت العباد من خيار السعي؛ ولأَصبحوا مسيّرين في كل شيء، غير مخيّرين بحدود ما جعل الله سبحانه لهم من الخيرة، وبقدر إدراكهم واستطاعتهم، كما يقول المجبّرة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ومحور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الحاكميّة والعدل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قضيّة قرآنيّة في غاية الأهميّة، سنبحثها في هذا الموضوع</w:t>
      </w:r>
      <w:r>
        <w:rPr>
          <w:rFonts w:eastAsia="Amiri" w:cs="Amiri" w:ascii="Amiri" w:hAnsi="Amiri"/>
          <w:color w:val="111111"/>
          <w:sz w:val="28"/>
          <w:szCs w:val="28"/>
          <w:rtl w:val="true"/>
          <w:lang w:bidi="ar-SA"/>
        </w:rPr>
        <w:t xml:space="preserve">. </w:t>
      </w:r>
      <w:bookmarkStart w:id="580" w:name="pg7540_66832"/>
    </w:p>
    <w:p>
      <w:pPr>
        <w:pStyle w:val="Heading5"/>
        <w:numPr>
          <w:ilvl w:val="4"/>
          <w:numId w:val="1"/>
        </w:numPr>
        <w:rPr/>
      </w:pPr>
      <w:bookmarkStart w:id="581" w:name="__RefHeading___Toc2793114_1051229030"/>
      <w:bookmarkStart w:id="582" w:name="_Toc213"/>
      <w:bookmarkEnd w:id="580"/>
      <w:bookmarkEnd w:id="581"/>
      <w:r>
        <w:rPr>
          <w:rtl w:val="true"/>
        </w:rPr>
        <w:t>الحاكمية والعدل في القرآن</w:t>
      </w:r>
      <w:bookmarkEnd w:id="582"/>
    </w:p>
    <w:p>
      <w:pPr>
        <w:pStyle w:val="Heading6"/>
        <w:numPr>
          <w:ilvl w:val="5"/>
          <w:numId w:val="1"/>
        </w:numPr>
        <w:rPr/>
      </w:pPr>
      <w:bookmarkStart w:id="583" w:name="__RefHeading___Toc2793116_1051229030"/>
      <w:bookmarkStart w:id="584" w:name="_Toc214"/>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هناك آيات قرآنية كثيرة تناولت موضوع الحاكمية والعدل وسبل التوفيق بينهما، ولكننا سنقتصر على 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نُكَلِّفُ نَفْسًا إِلَّا وُسْعَهَا وَلَدَيْنَا كِتَابٌ يَنْطِقُ بِالْحَقِّ وَهُمْ لَا يُظْلَمُونَ</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الآية المباركة الأُولى يبيّن لنا بأنَّ الخلق ليس عبثاً ولا لهواً، وبيان الآية الثانية في المعنى نفسه والدلالة ذاتها، أما بيان الآية الثالثة، ففيه دلالة واضحة على الحاكميّة والعدل الإلهي بالكلفة على قدر سعة النَفْس وطاقتها، ونرى في الجانب الآخر من الآية رجوع الخلق عموماً والإنسان خصوصاً إلى الله تعالى في الجزاء والثواب، وهذه الآية تنعكس ظاهراً على الآيتين الكريمتين، وهنّ جميعاً في صلب موضوع بحثنا هذا، والذي سنتعرض فيه أيضاً للحديث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أُمّه، والسعيد مَن سعد في بطن أُمّه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الذي سنتناوله بالتحليل من حيث ارتباطه بالعدل والحاكمية؛ لأنَّه قد يترك عند بعض الناس شبهةً كبيرةً وخطيرةً على تقسيم الناس بداءةً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أجنّة في بطون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أشقياء وسعداء قبل السعي والعمل، فلا خيار لهم في السعادة أو الشقاء، وإنما هم مجبورون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الشبهة مخالفة لحكمة الخلق وبعث الأنبياء والرُّسُل من جهة، والحاكميّة </w:t>
      </w:r>
      <w:bookmarkStart w:id="585" w:name="pg7540_66833"/>
    </w:p>
    <w:p>
      <w:pPr>
        <w:pStyle w:val="BookText"/>
        <w:rPr/>
      </w:pPr>
      <w:bookmarkEnd w:id="585"/>
      <w:r>
        <w:rPr>
          <w:rFonts w:ascii="Amiri" w:hAnsi="Amiri" w:eastAsia="Amiri" w:cs="Amiri"/>
          <w:color w:val="111111"/>
          <w:sz w:val="28"/>
          <w:sz w:val="28"/>
          <w:szCs w:val="28"/>
          <w:rtl w:val="true"/>
          <w:lang w:bidi="ar-SA"/>
        </w:rPr>
        <w:t>والعدل الإلهي من جهة أُخرى؛ وبناءً على استحكام الشبهة فلا فضْل لفاعل الخير والمحسن، ما دام هو مجبراً على فعل الخير دون إرادته واختياره، وهو سعيد في بطن أُمّه، وكذلك لا ذنب للشقي حتى يُعذَّب في جهنم، وهو بريء ممّا عمل؛ طالما كُتب عليه الشقاء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يُثار تساؤل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الكتابة السابقة للعمل تُلغي عن الشقي كل مجالات التوبة والاستغفار، وتُبعد عن السعيد قبل العمل الميل إلى الشر وفعل السوء؟ وهذا التساؤل يفرض علينا بحثاً منطقياً في أمرين مهمّين</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2793118_1051229030"/>
      <w:bookmarkStart w:id="587" w:name="_Toc215"/>
      <w:bookmarkEnd w:id="586"/>
      <w:r>
        <w:rPr>
          <w:rtl w:val="true"/>
        </w:rPr>
        <w:t>الأمر الأول</w:t>
      </w:r>
      <w:r>
        <w:rPr>
          <w:rtl w:val="true"/>
        </w:rPr>
        <w:t xml:space="preserve">: </w:t>
      </w:r>
      <w:r>
        <w:rPr>
          <w:rtl w:val="true"/>
        </w:rPr>
        <w:t>الإطلاق والشمولية في العلم الإلهي</w:t>
      </w:r>
      <w:bookmarkEnd w:id="587"/>
    </w:p>
    <w:p>
      <w:pPr>
        <w:pStyle w:val="Heading6"/>
        <w:numPr>
          <w:ilvl w:val="5"/>
          <w:numId w:val="1"/>
        </w:numPr>
        <w:rPr/>
      </w:pPr>
      <w:bookmarkStart w:id="588" w:name="__RefHeading___Toc2793120_1051229030"/>
      <w:bookmarkStart w:id="589" w:name="_Toc216"/>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إنَّ علم الله تعالى مطلق قبل خلق الخلق وبعده، فهو أعلم بالمخلوق من حيث النشأة والمآل، والسعي والنوايا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وينشعب هذا الأمر إلى شقين</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2793122_1051229030"/>
      <w:bookmarkStart w:id="591" w:name="_Toc217"/>
      <w:bookmarkEnd w:id="590"/>
      <w:r>
        <w:rPr>
          <w:rtl w:val="true"/>
        </w:rPr>
        <w:t>الشق الأول</w:t>
      </w:r>
      <w:r>
        <w:rPr>
          <w:rtl w:val="true"/>
        </w:rPr>
        <w:t xml:space="preserve">: </w:t>
      </w:r>
      <w:r>
        <w:rPr>
          <w:rtl w:val="true"/>
        </w:rPr>
        <w:t>الغاية من التكاليف وإرسال الرُّسُل</w:t>
      </w:r>
      <w:bookmarkEnd w:id="591"/>
    </w:p>
    <w:p>
      <w:pPr>
        <w:pStyle w:val="BookText"/>
        <w:rPr/>
      </w:pPr>
      <w:r>
        <w:rPr>
          <w:rFonts w:ascii="Amiri" w:hAnsi="Amiri" w:eastAsia="Amiri" w:cs="Amiri"/>
          <w:color w:val="111111"/>
          <w:sz w:val="28"/>
          <w:sz w:val="28"/>
          <w:szCs w:val="28"/>
          <w:rtl w:val="true"/>
          <w:lang w:bidi="ar-SA"/>
        </w:rPr>
        <w:t>إنَّ الجنين إذا كان شقياً وكُتب عليه الشقاء منذ البداية وحينما يخرج إلى الدنيا، فما هو أثر وفائدة الرسالات والأديان؟ ولماذا تقع عليه التكاليف العباديّة والعمليّة؟ وبما أنَّه كُتب عليه الشقاء؛ فإنَّه لن يلتزم بحدود تلك التكاليف وأحكامها، وعندها لا تنفعه الرسالات والأديان؛ فتكون تلك الرسالات فارغة من أساس هدفها ما دام أكثر الناس أو نصفهم مجبرين؛ لكونهم كُتِب عليهم الشقاء منذ هم أجنّة في بطون أُمّهاتهم، بل ستكون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منزّه عن اللغو</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المقابل، فإن النصف الآخر الذين كتُبِوا سعداء لا يحتاجون إلى الرسالات وجهد الأنبياء؛ ما داموا على خير وصلاح بداءةً؛ وسيكونون من أهل الخير والسعادة انتهاءً، ولكن ليس بفضل إرادتهم واختيارهم، وإنما لأنهم كُتبوا سعداء منذ كانوا في بطون الأُمهات</w:t>
      </w:r>
      <w:r>
        <w:rPr>
          <w:rFonts w:eastAsia="Amiri" w:cs="Amiri" w:ascii="Amiri" w:hAnsi="Amiri"/>
          <w:color w:val="111111"/>
          <w:sz w:val="28"/>
          <w:szCs w:val="28"/>
          <w:rtl w:val="true"/>
          <w:lang w:bidi="ar-SA"/>
        </w:rPr>
        <w:t xml:space="preserve">. </w:t>
      </w:r>
      <w:bookmarkStart w:id="592" w:name="pg7540_66834"/>
    </w:p>
    <w:p>
      <w:pPr>
        <w:pStyle w:val="Heading6"/>
        <w:numPr>
          <w:ilvl w:val="5"/>
          <w:numId w:val="1"/>
        </w:numPr>
        <w:rPr/>
      </w:pPr>
      <w:bookmarkStart w:id="593" w:name="__RefHeading___Toc2793124_1051229030"/>
      <w:bookmarkStart w:id="594" w:name="_Toc218"/>
      <w:bookmarkEnd w:id="592"/>
      <w:bookmarkEnd w:id="593"/>
      <w:r>
        <w:rPr>
          <w:rtl w:val="true"/>
        </w:rPr>
        <w:t>الشق الثاني</w:t>
      </w:r>
      <w:r>
        <w:rPr>
          <w:rtl w:val="true"/>
        </w:rPr>
        <w:t xml:space="preserve">: </w:t>
      </w:r>
      <w:r>
        <w:rPr>
          <w:rtl w:val="true"/>
        </w:rPr>
        <w:t>الشقاء والسعادة في علم الله وبإرادة الإنسان</w:t>
      </w:r>
      <w:bookmarkEnd w:id="594"/>
    </w:p>
    <w:p>
      <w:pPr>
        <w:pStyle w:val="BookText"/>
        <w:rPr/>
      </w:pPr>
      <w:r>
        <w:rPr>
          <w:rFonts w:ascii="Amiri" w:hAnsi="Amiri" w:eastAsia="Amiri" w:cs="Amiri"/>
          <w:color w:val="111111"/>
          <w:sz w:val="28"/>
          <w:sz w:val="28"/>
          <w:szCs w:val="28"/>
          <w:rtl w:val="true"/>
          <w:lang w:bidi="ar-SA"/>
        </w:rPr>
        <w:t>إنَّ الله سبحانه أكمل للشقي كل موجبات الهداية والرحمة، مع باب التوبة والمغفرة الواسع المفتوح لكل العباد، إلّا أنَّ نَفْسَهُ تولجهُ وباختياره في العصيان وعمل الشر والسوء والحرام، كما كان الطواغيت والفاسدون يعملون في الدنيا، فمعنى الحديث النبوي الشريف أن الشقي شقي في بطن أُمّه؛ لأنَّ الله تعالى يعلم ما يرومه هذا الشقي في سعيه الدنيوي بمحض إرادته، وكذلك السعيد</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2793126_1051229030"/>
      <w:bookmarkStart w:id="596" w:name="_Toc219"/>
      <w:bookmarkEnd w:id="595"/>
      <w:r>
        <w:rPr>
          <w:rtl w:val="true"/>
        </w:rPr>
        <w:t>الأمر الثاني</w:t>
      </w:r>
      <w:r>
        <w:rPr>
          <w:rtl w:val="true"/>
        </w:rPr>
        <w:t xml:space="preserve">: </w:t>
      </w:r>
      <w:r>
        <w:rPr>
          <w:rtl w:val="true"/>
        </w:rPr>
        <w:t>الأشقياء والسعداء في الوعد الإلهي</w:t>
      </w:r>
      <w:bookmarkEnd w:id="596"/>
    </w:p>
    <w:p>
      <w:pPr>
        <w:pStyle w:val="Heading6"/>
        <w:numPr>
          <w:ilvl w:val="5"/>
          <w:numId w:val="1"/>
        </w:numPr>
        <w:rPr/>
      </w:pPr>
      <w:bookmarkStart w:id="597" w:name="__RefHeading___Toc2793128_1051229030"/>
      <w:bookmarkStart w:id="598" w:name="_Toc220"/>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إنَّ الله تبارك وتعالى يفعل ما يشاء بما قَدّر للحياة الدنيا، حيث جعل سعي العباد اختياريّاً، ومن ثُم الموت والبعث والحساب وما يترتب عليه من ثواب وعقاب، وقد وعد سبحانه بأنْ يملأ الجحيم من الجِنَّة والناس، ووعْدُه حق لا خلف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كان لا بدّ من وجود الأشقياء والتعساء؛ حتى يتحقق ذلك الوعد الإلهي، والحديث في هذا الأمر ينقسم أيضاً إلى شقين</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2793130_1051229030"/>
      <w:bookmarkStart w:id="600" w:name="_Toc221"/>
      <w:bookmarkEnd w:id="599"/>
      <w:r>
        <w:rPr>
          <w:rtl w:val="true"/>
        </w:rPr>
        <w:t>الشق الأول</w:t>
      </w:r>
      <w:r>
        <w:rPr>
          <w:rtl w:val="true"/>
        </w:rPr>
        <w:t xml:space="preserve">: </w:t>
      </w:r>
      <w:r>
        <w:rPr>
          <w:rtl w:val="true"/>
        </w:rPr>
        <w:t>لماذا السيئة بواحدة والحسنة بعشر أمثالها؟</w:t>
      </w:r>
      <w:bookmarkEnd w:id="60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فلو كانت الغاية هي امتلاء جهنم؛ من أجلِ تعذيب المخلوقين، دون إرادتهم واختيارهم، فلماذا جعل الله تعالى السيئة بواحدة والحسنة بعشر أمثالها، ويزيد تفضلاً وإحساناً بغير حساب؟</w:t>
      </w:r>
      <w:r>
        <w:rPr>
          <w:rFonts w:eastAsia="Amiri" w:cs="Amiri" w:ascii="Amiri" w:hAnsi="Amiri"/>
          <w:color w:val="111111"/>
          <w:sz w:val="28"/>
          <w:szCs w:val="28"/>
          <w:rtl w:val="true"/>
          <w:lang w:bidi="ar-SA"/>
        </w:rPr>
        <w:t xml:space="preserve">! </w:t>
      </w:r>
      <w:bookmarkStart w:id="601" w:name="pg7540_66835"/>
    </w:p>
    <w:p>
      <w:pPr>
        <w:pStyle w:val="Heading6"/>
        <w:numPr>
          <w:ilvl w:val="5"/>
          <w:numId w:val="1"/>
        </w:numPr>
        <w:rPr/>
      </w:pPr>
      <w:bookmarkStart w:id="602" w:name="__RefHeading___Toc2793132_1051229030"/>
      <w:bookmarkStart w:id="603" w:name="_Toc222"/>
      <w:bookmarkEnd w:id="601"/>
      <w:bookmarkEnd w:id="602"/>
      <w:r>
        <w:rPr>
          <w:rtl w:val="true"/>
        </w:rPr>
        <w:t>الشق الثاني</w:t>
      </w:r>
      <w:r>
        <w:rPr>
          <w:rtl w:val="true"/>
        </w:rPr>
        <w:t xml:space="preserve">: </w:t>
      </w:r>
      <w:r>
        <w:rPr>
          <w:rtl w:val="true"/>
        </w:rPr>
        <w:t>ما هو دور الشفاعة؟</w:t>
      </w:r>
      <w:bookmarkEnd w:id="603"/>
    </w:p>
    <w:p>
      <w:pPr>
        <w:pStyle w:val="BookText"/>
        <w:rPr/>
      </w:pPr>
      <w:r>
        <w:rPr>
          <w:rFonts w:ascii="Amiri" w:hAnsi="Amiri" w:eastAsia="Amiri" w:cs="Amiri"/>
          <w:color w:val="111111"/>
          <w:sz w:val="28"/>
          <w:sz w:val="28"/>
          <w:szCs w:val="28"/>
          <w:rtl w:val="true"/>
          <w:lang w:bidi="ar-SA"/>
        </w:rPr>
        <w:t>لو كان الوعد الإلهي هو أنْ تُملأ جهنّم بالأشقياء، فما هو نفع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من الثوابت الدينية كتاباً وسنَّةً، كما في نص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2793134_1051229030"/>
      <w:bookmarkStart w:id="605" w:name="_Toc223"/>
      <w:bookmarkEnd w:id="604"/>
      <w:r>
        <w:rPr>
          <w:rtl w:val="true"/>
        </w:rPr>
        <w:t xml:space="preserve">النص والحدث </w:t>
      </w:r>
      <w:r>
        <w:rPr>
          <w:rtl w:val="true"/>
        </w:rPr>
        <w:t>(</w:t>
      </w:r>
      <w:r>
        <w:rPr>
          <w:rtl w:val="true"/>
        </w:rPr>
        <w:t>قصة العبد الصالح</w:t>
      </w:r>
      <w:r>
        <w:rPr>
          <w:rtl w:val="true"/>
        </w:rPr>
        <w:t>)</w:t>
      </w:r>
      <w:bookmarkEnd w:id="605"/>
    </w:p>
    <w:p>
      <w:pPr>
        <w:pStyle w:val="Heading6"/>
        <w:numPr>
          <w:ilvl w:val="5"/>
          <w:numId w:val="1"/>
        </w:numPr>
        <w:rPr/>
      </w:pPr>
      <w:bookmarkStart w:id="606" w:name="__RefHeading___Toc2793136_1051229030"/>
      <w:bookmarkStart w:id="607" w:name="_Toc224"/>
      <w:bookmarkEnd w:id="606"/>
      <w:r>
        <w:rPr>
          <w:rtl w:val="true"/>
        </w:rPr>
        <w:t>اشارة</w:t>
      </w:r>
      <w:bookmarkEnd w:id="607"/>
    </w:p>
    <w:p>
      <w:pPr>
        <w:pStyle w:val="BookText"/>
        <w:rPr/>
      </w:pPr>
      <w:r>
        <w:rPr>
          <w:rFonts w:ascii="IRNazanin" w:hAnsi="IRNazanin" w:eastAsia="IRNazanin"/>
          <w:color w:val="111111"/>
          <w:sz w:val="28"/>
          <w:sz w:val="28"/>
          <w:szCs w:val="28"/>
          <w:rtl w:val="true"/>
          <w:lang w:bidi="fa-IR"/>
        </w:rPr>
        <w:t xml:space="preserve">إن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نستخلصها من بعض النصوص القرآنيّة، من خلال ما أُورد في القصص القرآني في سورة الكهف، هي ما فعله العبد الصالح الذي آتاه الله العلم، وقد جاء في الأخبار أنَّ ذلك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العلم اللدني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عَلیه السَلام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فَانْطَلَقَا حَتَّى إِذَا لَقِيَا غُلَامًا فَقَتَلَهُ قَالَ أَقَتَلْتَ نَفْسًا زَكِيَّةً بِغَيْرِ نَفْسٍ لَقَدْ جِئْتَ شَيْئًا نُكْرًا </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في بعض الأقوال دون سن البلوغ، فيبيّن النص القرآني أنَّ الخضر عَلیه السَلام قتل الغلام وهو غير مُكلّف بعدُ، ولم يقُمْ بأيّ جريرة أو عمل شرير، وكذلك برّأ النص القرآني في سورة الكهف العبد الصالح عَلیه السَلام من أيّ جريرة أو مسؤولية على قتل هذا الغلام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فَأَرَدْنَا أَنْ يُبْدِلَهُمَا رَبُّهُمَا خَيْرًا مِنْهُ زَكَاةً وَأَقْرَبَ رُحْمًا </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فالحاكميّة الإلهيّة تأمر العبد الصالح بقتل الغلام غير المكلّف بعدُ، ودون جريرة اقترفها؛ ممّا يدل على أنَّ الله سبحانه أعلم بعباده وخلقه من أنفسهم</w:t>
      </w:r>
      <w:r>
        <w:rPr>
          <w:rFonts w:eastAsia="Amiri" w:cs="Amiri" w:ascii="Amiri" w:hAnsi="Amiri"/>
          <w:color w:val="111111"/>
          <w:sz w:val="28"/>
          <w:szCs w:val="28"/>
          <w:rtl w:val="true"/>
          <w:lang w:bidi="ar-SA"/>
        </w:rPr>
        <w:t xml:space="preserve">. </w:t>
      </w:r>
      <w:bookmarkStart w:id="608" w:name="pg7540_66836"/>
    </w:p>
    <w:p>
      <w:pPr>
        <w:pStyle w:val="BookText"/>
        <w:rPr/>
      </w:pPr>
      <w:bookmarkEnd w:id="608"/>
      <w:r>
        <w:rPr>
          <w:rFonts w:ascii="Amiri" w:hAnsi="Amiri" w:eastAsia="Amiri" w:cs="Amiri"/>
          <w:color w:val="111111"/>
          <w:sz w:val="28"/>
          <w:sz w:val="28"/>
          <w:szCs w:val="28"/>
          <w:rtl w:val="true"/>
          <w:lang w:bidi="ar-SA"/>
        </w:rPr>
        <w:t>والآيات المباركات التي ذكرناها قد بيّنت لنا مسألة القتل وأسبابها، ولكن من أجل استبيان التفاصيل ونقاش المسألة نقاشاً علمياً، ومن خلال بيانات النصوص القرآنيّة الكريمة نرى أنَّ محور البحث يقع في أمرين</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2793138_1051229030"/>
      <w:bookmarkStart w:id="610" w:name="_Toc225"/>
      <w:bookmarkEnd w:id="609"/>
      <w:r>
        <w:rPr>
          <w:rtl w:val="true"/>
        </w:rPr>
        <w:t>الأمر الأول</w:t>
      </w:r>
      <w:r>
        <w:rPr>
          <w:rtl w:val="true"/>
        </w:rPr>
        <w:t xml:space="preserve">: </w:t>
      </w:r>
      <w:r>
        <w:rPr>
          <w:rtl w:val="true"/>
        </w:rPr>
        <w:t>العوض</w:t>
      </w:r>
      <w:bookmarkEnd w:id="610"/>
    </w:p>
    <w:p>
      <w:pPr>
        <w:pStyle w:val="BookText"/>
        <w:rPr/>
      </w:pP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الرحمة من عند الله تعالى، بعد أنْ تبيّن من خلال النصوص القرآنيّة بأنَّ الغلام المقتول سيُرهق والديه طغياناً وكفراً؛ فتكون هذه الرحمة العوضية للوالدين خيراً لهم، وسابقة على أذى الغلام لهما، وهذه الرحمة عين اللطف والحكمة الإلهيّة</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2793140_1051229030"/>
      <w:bookmarkStart w:id="612" w:name="_Toc226"/>
      <w:bookmarkEnd w:id="611"/>
      <w:r>
        <w:rPr>
          <w:rtl w:val="true"/>
        </w:rPr>
        <w:t>الأمر الثاني</w:t>
      </w:r>
      <w:r>
        <w:rPr>
          <w:rtl w:val="true"/>
        </w:rPr>
        <w:t xml:space="preserve">: </w:t>
      </w:r>
      <w:r>
        <w:rPr>
          <w:rtl w:val="true"/>
        </w:rPr>
        <w:t>الرحمة</w:t>
      </w:r>
      <w:bookmarkEnd w:id="612"/>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أجل حماية الإنسان من شر نفسه، بمعنى أنه إنْ عاش سيدخل جهنّم لا محالة، طالما أن الإنسان مخيّر في سعيه، وما دام الموت نهاية كل مخلوق، فكان القتل منقذاً للغلام؛ حتى لا يكون من أهل السوء والفساد، ولا يأتي بما يُرهق الأبوين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وطالما أن الأفعال التي قام بها العبد الصالح عَلیه السَلام هي من عند الله تعالى؛ فهي كلُّها خير ورحمة في كل النتائج المنبثقة عن تلك الأفعال، بما فيها قتل الغلام لصالح أهله ومنفعتهم، لا لمصلحة العبد الصالح، ونستخلص من ذلك أوجهاً 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الأفعال كلُّها بلا مصلحة أو منفعة للعبد الصالح، بل كلُّها خير وصالح ورحمة لأصحابها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حملت من مضامين وإشارات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وقع من أفعال، لا يحمل إلّا الخير والعدل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فالإصابة التي يكتبها الله تعالى خارجة عن تكليف الإنسان وسعيه، وضمن كلفة النَفْس وسعتها، وهي خير للناس، وهم غير مسؤولين عن نتائجها؛ ما دامت من عند الله تعالى، وممّا يجب الانتباه إليه أنَّ إرادة الله تعالى لا تلغي كلياً إرادة الناس واختيارهم وسعيهم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الإصابة هنا، فهي فيما كان فوق إرادتهم ومعرفتهم وقدراتهم؛ فتكون صالحاً وخيراً لهم، بدليل ما قام به العبد الصالح من 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 أهل التحقيق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القضاء والقدر في مجال أفعال الإنسان لا ينافيان اختياره وما يوصف به حريّة الإرادة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التقدير الإلهي في مجال الإنسان هو فاعليته الخاصة، وهو كونه فاعلاً مختاراً مريداً، وأنْ يكون فعله وتركه لأيّ عمل تحت اختياره وبإرادته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القضاء الإلهي في مجال فعل الإنسان، هو حتميّته وتحقّقه القطعي بعد اختيار الإنسان له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مجبول على الاختيار ومزيجة بحرّيّة الإرادة ومقدرة بذلك، وأنَّ القضاء الإلهي ليس إلّا هذا، وهو أنَّ الإنسان متى ما أوجد أسباب وقوع فعل ما، تمّ التنفيذ الإلهي من هذا الطريق</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أكّدت النصوص القرآنية والمسألة المستخلصة منها، على أنَّ علم الله سبحانه بناتج الأفعال التي أمر بها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إيضاحاً للطف والحكمة الإلهيّة، هي الخير واليُسر الذي يُحبُّه الله تعالى لعباده وخلقه؛ لأنَّهم يجهلون مصالحهم ومنافعهم الحقيقيّة العظيمة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نبّهت الناس في سياق الوعظ القرآني إلى أمرين مهمين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الكائنات بما فيها الناس ليس سدىً، بل مثلما تكفّل الله بها وأفاض عليها النعم، فهي تحت رقابة حاكميّته ورحمته، وأنَّ الله تعالى حاكم الدنيا والآخرة، والأدلّة على ذلك كثيرة، منها هذه الأفعال، لا كما يظن البعض أنَّ حكمه وحسابه سبحانه يكون في الآخرة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جريرة في تلك الأفعال الثلاثة، كما جاء في سورة الكهف، وخصوصاً قتل الغلام من قِبَل العبد الصالح؛ لأنَّ فعله هذا طاعة لأمر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ونستخلص من هذا الأمر أنَّ المعصومين علیهم السلام ، وأهل التكاليف الربّانيّة الخاصة، لا يفعلون الجرائم والمنكرات والفواحش والمخالفات المؤذية للآخرين، وهذا توكيد قرآني على نهجهم وأفعالهم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ونذكر وجهين آخرين في نقاش المسألة موضوعة البحث، وهذان الوجهان يُلغيان الجبر والتفويض في المسألة، وضمن الأدلة العقلية المستنبطة من النصوص القرآنيّة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عمل العباد تفويضاً لهم من عند الله سبحانه كيفما يشاؤون، لما فعل العبد الصالح تلك الأفعال الثلاثة، وأشدّها قتل الغلام؛ لأنَّه سيحسبها جريرة عليه، وهو لا يفعل الشر ولا يقتل بلا ذنب، حتى وإنْ كان مفوضاً فيما يفعل كيفما يشاء، وهذا الوجه يُلغي ما ذهب إليه البعض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فأفعال العبد الصالح كلُّها تدلّ على نفي التفويض، وأنَّ الحاكميّة الإلهية تفعل ما يكون صالحاً ونافعاً للعباد، حتى لو تطلّب ذلك القتل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العباد مجبورين في كل أفعالهم وأعمالهم، ولا إرادة لهم فيما يفعلون؛ لما أمر الله سبحانه عبده الصالح بقتل الغلام، حتى وإنْ كانت أفعاله ضارة وسيّئة، ما دام </w:t>
      </w:r>
      <w:bookmarkStart w:id="613" w:name="pg7540_66839"/>
    </w:p>
    <w:p>
      <w:pPr>
        <w:pStyle w:val="BookText"/>
        <w:rPr/>
      </w:pPr>
      <w:bookmarkEnd w:id="613"/>
      <w:r>
        <w:rPr>
          <w:rFonts w:ascii="Amiri" w:hAnsi="Amiri" w:eastAsia="Amiri" w:cs="Amiri"/>
          <w:color w:val="111111"/>
          <w:sz w:val="28"/>
          <w:sz w:val="28"/>
          <w:szCs w:val="28"/>
          <w:rtl w:val="true"/>
          <w:lang w:bidi="ar-SA"/>
        </w:rPr>
        <w:t>مسيّراً وليس مخيّراً، ويفعل ويعمل بدون إرادته؛ فهو غير مسؤول عمّا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هذين الوجهين يدلان على حكمة الله سبحانه في جعل الناس مختارين في أفعالهم تحت حاكميّته وإرادته وعلمه، من دون ظلم أو عبث، ولا جزاء على عمل يزيد على الخيار، كما في هذه الأفعال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صفة الحكمة لله تعالى، بهذا المعنى بنحو الحزم، من أهم المسائل الكلاميّة والعقائدية؛ لما يترتب على إنكارها أو الإجمال في ثبوتها له من النتائج الخطيرة لما سيظهر لك، فإثبات الحكمة بهذا المعنى لله تعالى، يُثبت تنزيهه عن كل قبيح؛ ومن ثمَّ يثبت عدله سبحانه في التكوين والتشريع والجزاء، وبها يتنزّه فعله تعالى عن العبث؛ فيكون للخلق غاية، فيثبت لزوم التكليف وإرسال الأنبياء، وبها تنحلُّ مسألة الشرور والكوارث في الكون، ومسألة الهداية والضلالة، وبها يثبت كون الإنسان مختاراً في أفعال نفسه غير مجبور فيها، وبها نثق بوعده تعالى ووعيده، اللذَين وردا في كتابه الحكيم إلى غير النتائج الهامة</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2793142_1051229030"/>
      <w:bookmarkStart w:id="615" w:name="_Toc227"/>
      <w:bookmarkEnd w:id="614"/>
      <w:r>
        <w:rPr>
          <w:rtl w:val="true"/>
        </w:rPr>
        <w:t>المبحث الثاني</w:t>
      </w:r>
      <w:r>
        <w:rPr>
          <w:rtl w:val="true"/>
        </w:rPr>
        <w:t xml:space="preserve">: </w:t>
      </w:r>
      <w:r>
        <w:rPr>
          <w:rtl w:val="true"/>
        </w:rPr>
        <w:t>العدل الإلهي</w:t>
      </w:r>
      <w:bookmarkEnd w:id="615"/>
    </w:p>
    <w:p>
      <w:pPr>
        <w:pStyle w:val="Heading6"/>
        <w:numPr>
          <w:ilvl w:val="5"/>
          <w:numId w:val="1"/>
        </w:numPr>
        <w:rPr/>
      </w:pPr>
      <w:bookmarkStart w:id="616" w:name="__RefHeading___Toc2793144_1051229030"/>
      <w:bookmarkStart w:id="617" w:name="_Toc228"/>
      <w:bookmarkEnd w:id="616"/>
      <w:r>
        <w:rPr>
          <w:rtl w:val="true"/>
        </w:rPr>
        <w:t>اشارة</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 الْعِلْمِ قَائِمًا بِالْقِسْطِ</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إنَّ مسألة عدل الله سبحانه من المسائل الإيمانيّة الحتميّة التي أكّدتها كل الصفات الثبوتيّة والفعليّة لله جل وعلا، وأقرّها العقل الإنساني بداءةً بالفطرة، ولا تحتاج من الإسهاب في الشرح والأدلّة، إلّا بما يقتضيه البحث وبحدود الضرورة، والآيات التي ذكرناها هنا للتذكير فحسب؛ لأن من أوّل البديهيات والمسلّمات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بوضوح بالعدل الإلهي؛ لأنَّ العدل صفة كمال والظلم صفة نقصٍ، والعقل يحكم بأنَّ الله تعالى مستجمع لجميع صفات الكمال، منزّه عن كل عيب ونقص في مقام الذات والفعل، والظلم أساساً نابع من أحد عوامل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الفاعل بقبح 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الفاعل إلى الظلم، مع علمه بقبحه أو عجزه عن القيام بالعدل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فاعل الظلم سفيهاً غير حكيم؛ فهو لا يُبالي بإتيان الأفعال الظالمة رغم علمه بقبحها ورغم قدرته على القيام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أنَّه لا سبيل لأيّ واحدٍ من هذه العوامل إلى الذات الإلهية المقدّسة، فهو تعالى منزّه عن الجهل والعجز وعن الاحتياج والسفه؛ ولهذا فإنَّ جميع أفعاله تتَّسم بالعدل والحكمة</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فالعدل لزومه بديهي بالعقل؛ انطلاقاً من مبدأ أُسس الحكمة ومقتضياتها، والظلم والجور والإكراه قبحه مدرك ببداهة العقل، فبدء الخلق كله بالحق والعدل والحكمة، ومَن يداخله الشك والظن السيء، وتأخذه الشبهات في حكمة وعدل ومشيئة الله تعالى وإرادته، فينسب إليه العبث أو الظلم؛ فقد كفر وسفه نفسه وعقله وفطرته، وأنكر آلاء الخالق الحق الكريم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عدل الله تعالى العملي، جعل القدرة الفعليّة العمليّة والاختياريّة الإراديّة </w:t>
      </w:r>
    </w:p>
    <w:p>
      <w:pPr>
        <w:pStyle w:val="BookText"/>
        <w:rPr/>
      </w:pPr>
      <w:r>
        <w:rPr>
          <w:rFonts w:ascii="Amiri" w:hAnsi="Amiri" w:eastAsia="Amiri" w:cs="Amiri"/>
          <w:color w:val="111111"/>
          <w:sz w:val="28"/>
          <w:sz w:val="28"/>
          <w:szCs w:val="28"/>
          <w:rtl w:val="true"/>
          <w:lang w:bidi="ar-SA"/>
        </w:rPr>
        <w:t>للإنسان وكل مخلوق ساع في الحياة، وهيّأ كل حاجيات وضروريات سعيه الحياتي الدنيوي، والإنسان بما أنَّه مكلّف ومسؤول، فهو أكثر المخلوقات قدرةً واختياراً بما يتناسب ودوره الدنيوي، وهو مسؤول عن ذلك ومحاسب على ما يفعل ويختار، ولا جبر ولا تفويض ولا إكراه ما دام الحساب 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أنَّه لا يقع منه عز وجل الظلم ولا يفعله، أنَّه قد ثبت كونه تعالى قديماً غنيَّاً عالماً لا يجهل، والظلم لا يقع إلّا من جاهل بقبحه، أو محتاج إلى فعله</w:t>
      </w:r>
      <w:r>
        <w:rPr>
          <w:rStyle w:val="FootnoteAnchor"/>
          <w:rtl w:val="true"/>
        </w:rPr>
        <w:footnoteReference w:id="4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واستغناؤه وعلمه يدلان على انتفاء القبح عن أفعاله تعالى</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يُسْأَلُ عَمَّا يَفْعَلُ وَهُمْ يُسْأَلُونَ </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فالسؤال إنما يكون لتمييز جهة المصلحة في الفعل، والله حكيم لا يفعل فعلاً إلّا لمصلحة مرجّحة، فلا معنى للسؤال، أما غيره تعالى فمن الممكن أنْ يفعل الباطل؛ فلذا يُسألون عن فعلهم؛ حتى يؤاخذوا بالذم العقلي، أو العقاب المولوي إنْ لم يقارن الفعل المصلحة، والأوجه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حكيم مالك للكل، والكل مملوك له، ومقتضى ذلك أنْ يفعل ما يشاء وليس لغيره ذلك، فمن براهين ربوبيته أنَّه لا يُسئل وأنَّه مالك لهم، كما أنَّ برهان عدم ربوبيتهم أنَّهم مسؤولون ومملوكون؛ لأنَّ الذي يُسئل هو مَن لا يملك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لمصلحة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رب العرش العظيم، وهم مربوبون داخرون</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فالعدل الإلهي مُستشعر به في الحياة الدنيا بوضوح، من خلال أساسيات وضروريات واقع الحياة الدنيا، ونحن اتخذنا بعضاً منها كأدلّة على تلك الأُسس العدليّة دونما تحديد؛ لأنها فوق حدّ الإحصاء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التكفّل بشؤون العباد والخلق في مسبّبات الحياة وضرورياتها؛ من أجل </w:t>
      </w:r>
    </w:p>
    <w:p>
      <w:pPr>
        <w:pStyle w:val="BookText"/>
        <w:rPr/>
      </w:pPr>
      <w:r>
        <w:rPr>
          <w:rFonts w:ascii="Amiri" w:hAnsi="Amiri" w:eastAsia="Amiri" w:cs="Amiri"/>
          <w:color w:val="111111"/>
          <w:sz w:val="28"/>
          <w:sz w:val="28"/>
          <w:szCs w:val="28"/>
          <w:rtl w:val="true"/>
          <w:lang w:bidi="ar-SA"/>
        </w:rPr>
        <w:t>الاستمرار والحركة، وأول هذه الضروريات الرزق، فهو سبحانه يرزق مخلوقاته أينما كانوا، في البطون أجنّة، أو في ظلمات البحار، أو في باطن الأرض، ولم يفرّق سبحانه بعدله بين المؤمن الشاكر والكافر الجاحد، فالكل يرزقهم دون سهو أو إهمال، وما زاد على ضروريات الرزق فإما فضل أو استدراج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الله سبحانه بالموت بين خلقه كافة، فالكل ميّتون من دون استثناء، فالرسول وهو النبي المكرّم يموت، والكافر الظالم يموت، لكن مع فرق الكرامات والمنازل، وحيثيات دقائق كيفيات الموت، ولكن الناتج هو خروج الجميع من الحياة الدنيا إلى الحياة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والرسالات، وما جاءت به من حجج ومواعظ وبيانات وأحكام وأوامر ونواهي، كلُّها من أُسس وأركان العدل ما دام هناك حساب وجزاء، وكانت قبله الحُجج والبلاغات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السعي، وهذا من أهم الأُسس والأركان، فالبريء من الذنوب بخيار عمله الخيّر لا يعاقب بل يُثاب، والمذنب والمسيء يعاقب؛ ما دام فعله وخياره عن وعي وإدراك، والمجبور بلا خيار لا تبعية على فعله وسلوكه، والمجنون قد رُفعت عنه التكاليف، على وفق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لا يُحاسب والبريء لا يُعاقَب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الأعمال دون تفريط أو تفريق بين العباد، من قِبلَ الكاتبَينِ الموكلَينِ من عند الله تعالى، والشاهدَينِ مع الجوارح، ومن ورائهم الله سبحانه شاهد ورقيب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وما يترتب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وثواب وعقاب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فيثاب المحسن ويُعاقَب المسيء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الكلفة على سعة النَّفْس وقدرتها؛ رعاية وتكريماً من الله سبحانه للإنسان</w:t>
      </w:r>
      <w:r>
        <w:rPr>
          <w:rFonts w:eastAsia="Amiri" w:cs="Amiri" w:ascii="Amiri" w:hAnsi="Amiri"/>
          <w:color w:val="111111"/>
          <w:sz w:val="28"/>
          <w:szCs w:val="28"/>
          <w:rtl w:val="true"/>
          <w:lang w:bidi="ar-SA"/>
        </w:rPr>
        <w:t xml:space="preserve">. </w:t>
      </w:r>
      <w:bookmarkStart w:id="618" w:name="pg7540_66843"/>
    </w:p>
    <w:p>
      <w:pPr>
        <w:pStyle w:val="Heading6"/>
        <w:numPr>
          <w:ilvl w:val="5"/>
          <w:numId w:val="1"/>
        </w:numPr>
        <w:rPr/>
      </w:pPr>
      <w:bookmarkStart w:id="619" w:name="__RefHeading___Toc2793146_1051229030"/>
      <w:bookmarkStart w:id="620" w:name="_Toc229"/>
      <w:bookmarkEnd w:id="618"/>
      <w:bookmarkEnd w:id="619"/>
      <w:r>
        <w:rPr>
          <w:rtl w:val="true"/>
        </w:rPr>
        <w:t>العدل ومسألة البحث</w:t>
      </w:r>
      <w:bookmarkEnd w:id="620"/>
    </w:p>
    <w:p>
      <w:pPr>
        <w:pStyle w:val="Heading6"/>
        <w:numPr>
          <w:ilvl w:val="5"/>
          <w:numId w:val="1"/>
        </w:numPr>
        <w:rPr/>
      </w:pPr>
      <w:bookmarkStart w:id="621" w:name="__RefHeading___Toc2793148_1051229030"/>
      <w:bookmarkStart w:id="622" w:name="_Toc230"/>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 xml:space="preserve">إنَّ الله سبحانه قد أقام العدل ومنع الظلم في مسألة 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قام بها، فكل فعل من أفعاله كان العدل فيه واضحاً بيّناً، وإليك أدلة وشواهد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إعابة السفينة في الفعل الأول؛ من أجل أنْ لا يُقتل أصحابها، وتؤخذ السفينة غصباً من قِبَل قراصنة البحر ظلماً وعدواناً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الغلام في الفعل الثاني من 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أجل إيقاف ظلم إيذاء الغلام لوالديه، وكذلك إيقاف ظلمه لنفسه، فكان الفعل لطفاً وعدلاً إلهيَّاً، وإنقاذ للغلام ولوالديه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الجدار في الفعل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لكي يحفظ كنز الأطفال الأيتام قبل أنْ يسقط الجدار المائل وينكشف الكنز، فيكون الظلم حينها كبيراً في حق الأيتام ومستقبلهم المعاشي؛ فكان فعلاً عادلاً من عند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الإلهي في 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أنصف مَن خَصّتهم وكانت من أجلهم، ولا سيما الأبرياء منهم، ودفع الظلم الذي كان سيقع عليهم، وكذلك أنصفت الأفعال عينها الظالمين قبل أنْ يفعلوا الظلم، ويُعاقَبوا عليه؛ فكانت لطفاً وإحساناً بهم</w:t>
      </w:r>
      <w:r>
        <w:rPr>
          <w:rFonts w:eastAsia="IRNazanin" w:cs="IRNazanin"/>
          <w:color w:val="111111"/>
          <w:sz w:val="28"/>
          <w:szCs w:val="28"/>
          <w:rtl w:val="true"/>
          <w:lang w:bidi="fa-IR"/>
        </w:rPr>
        <w:t>.</w:t>
      </w:r>
    </w:p>
    <w:p>
      <w:pPr>
        <w:pStyle w:val="Heading6"/>
        <w:numPr>
          <w:ilvl w:val="5"/>
          <w:numId w:val="1"/>
        </w:numPr>
        <w:rPr/>
      </w:pPr>
      <w:bookmarkStart w:id="623" w:name="__RefHeading___Toc2793150_1051229030"/>
      <w:bookmarkStart w:id="624" w:name="_Toc231"/>
      <w:bookmarkEnd w:id="623"/>
      <w:r>
        <w:rPr>
          <w:rtl w:val="true"/>
        </w:rPr>
        <w:t>العدل والإحسان</w:t>
      </w:r>
      <w:r>
        <w:rPr>
          <w:rtl w:val="true"/>
        </w:rPr>
        <w:t>:</w:t>
      </w:r>
      <w:bookmarkEnd w:id="624"/>
    </w:p>
    <w:p>
      <w:pPr>
        <w:pStyle w:val="Heading6"/>
        <w:numPr>
          <w:ilvl w:val="5"/>
          <w:numId w:val="1"/>
        </w:numPr>
        <w:rPr/>
      </w:pPr>
      <w:bookmarkStart w:id="625" w:name="__RefHeading___Toc2793152_1051229030"/>
      <w:bookmarkStart w:id="626" w:name="_Toc232"/>
      <w:bookmarkEnd w:id="625"/>
      <w:r>
        <w:rPr>
          <w:rtl w:val="true"/>
        </w:rPr>
        <w:t>اشارة</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إقامة العدل على المكلّف المقتدر في حدود قدرته، ما دامت الكلفة على </w:t>
      </w:r>
    </w:p>
    <w:p>
      <w:pPr>
        <w:pStyle w:val="BookText"/>
        <w:rPr/>
      </w:pPr>
      <w:r>
        <w:rPr>
          <w:rFonts w:ascii="IRNazanin" w:hAnsi="IRNazanin" w:eastAsia="IRNazanin"/>
          <w:color w:val="111111"/>
          <w:sz w:val="28"/>
          <w:sz w:val="28"/>
          <w:szCs w:val="28"/>
          <w:rtl w:val="true"/>
          <w:lang w:bidi="fa-IR"/>
        </w:rPr>
        <w:t xml:space="preserve">سعة النَّفْس؛ لأنَّ مسألة الظلم مسألة مهلكة، ولا زال أهل الظلم مستبدّين بظلمهم للناس؛ لأنهم مالوا عن جادة العدل والصواب، وكثيراً ما واجه المصلحون وأهل الحق والعدل أقسى أنواع العذاب والتقتيل، فكانت تضحياتهم لله تعالى، وفي سبيل الحق والعدل وإشاعة الإحسان الذي أمر الله تعالى به، وكان نبراس هؤلاء الأماجد الأحرار، سيدهم وقائدهم إلى ذلك الطريق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تدبّرنا معنى الآية الكريمة التي ذكرناها آنفاً؛ نجد أنَّ الله تعالى قد قدّم العدل على الإحسان، مع أهميّة الإحسان وأثره البليغ بين الناس، وتقديم العدل على الإحسان في منصوص الآية المباركة؛ لأنَّه أمر يجب إقامته على القادرين عليه، ولا يجوز لهم تركه؛ لأنَّ تركه يولّد استمرار وقوع الظلم والباطل على الناس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الإحسان، فهو أمر يرشد الله تعالى إليه الناس، ويعظهم إلى فعل الخير فيما بينهم، ولكنه لا يتقدم على العدل؛ ما دام ترك الإحسان لا ينتج عنه الظلم، بل فعله خير وأجره عظيم؛ لأنَّ الله سبحانه يُحبُّ المحسنين، وتاركه عمداً مع الاستطاعة عليه مذموم، يضيّع حُبَّ الله له وفضل الإحسان وأجره، والإحسان يُصلح علاقات الناس ويزيد في تراحمهم وتكافلهم، وفاعله محمود عند الله سبحانه وعند الناس، وحائز على الأثر الجميل والفضل العظيم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ذكر بعض المفسرين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المساواة في المكافأة إنْ خيراً خير، وإنْ شرّاً فشرٌّ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عدل فردي وعدل اجتماعي، وهو المقصود بالآية، وهو أنْ يعمل كل فرد من المجتمع بما يستحقه، فيتعلق الأمر بالمجموع، فيكلّف المجتمع إقامة هذا الحكم، وتتقلده الحكومة المسلمة بما أنها تتولّى وتُدبِّر أمر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إيصال الخير إلى الغير لا على سبيل المقابلة والمجازة، بل إصلاح حال مَن أذلته المسكنة أو الفاقة، وهذا ما ينشر المحبَّة </w:t>
      </w:r>
      <w:bookmarkStart w:id="627" w:name="pg7540_66845"/>
    </w:p>
    <w:p>
      <w:pPr>
        <w:pStyle w:val="BookText"/>
        <w:rPr/>
      </w:pPr>
      <w:bookmarkEnd w:id="627"/>
      <w:r>
        <w:rPr>
          <w:rFonts w:ascii="Amiri" w:hAnsi="Amiri" w:eastAsia="Amiri" w:cs="Amiri"/>
          <w:color w:val="111111"/>
          <w:sz w:val="28"/>
          <w:sz w:val="28"/>
          <w:szCs w:val="28"/>
          <w:rtl w:val="true"/>
          <w:lang w:bidi="ar-SA"/>
        </w:rPr>
        <w:t>والأمن والسلامة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كثرت وتواترت الآيات في الذكر الحكيم، المؤكّدة على العدل وبأنَّ الله تعالى سبحانه عادل، ويُحبُّ العدل والعاملين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نُكَلِّفُ نَفْسًا إِلَّا وُسْعَهَا وَلَدَيْنَا كِتَابٌ يَنْطِقُ بِالْحَقِّ وَهُمْ لَا يُظْلَمُونَ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8" w:name="__RefHeading___Toc2793154_1051229030"/>
      <w:bookmarkStart w:id="629" w:name="_Toc233"/>
      <w:bookmarkEnd w:id="628"/>
      <w:r>
        <w:rPr>
          <w:rtl w:val="true"/>
        </w:rPr>
        <w:t>العدل الالهي والإحسان والعوض</w:t>
      </w:r>
      <w:r>
        <w:rPr>
          <w:rtl w:val="true"/>
        </w:rPr>
        <w:t>:</w:t>
      </w:r>
      <w:bookmarkEnd w:id="62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يفعل الله تعالى الألم؛ لدفع الضرر به من غير عوض عليه، كما يفعل ذلك أحدنا بغيره؛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الألم إنّما يحسن لدفع الضرر في الموضع الذي لا يندفع إلّا به، والقديم تعالى قادر على دفع كل ضرر عن المكلّف من غير أنْ يؤلمه</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لأنَّ الله سبحانه عالم بحال العباد وما يبتغون وما ينفعهم في سعيهم، فإنْ كان سعيهم شرّاً عليهم، أو على أحدٍ من الناس وشاء الله سبحانه أنْ يلطف بهم، فيدفع ما أصابهم أو سيُصيبهم من ضرر بحدوث ألم، عندها يكون عوضه أكبر من الألم نفسه، ولا يكون الألم ألماً بقدر ما هو راحة وخلاص من الشر ونتائجه، فعوض </w:t>
      </w:r>
    </w:p>
    <w:p>
      <w:pPr>
        <w:pStyle w:val="BookText"/>
        <w:rPr/>
      </w:pPr>
      <w:r>
        <w:rPr>
          <w:rFonts w:ascii="Amiri" w:hAnsi="Amiri" w:eastAsia="Amiri" w:cs="Amiri"/>
          <w:color w:val="111111"/>
          <w:sz w:val="28"/>
          <w:sz w:val="28"/>
          <w:szCs w:val="28"/>
          <w:rtl w:val="true"/>
          <w:lang w:bidi="ar-SA"/>
        </w:rPr>
        <w:t>الله سبحانه أكبر وأعظم من الألم الذي دفع به الضرر، وهذا ما يُطابق قتل الغلام مخصوص البحث؛ حيث إنَّ العوض كان أكبر من القتل، كما بيّناه في المبحث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عبارة عن الوقت الذي يحدث فيه القتل أو الموت، ولا يُسمّى ما لا يحدث فيه واحدٌ منها أجلاً بالتقدير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قوم من أهل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المقدر يسمّى أجلاً، وتأوَّلوا في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أَجَلًا وَأَجَلٌ مُسَمًّى عِنْدَهُ ثُمَّ أَنْتُمْ تَمْتَرُونَ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تعالى ههنا أجلين، ولا يصح ذلك إلا على ما نذهب إليه بالتقدير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المقدّر لا يُسمّى أجلاً؛ لأنّه لو جاز ذلك فيه لجاز أنْ يُسمّى المقدّر ملكاً ومباحاً، وذلك لا يقوله أحد</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قتل الغلام أجلٌ؟ أم هو دفع ضرر من أجل العوض؟</w:t>
      </w:r>
    </w:p>
    <w:p>
      <w:pPr>
        <w:pStyle w:val="BookText"/>
        <w:rPr/>
      </w:pPr>
      <w:r>
        <w:rPr>
          <w:rFonts w:ascii="IRNazanin" w:hAnsi="IRNazanin" w:eastAsia="IRNazanin"/>
          <w:color w:val="111111"/>
          <w:sz w:val="28"/>
          <w:sz w:val="28"/>
          <w:szCs w:val="28"/>
          <w:rtl w:val="true"/>
          <w:lang w:bidi="fa-IR"/>
        </w:rPr>
        <w:t>ونحن نرى أن هنا تقديراً حكيماً؛ لأسباب مستقبلية يكون فيها الألم للوالدين والضرر على الغلام، فكان أمر الله سبحانه بقتله من قبل الخضر عَلیه السَلام عدلاً وإحساناً، وفيه العوض الكبير على الوالدين والغلام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الإحسان في هذه المسألة، فقد كان إحسان الله تعالى عظيماً، وله مردود إيجابي على أصحاب السفينة التي أعابها الخضر عَلیه السَلام ، وعلى أبوَي الغلام، بل وعلى الغلام نفسه، وكذلك على الأيتام أصحاب الكنز، وهذا العدل والإحسان والرحمة والعوض في بيان الذكر القرآني؛ من أجل التنبيه على أنَّ كل ما يكتبه الله سبحانه هو خير وصالح للناس، وأنَّ الله غني عن خلقه وعباده وما يفعلون</w:t>
      </w:r>
      <w:r>
        <w:rPr>
          <w:rFonts w:eastAsia="IRNazanin" w:cs="IRNazanin"/>
          <w:color w:val="111111"/>
          <w:sz w:val="28"/>
          <w:szCs w:val="28"/>
          <w:rtl w:val="true"/>
          <w:lang w:bidi="fa-IR"/>
        </w:rPr>
        <w:t xml:space="preserve">. </w:t>
      </w:r>
      <w:bookmarkStart w:id="630" w:name="pg7540_66847"/>
    </w:p>
    <w:p>
      <w:pPr>
        <w:pStyle w:val="Heading6"/>
        <w:numPr>
          <w:ilvl w:val="5"/>
          <w:numId w:val="1"/>
        </w:numPr>
        <w:rPr/>
      </w:pPr>
      <w:bookmarkStart w:id="631" w:name="__RefHeading___Toc2793156_1051229030"/>
      <w:bookmarkStart w:id="632" w:name="_Toc234"/>
      <w:bookmarkEnd w:id="630"/>
      <w:bookmarkEnd w:id="631"/>
      <w:r>
        <w:rPr>
          <w:rtl w:val="true"/>
        </w:rPr>
        <w:t>الحاكميّة والعدل الإلهي</w:t>
      </w:r>
      <w:r>
        <w:rPr>
          <w:rtl w:val="true"/>
        </w:rPr>
        <w:t>:</w:t>
      </w:r>
      <w:bookmarkEnd w:id="632"/>
    </w:p>
    <w:p>
      <w:pPr>
        <w:pStyle w:val="BookText"/>
        <w:rPr/>
      </w:pPr>
      <w:r>
        <w:rPr>
          <w:rFonts w:ascii="Amiri" w:hAnsi="Amiri" w:eastAsia="Amiri" w:cs="Amiri"/>
          <w:color w:val="111111"/>
          <w:sz w:val="28"/>
          <w:sz w:val="28"/>
          <w:szCs w:val="28"/>
          <w:rtl w:val="true"/>
          <w:lang w:bidi="ar-SA"/>
        </w:rPr>
        <w:t>لقد قامت الحاكميّة الإلهية بالعدل المطلق، وقام العدل المطلق بالحاكميّة، وهما من مصدر العظمة والقدرة، فالحاكميّة عادلة، والعدل حاكم وقاضٍ بلا منازع أو عضيد، والمشيئة الإلهيّة عين الحاكميّة والعدل الإلهي؛ لأنّ ما يشاؤه الله سبحانه لا عبث ولا ظلم فيه، وما دام الله سبحانه لا يظلم ولا يُحبُّ الظلم؛ فأنَّ مشيئته لخلقه حكمٌ عادل وفيضُ إحسانٍ ورحمة، بما فاق ما نتصوره في الحكم من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كانت الأفعال الثلاثة المُشار إليها في سورة الكهف، هي في أمر الله تعالى، وهي أفعال عدل وحكمة إلهيّة أفاضت على أصحابها فيض الرحمة والإحسان، ولا جريرة على العبد الصالح؛ ما دام طائعاً لأمر الله</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2793158_1051229030"/>
      <w:bookmarkStart w:id="634" w:name="_Toc235"/>
      <w:bookmarkEnd w:id="633"/>
      <w:r>
        <w:rPr>
          <w:rtl w:val="true"/>
        </w:rPr>
        <w:t>الخاتمة</w:t>
      </w:r>
      <w:bookmarkEnd w:id="634"/>
    </w:p>
    <w:p>
      <w:pPr>
        <w:pStyle w:val="BookText"/>
        <w:rPr/>
      </w:pPr>
      <w:r>
        <w:rPr>
          <w:rFonts w:ascii="Amiri" w:hAnsi="Amiri" w:eastAsia="Amiri" w:cs="Amiri"/>
          <w:color w:val="111111"/>
          <w:sz w:val="28"/>
          <w:sz w:val="28"/>
          <w:szCs w:val="28"/>
          <w:rtl w:val="true"/>
          <w:lang w:bidi="ar-SA"/>
        </w:rPr>
        <w:t>إنَّ إثارة أيَّة مسألة قرآنيّة، ومناقشتها على وفق السياق الفكري الموضوعي؛ من أجل الوضوح والاستبيان المعرفي، فيه فائدة ومنفعة بقدر ما حملت النتيجة من القيمة الموضوعيّة، وفي هذه الخاتمة سنلخّص مجمل ما أرادنا إيصاله إلى القارئ الكريم، ووفقاً للنقاط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الحاكميّة المطلقة حكمها نافذ على الخلق بالحق والعدل في الدنيا والآخرة، وأنَّ الله تعالى رقيب وحسيب على أفعال خلقه وشؤونهم بلا منازع لأمره وحكمه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الحاكمية الإلهيّة لا يصدر عنها العبث أو الفوضى، بل يصدر عنها تدبير الخلق بما ينفع المخلوق من الرزق والرحمة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الإلهي عدل لا ظلم فيه أو جور أو إكراه؛ بدليل اختيار الإنسان والحساب على ما يفعله، من العقاب على الفعل السيء، أو الثواب على الفعل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رحمة الله تعالى تقي العبد من ظلم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دفع بتلك الأفعال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أمر بها عبده الصالح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الضرر بالعوض الكريم، خصوصاً قتل الغلام وإعابة السفينة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هو الذي يبدأ الخلق ويُعيده بقوله للشيء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أراد سبحانه الانتقام أو معاقبة الناس وعذابهم، فلا مانع أو حائل لفعله وإرادته، ولا يُسئل عمَّا يفعل ولا رادّ لحكمه ومشيئته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رؤوف رحيم بالخلق والعباد؛ بدليل أنه سبحانه لا يُعاجل بالعقوبة، وحلمه سبق غضبه، ورحمته سبقت انتقامه، وعفوه سبق عقوبته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يكلّف به الله تعالى عباده، إنما هو على سعة أنفسهم، وأما تكليف الأنبياء والرسل والمعصومين علیهم السلام عامة، فإنّه من أجل منفعة أُممهم وأقوامهم، فلا ظلم أو جور فيما يفعلون، وهذه المسألة المخصوصة البحث، أكّدت ذلك من خلال تصريح الذكر الحكيم بها، وعلى لسان العبد الصالح الخضر عَلیه السَلام المكلّف بتلك الأفعال من عند الله سبحانه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إقامة الجدار المائل، وهو الفعل الثالث والأخير للعبد الصالح، الذي حفظ به للأيتام كنزهم المدفون تحت الجدار قبل أنْ يسقط، وهذا الفعل والجهد دليل قرآني عملي على أنَّ الله سبحانه هو الحافظ الوكيل، الذي يمنُّ على عباده وخلقه بالرعاية والرأفة</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أكد لنا الذكر الحكيم في هذه المسألة القرآنيّة الكثير من المضامين والمواعظ، ولهذا ذُكرت هذه الأفعال في آيات سورة الكهف وبالتتابع؛ لأهميّة المسألة، فسبحان الله الحق العدل الرؤوف اللطيف بخلقه وعباده</w:t>
      </w:r>
      <w:r>
        <w:rPr>
          <w:rFonts w:eastAsia="Amiri" w:cs="Amiri" w:ascii="Amiri" w:hAnsi="Amiri"/>
          <w:color w:val="111111"/>
          <w:sz w:val="28"/>
          <w:szCs w:val="28"/>
          <w:rtl w:val="true"/>
          <w:lang w:bidi="ar-SA"/>
        </w:rPr>
        <w:t xml:space="preserve">. </w:t>
      </w:r>
      <w:bookmarkStart w:id="635" w:name="pg7540_66850"/>
    </w:p>
    <w:p>
      <w:pPr>
        <w:pStyle w:val="Heading3"/>
        <w:numPr>
          <w:ilvl w:val="2"/>
          <w:numId w:val="1"/>
        </w:numPr>
        <w:rPr/>
      </w:pPr>
      <w:bookmarkStart w:id="636" w:name="__RefHeading___Toc2793160_1051229030"/>
      <w:bookmarkStart w:id="637" w:name="_Toc236"/>
      <w:bookmarkEnd w:id="635"/>
      <w:bookmarkEnd w:id="636"/>
      <w:r>
        <w:rPr>
          <w:rtl w:val="true"/>
        </w:rPr>
        <w:t>مَرقَدُ وَ مَزار عُبَیدُاللهِ بن عَلي بن أَبي طَالِب عَلیهِ السَّلام</w:t>
      </w:r>
      <w:bookmarkEnd w:id="637"/>
    </w:p>
    <w:p>
      <w:pPr>
        <w:pStyle w:val="Heading4"/>
        <w:numPr>
          <w:ilvl w:val="3"/>
          <w:numId w:val="1"/>
        </w:numPr>
        <w:rPr/>
      </w:pPr>
      <w:bookmarkStart w:id="638" w:name="__RefHeading___Toc2793162_1051229030"/>
      <w:bookmarkStart w:id="639" w:name="_Toc237"/>
      <w:bookmarkEnd w:id="638"/>
      <w:r>
        <w:rPr>
          <w:rtl w:val="true"/>
        </w:rPr>
        <w:t>دِرَاسَةٌ تَاریخیَةٌ تحلِیلِیَّة الشيخ أحمد عبد السادة الساعدي</w:t>
      </w:r>
      <w:bookmarkEnd w:id="639"/>
    </w:p>
    <w:p>
      <w:pPr>
        <w:pStyle w:val="Heading5"/>
        <w:numPr>
          <w:ilvl w:val="4"/>
          <w:numId w:val="1"/>
        </w:numPr>
        <w:rPr/>
      </w:pPr>
      <w:bookmarkStart w:id="640" w:name="__RefHeading___Toc2793164_1051229030"/>
      <w:bookmarkStart w:id="641" w:name="_Toc238"/>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من المراقد المهمة والكبيرة لأبناء الأئمة في محافظة ميسان هو المرقد والمزار المعروف بمرقد عبيد الله بن علي عَلیه السَلام بالقرب من قضاء قلعة صالح على بُعد أربعين كيلو متراً تقريباً من مركز المحافظة، ويُعتبر من أقدم وأكبر المراقد التاريخية في المحافظة، وله مكانة كبيرة عند الناس في داخل وخارج المحافظة، وتقصده الناس للزيارة والتبرُّك وطلب الحاجات والدعاء عند قبره، وله كرامات كما ينقل الكثير من أهالي المنطقة والزوَّار، وسوف نقسم البحث هنا على قسمين، يتناول القسم الأول التحقُّق من هوية ونسب صاحب هذا المرقد، وسبب مجيئه إلى هذه المنطقة، وكيفية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جعلنا القسم الثاني من البحث مختصاً بالمرقد الشريف وتاريخ بنائه، مع وصف عام للمرقد وأهم معالمه وموقعه الجغرافي والمنطقة التي يقع فيها</w:t>
      </w:r>
      <w:r>
        <w:rPr>
          <w:rFonts w:eastAsia="IRNazanin" w:cs="IRNazanin"/>
          <w:color w:val="111111"/>
          <w:sz w:val="28"/>
          <w:szCs w:val="28"/>
          <w:rtl w:val="true"/>
          <w:lang w:bidi="fa-IR"/>
        </w:rPr>
        <w:t>.</w:t>
      </w:r>
    </w:p>
    <w:p>
      <w:pPr>
        <w:pStyle w:val="Heading5"/>
        <w:numPr>
          <w:ilvl w:val="4"/>
          <w:numId w:val="1"/>
        </w:numPr>
        <w:rPr/>
      </w:pPr>
      <w:bookmarkStart w:id="642" w:name="__RefHeading___Toc2793166_1051229030"/>
      <w:bookmarkStart w:id="643" w:name="_Toc239"/>
      <w:bookmarkEnd w:id="642"/>
      <w:r>
        <w:rPr>
          <w:rtl w:val="true"/>
        </w:rPr>
        <w:t>القسم الأول</w:t>
      </w:r>
      <w:r>
        <w:rPr>
          <w:rtl w:val="true"/>
        </w:rPr>
        <w:t xml:space="preserve">: </w:t>
      </w:r>
      <w:r>
        <w:rPr>
          <w:rtl w:val="true"/>
        </w:rPr>
        <w:t>هوية صاحب المرقد ونسبه وكيفية وفاته</w:t>
      </w:r>
      <w:bookmarkEnd w:id="643"/>
    </w:p>
    <w:p>
      <w:pPr>
        <w:pStyle w:val="Heading6"/>
        <w:numPr>
          <w:ilvl w:val="5"/>
          <w:numId w:val="1"/>
        </w:numPr>
        <w:rPr/>
      </w:pPr>
      <w:bookmarkStart w:id="644" w:name="__RefHeading___Toc2793168_1051229030"/>
      <w:bookmarkStart w:id="645" w:name="_Toc240"/>
      <w:bookmarkEnd w:id="644"/>
      <w:r>
        <w:rPr>
          <w:rtl w:val="true"/>
        </w:rPr>
        <w:t>اشارة</w:t>
      </w:r>
      <w:bookmarkEnd w:id="64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التحقيق في هوية صاحب المرقد ونسبه يرتكز على قاعدتين أساسيتين تمَّ التوصل إليهما من خلال البحث</w:t>
      </w:r>
      <w:r>
        <w:rPr>
          <w:rFonts w:eastAsia="Amiri" w:cs="Amiri" w:ascii="Amiri" w:hAnsi="Amiri"/>
          <w:color w:val="111111"/>
          <w:sz w:val="28"/>
          <w:szCs w:val="28"/>
          <w:rtl w:val="true"/>
          <w:lang w:bidi="ar-SA"/>
        </w:rPr>
        <w:t xml:space="preserve">: </w:t>
      </w:r>
      <w:bookmarkStart w:id="646" w:name="pg7540_66851"/>
    </w:p>
    <w:p>
      <w:pPr>
        <w:pStyle w:val="BookText"/>
        <w:rPr/>
      </w:pPr>
      <w:bookmarkEnd w:id="646"/>
      <w:r>
        <w:rPr>
          <w:rFonts w:ascii="IRNazanin" w:hAnsi="IRNazanin" w:eastAsia="IRNazanin"/>
          <w:color w:val="111111"/>
          <w:sz w:val="28"/>
          <w:sz w:val="28"/>
          <w:szCs w:val="28"/>
          <w:rtl w:val="true"/>
          <w:lang w:bidi="fa-IR"/>
        </w:rPr>
        <w:t>القاعدة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أنه لم نجد من المؤرخين مَن شكَّك في أنّ صاحب هذا المرقد هو أحد أبناء الإمام أمير المؤمنين عَلیه السَلام ، فنسب صاحب المرقد من جهة أبيه، هو ابن علي عَلیه السَلام بن أبي طالب بن عبد المطلب بن هاشم بن عبد مناف بن قصي</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هذا المزار هو المقتول في معركة المذار التي وقعت بين مصعب بن الزبير وأصحاب المختار الثقفي، في سنة سبع وستين هجرية في منطقة المذار</w:t>
      </w:r>
      <w:r>
        <w:rPr>
          <w:rStyle w:val="FootnoteAnchor"/>
          <w:rtl w:val="true"/>
        </w:rPr>
        <w:footnoteReference w:id="493"/>
      </w:r>
      <w:r>
        <w:rPr>
          <w:rFonts w:ascii="IRNazanin" w:hAnsi="IRNazanin" w:eastAsia="IRNazanin"/>
          <w:color w:val="111111"/>
          <w:sz w:val="28"/>
          <w:sz w:val="28"/>
          <w:szCs w:val="28"/>
          <w:rtl w:val="true"/>
          <w:lang w:bidi="fa-IR"/>
        </w:rPr>
        <w:t>، وهي إحدى مُدن وقصبات ميسان، والتي سنشير إليها لاحقاً، والذي يظهر من الشواهد والقرائن التاريخية أنّ المقتول من أبناء أمير المؤمنين عَلیه السَلام في تلك المعركة هو صاحب هذا المرقد الموجود اليوم في إحدى ضواحي محافظة ميسان؛ إذ لم يدَّع أحد أنّ هذا المرقد لشخص آخر غير ذلك الذي قُتِل من أبناء علي عَلیه السَلام في واقعة المذار؛ فلذا لا بد من التحقُّق من هوية المقتول في تلك الواقعة؛ لكي نتمكّن من تحديد هوية صاحب هذا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المؤرخون وأصحاب السير في هوية الشخص الذي قُتِل في تلك الأحداث من أبناء الإمام أمير المؤمنين عَلیه السَلام ، وكذلك اختلفوا في سبب وكيفية قتله، ومَن هم الذين قتلوه؟ وتنحصر أقوال المؤرخين والعلماء فيمَن قُتِل آنذاك في اثنين من أبناء الإمام علي عَلیه السَلام ، وهما</w:t>
      </w:r>
      <w:r>
        <w:rPr>
          <w:rFonts w:eastAsia="IRNazanin" w:cs="IRNazanin"/>
          <w:color w:val="111111"/>
          <w:sz w:val="28"/>
          <w:szCs w:val="28"/>
          <w:rtl w:val="true"/>
          <w:lang w:bidi="fa-IR"/>
        </w:rPr>
        <w:t>:</w:t>
      </w:r>
    </w:p>
    <w:p>
      <w:pPr>
        <w:pStyle w:val="Heading6"/>
        <w:numPr>
          <w:ilvl w:val="5"/>
          <w:numId w:val="1"/>
        </w:numPr>
        <w:rPr/>
      </w:pPr>
      <w:bookmarkStart w:id="647" w:name="__RefHeading___Toc2793170_1051229030"/>
      <w:bookmarkStart w:id="648" w:name="_Toc241"/>
      <w:bookmarkEnd w:id="647"/>
      <w:r>
        <w:rPr>
          <w:rtl w:val="true"/>
        </w:rPr>
        <w:t>الأول</w:t>
      </w:r>
      <w:r>
        <w:rPr>
          <w:rtl w:val="true"/>
        </w:rPr>
        <w:t xml:space="preserve">: </w:t>
      </w:r>
      <w:r>
        <w:rPr>
          <w:rtl w:val="true"/>
        </w:rPr>
        <w:t>عبيد الله بن علي عَلیه السَلام</w:t>
      </w:r>
      <w:bookmarkEnd w:id="648"/>
    </w:p>
    <w:p>
      <w:pPr>
        <w:pStyle w:val="Heading6"/>
        <w:numPr>
          <w:ilvl w:val="5"/>
          <w:numId w:val="1"/>
        </w:numPr>
        <w:rPr/>
      </w:pPr>
      <w:bookmarkStart w:id="649" w:name="__RefHeading___Toc2793172_1051229030"/>
      <w:bookmarkStart w:id="650" w:name="_Toc242"/>
      <w:bookmarkEnd w:id="649"/>
      <w:r>
        <w:rPr>
          <w:rtl w:val="true"/>
        </w:rPr>
        <w:t>اشارة</w:t>
      </w:r>
      <w:bookmarkEnd w:id="65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مشهور المؤرخين وأرباب السير إلى أنّ الذي قُتل في معركة المذار هو عبيد الله بن علي بن أبي طالب عَلیه السَلام ، ومن أشهر مَن ذهب إلى هذا الرأي من </w:t>
      </w:r>
      <w:bookmarkStart w:id="651" w:name="pg7540_66852"/>
    </w:p>
    <w:p>
      <w:pPr>
        <w:pStyle w:val="BookText"/>
        <w:rPr/>
      </w:pPr>
      <w:bookmarkEnd w:id="651"/>
      <w:r>
        <w:rPr>
          <w:rFonts w:ascii="Amiri" w:hAnsi="Amiri" w:eastAsia="Amiri" w:cs="Amiri"/>
          <w:color w:val="111111"/>
          <w:sz w:val="28"/>
          <w:sz w:val="28"/>
          <w:szCs w:val="28"/>
          <w:rtl w:val="true"/>
          <w:lang w:bidi="ar-SA"/>
        </w:rPr>
        <w:t xml:space="preserve">المؤرخين المتقدمين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طبقاته</w:t>
      </w:r>
      <w:r>
        <w:rPr>
          <w:rStyle w:val="FootnoteAnchor"/>
          <w:rtl w:val="true"/>
        </w:rPr>
        <w:footnoteReference w:id="494"/>
      </w:r>
      <w:r>
        <w:rPr>
          <w:rFonts w:ascii="Amiri" w:hAnsi="Amiri" w:eastAsia="Amiri" w:cs="Amiri"/>
          <w:color w:val="111111"/>
          <w:sz w:val="28"/>
          <w:sz w:val="28"/>
          <w:szCs w:val="28"/>
          <w:rtl w:val="true"/>
          <w:lang w:bidi="ar-SA"/>
        </w:rPr>
        <w:t xml:space="preserve">، وابن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المعارف</w:t>
      </w:r>
      <w:r>
        <w:rPr>
          <w:rStyle w:val="FootnoteAnchor"/>
          <w:rtl w:val="true"/>
        </w:rPr>
        <w:footnoteReference w:id="495"/>
      </w:r>
      <w:r>
        <w:rPr>
          <w:rFonts w:ascii="Amiri" w:hAnsi="Amiri" w:eastAsia="Amiri" w:cs="Amiri"/>
          <w:color w:val="111111"/>
          <w:sz w:val="28"/>
          <w:sz w:val="28"/>
          <w:szCs w:val="28"/>
          <w:rtl w:val="true"/>
          <w:lang w:bidi="ar-SA"/>
        </w:rPr>
        <w:t xml:space="preserve">، والبلاذري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الأشراف</w:t>
      </w:r>
      <w:r>
        <w:rPr>
          <w:rStyle w:val="FootnoteAnchor"/>
          <w:rtl w:val="true"/>
        </w:rPr>
        <w:footnoteReference w:id="496"/>
      </w:r>
      <w:r>
        <w:rPr>
          <w:rFonts w:ascii="Amiri" w:hAnsi="Amiri" w:eastAsia="Amiri" w:cs="Amiri"/>
          <w:color w:val="111111"/>
          <w:sz w:val="28"/>
          <w:sz w:val="28"/>
          <w:szCs w:val="28"/>
          <w:rtl w:val="true"/>
          <w:lang w:bidi="ar-SA"/>
        </w:rPr>
        <w:t xml:space="preserve">، وابن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نقلاً عن محمد بن عمر</w:t>
      </w:r>
      <w:r>
        <w:rPr>
          <w:rStyle w:val="FootnoteAnchor"/>
          <w:rtl w:val="true"/>
        </w:rPr>
        <w:footnoteReference w:id="498"/>
      </w:r>
      <w:r>
        <w:rPr>
          <w:rFonts w:ascii="IRNazanin" w:hAnsi="IRNazanin" w:eastAsia="IRNazanin"/>
          <w:color w:val="111111"/>
          <w:sz w:val="28"/>
          <w:sz w:val="28"/>
          <w:szCs w:val="28"/>
          <w:rtl w:val="true"/>
          <w:lang w:bidi="fa-IR"/>
        </w:rPr>
        <w:t xml:space="preserve">، ومحمد بن سليمان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أمير المؤمنين عَلیه السَلام </w:t>
      </w:r>
      <w:r>
        <w:rPr>
          <w:rStyle w:val="FootnoteAnchor"/>
          <w:rtl w:val="true"/>
        </w:rPr>
        <w:footnoteReference w:id="499"/>
      </w:r>
      <w:r>
        <w:rPr>
          <w:rFonts w:ascii="Amiri" w:hAnsi="Amiri" w:eastAsia="Amiri" w:cs="Amiri"/>
          <w:color w:val="111111"/>
          <w:sz w:val="28"/>
          <w:sz w:val="28"/>
          <w:szCs w:val="28"/>
          <w:rtl w:val="true"/>
          <w:lang w:bidi="ar-SA"/>
        </w:rPr>
        <w:t xml:space="preserve">، والمسعودي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مروج الذهب</w:t>
      </w:r>
      <w:r>
        <w:rPr>
          <w:rStyle w:val="FootnoteAnchor"/>
          <w:rtl w:val="true"/>
        </w:rPr>
        <w:footnoteReference w:id="500"/>
      </w:r>
      <w:r>
        <w:rPr>
          <w:rFonts w:ascii="Amiri" w:hAnsi="Amiri" w:eastAsia="Amiri" w:cs="Amiri"/>
          <w:color w:val="111111"/>
          <w:sz w:val="28"/>
          <w:sz w:val="28"/>
          <w:szCs w:val="28"/>
          <w:rtl w:val="true"/>
          <w:lang w:bidi="ar-SA"/>
        </w:rPr>
        <w:t xml:space="preserve">، وأبو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مقاتل الطالبيين</w:t>
      </w:r>
      <w:r>
        <w:rPr>
          <w:rStyle w:val="FootnoteAnchor"/>
          <w:rtl w:val="true"/>
        </w:rPr>
        <w:footnoteReference w:id="501"/>
      </w:r>
      <w:r>
        <w:rPr>
          <w:rFonts w:ascii="Amiri" w:hAnsi="Amiri" w:eastAsia="Amiri" w:cs="Amiri"/>
          <w:color w:val="111111"/>
          <w:sz w:val="28"/>
          <w:sz w:val="28"/>
          <w:szCs w:val="28"/>
          <w:rtl w:val="true"/>
          <w:lang w:bidi="ar-SA"/>
        </w:rPr>
        <w:t>، وغيرهم من المؤرخين وأصحاب السير وعلماء الأنساب</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2793174_1051229030"/>
      <w:bookmarkStart w:id="653" w:name="_Toc243"/>
      <w:bookmarkEnd w:id="652"/>
      <w:r>
        <w:rPr>
          <w:rtl w:val="true"/>
        </w:rPr>
        <w:t>أُمُّه وولادته</w:t>
      </w:r>
      <w:bookmarkEnd w:id="65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عبيد الله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مسعود بن خالد، بن مالك بن ربعي، بن سلمى بن جندل، بن نهشل بن دارم، بن مالك بن حنظلة، بن مالك بن زيد مناة بن تميم</w:t>
      </w:r>
      <w:r>
        <w:rPr>
          <w:rStyle w:val="FootnoteAnchor"/>
          <w:rtl w:val="true"/>
        </w:rPr>
        <w:footnoteReference w:id="502"/>
      </w:r>
      <w:r>
        <w:rPr>
          <w:rFonts w:ascii="Amiri" w:hAnsi="Amiri" w:eastAsia="Amiri" w:cs="Amiri"/>
          <w:color w:val="111111"/>
          <w:sz w:val="28"/>
          <w:sz w:val="28"/>
          <w:szCs w:val="28"/>
          <w:rtl w:val="true"/>
          <w:lang w:bidi="ar-SA"/>
        </w:rPr>
        <w:t>، فتسمّى تارة بالنهشلية</w:t>
      </w:r>
      <w:r>
        <w:rPr>
          <w:rStyle w:val="FootnoteAnchor"/>
          <w:rtl w:val="true"/>
        </w:rPr>
        <w:footnoteReference w:id="503"/>
      </w:r>
      <w:r>
        <w:rPr>
          <w:rFonts w:ascii="Amiri" w:hAnsi="Amiri" w:eastAsia="Amiri" w:cs="Amiri"/>
          <w:color w:val="111111"/>
          <w:sz w:val="28"/>
          <w:sz w:val="28"/>
          <w:szCs w:val="28"/>
          <w:rtl w:val="true"/>
          <w:lang w:bidi="ar-SA"/>
        </w:rPr>
        <w:t>نسبةً إلى جدها نهشل بن دارم، وأُخرى بالدارمية</w:t>
      </w:r>
      <w:r>
        <w:rPr>
          <w:rStyle w:val="FootnoteAnchor"/>
          <w:rtl w:val="true"/>
        </w:rPr>
        <w:footnoteReference w:id="504"/>
      </w:r>
      <w:r>
        <w:rPr>
          <w:rFonts w:ascii="IRNazanin" w:hAnsi="IRNazanin" w:eastAsia="IRNazanin"/>
          <w:color w:val="111111"/>
          <w:sz w:val="28"/>
          <w:sz w:val="28"/>
          <w:szCs w:val="28"/>
          <w:rtl w:val="true"/>
          <w:lang w:bidi="fa-IR"/>
        </w:rPr>
        <w:t xml:space="preserve">نسبةً إلى دارم بن مالك، وهي من بني تميم من أهل البصرة تزوّجها أمير المؤمنين عَلیه السَلام </w:t>
      </w:r>
    </w:p>
    <w:p>
      <w:pPr>
        <w:pStyle w:val="BookText"/>
        <w:rPr/>
      </w:pPr>
      <w:r>
        <w:rPr>
          <w:rFonts w:ascii="IRNazanin" w:hAnsi="IRNazanin" w:eastAsia="IRNazanin"/>
          <w:color w:val="111111"/>
          <w:sz w:val="28"/>
          <w:sz w:val="28"/>
          <w:szCs w:val="28"/>
          <w:rtl w:val="true"/>
          <w:lang w:bidi="fa-IR"/>
        </w:rPr>
        <w:t xml:space="preserve">عندما دخل البصرة في معركة الجمل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ويذكر الرحالة والداعية الإسماعيلي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عندما تزوّجها أفرد لها بيتاً في البصرة، وبقي مدة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لإدارة شؤون الحرب، وأصبح بيتها مشهداً ومزاراً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بني مازن، وهو أحد المشاهد الثلاثة عشر التي اقترنت باسم أمير المؤمنين علي بن أبي طالب عَلیه السَلام والتي زارها ناصر خسرو عند مجيئه إلى البصرة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انتهاء معركة الجمل رجع الإمام عَلیه السَلام إلى الكوفة وجعلها عاصمة له، ومن المرجَّح أن يكون عبيد الله قد ولِد في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جرية، وفي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أنجبت ليلى ولداً آخر وهو محمد الأصغر الملقَّب بأبي بكر، وقد استُشهد في معركة الطف مع أخيه الحسين عَلیه السَلام </w:t>
      </w:r>
      <w:r>
        <w:rPr>
          <w:rStyle w:val="FootnoteAnchor"/>
          <w:rtl w:val="true"/>
        </w:rPr>
        <w:footnoteReference w:id="506"/>
      </w:r>
      <w:r>
        <w:rPr>
          <w:rFonts w:ascii="IRNazanin" w:hAnsi="IRNazanin" w:eastAsia="IRNazanin"/>
          <w:color w:val="111111"/>
          <w:sz w:val="28"/>
          <w:sz w:val="28"/>
          <w:szCs w:val="28"/>
          <w:rtl w:val="true"/>
          <w:lang w:bidi="fa-IR"/>
        </w:rPr>
        <w:t>، ولم يذكر التاريخ شيئاً معتدَّاً به من أخبارها سوى بعض الإشارات هنا وهناك، كما في كتاب الغارات للثقفي عن مغيرة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نكح علي عَلیه السَلام ليلى بنت مسعود النهشلي،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أحبّ أن يكون بيني وبينه سبب منذ رأيته قام مقاماً من رسول الله صلّى الله عليه و آله و سلّم </w:t>
      </w:r>
      <w:r>
        <w:rPr>
          <w:rStyle w:val="FootnoteAnchor"/>
          <w:rtl w:val="true"/>
        </w:rPr>
        <w:footnoteReference w:id="507"/>
      </w:r>
      <w:r>
        <w:rPr>
          <w:rFonts w:ascii="IRNazanin" w:hAnsi="IRNazanin" w:eastAsia="IRNazanin"/>
          <w:color w:val="111111"/>
          <w:sz w:val="28"/>
          <w:sz w:val="28"/>
          <w:szCs w:val="28"/>
          <w:rtl w:val="true"/>
          <w:lang w:bidi="fa-IR"/>
        </w:rPr>
        <w:t>، وروى العوام بن حوشب عن أبي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علي عَلیه السَلام ليلى بنت مسعود النهشلية، فضربت له في داره حجلة</w:t>
      </w:r>
      <w:r>
        <w:rPr>
          <w:rStyle w:val="FootnoteAnchor"/>
          <w:rtl w:val="true"/>
        </w:rPr>
        <w:footnoteReference w:id="508"/>
      </w:r>
      <w:r>
        <w:rPr>
          <w:rFonts w:ascii="Amiri" w:hAnsi="Amiri" w:eastAsia="Amiri" w:cs="Amiri"/>
          <w:color w:val="111111"/>
          <w:sz w:val="28"/>
          <w:sz w:val="28"/>
          <w:szCs w:val="28"/>
          <w:rtl w:val="true"/>
          <w:lang w:bidi="ar-SA"/>
        </w:rPr>
        <w:t>، فجاء فهتكها،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أهل علي ما هم فيه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فيما يخصُّ حياتها بعد أمير المؤمنين عَلیه السَلام ، فقد نقلت بعض الروايات أنّها </w:t>
      </w:r>
      <w:bookmarkStart w:id="654" w:name="pg7540_66854"/>
    </w:p>
    <w:p>
      <w:pPr>
        <w:pStyle w:val="BookText"/>
        <w:rPr/>
      </w:pPr>
      <w:bookmarkEnd w:id="654"/>
      <w:r>
        <w:rPr>
          <w:rFonts w:ascii="Amiri" w:hAnsi="Amiri" w:eastAsia="Amiri" w:cs="Amiri"/>
          <w:color w:val="111111"/>
          <w:sz w:val="28"/>
          <w:sz w:val="28"/>
          <w:szCs w:val="28"/>
          <w:rtl w:val="true"/>
          <w:lang w:bidi="ar-SA"/>
        </w:rPr>
        <w:t>تزوّجت عبد الله بن جعفر بن أبي طالب، فقد روى البخاري في صحيحه</w:t>
      </w:r>
      <w:r>
        <w:rPr>
          <w:rStyle w:val="FootnoteAnchor"/>
          <w:rtl w:val="true"/>
        </w:rPr>
        <w:footnoteReference w:id="510"/>
      </w:r>
      <w:r>
        <w:rPr>
          <w:rFonts w:ascii="Amiri" w:hAnsi="Amiri" w:eastAsia="Amiri" w:cs="Amiri"/>
          <w:color w:val="111111"/>
          <w:sz w:val="28"/>
          <w:sz w:val="28"/>
          <w:szCs w:val="28"/>
          <w:rtl w:val="true"/>
          <w:lang w:bidi="ar-SA"/>
        </w:rPr>
        <w:t>، والبيهقي في السنن الكبرى</w:t>
      </w:r>
      <w:r>
        <w:rPr>
          <w:rStyle w:val="FootnoteAnchor"/>
          <w:rtl w:val="true"/>
        </w:rPr>
        <w:footnoteReference w:id="511"/>
      </w:r>
      <w:r>
        <w:rPr>
          <w:rFonts w:ascii="Amiri" w:hAnsi="Amiri" w:eastAsia="Amiri" w:cs="Amiri"/>
          <w:color w:val="111111"/>
          <w:sz w:val="28"/>
          <w:sz w:val="28"/>
          <w:szCs w:val="28"/>
          <w:rtl w:val="true"/>
          <w:lang w:bidi="ar-SA"/>
        </w:rPr>
        <w:t>، وابن أبي شيبة في المصنف</w:t>
      </w:r>
      <w:r>
        <w:rPr>
          <w:rStyle w:val="FootnoteAnchor"/>
          <w:rtl w:val="true"/>
        </w:rPr>
        <w:footnoteReference w:id="512"/>
      </w:r>
      <w:r>
        <w:rPr>
          <w:rFonts w:ascii="IRNazanin" w:hAnsi="IRNazanin" w:eastAsia="IRNazanin"/>
          <w:color w:val="111111"/>
          <w:sz w:val="28"/>
          <w:sz w:val="28"/>
          <w:szCs w:val="28"/>
          <w:rtl w:val="true"/>
          <w:lang w:bidi="fa-IR"/>
        </w:rPr>
        <w:t>أنّ عبد الله بن جعفر قد جمع بين امرأة علي عَلیه السَلام وابنته، 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امرأة علي، فهي ليلى بنت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بنته، فهي زينب</w:t>
      </w:r>
      <w:r>
        <w:rPr>
          <w:rStyle w:val="FootnoteAnchor"/>
          <w:rtl w:val="true"/>
        </w:rPr>
        <w:footnoteReference w:id="513"/>
      </w:r>
      <w:r>
        <w:rPr>
          <w:rFonts w:ascii="Amiri" w:hAnsi="Amiri" w:eastAsia="Amiri" w:cs="Amiri"/>
          <w:color w:val="111111"/>
          <w:sz w:val="28"/>
          <w:sz w:val="28"/>
          <w:szCs w:val="28"/>
          <w:rtl w:val="true"/>
          <w:lang w:bidi="ar-SA"/>
        </w:rPr>
        <w:t>، وذكر ابن قتيبة في المعارف، والبلاذري في الأنساب أنها أنجبت من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وموسى، وهارون، ويحيى، وأُمّ أبيها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روى ابن شهرآشوب في المناقب أنّ أمير المؤمنين عَلیه السَلام توفّي عن أربعة من 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أمامة وأُمُّها زينب بنت النبي صلّى الله عليه و آله و سلّم ، وأسماء بنت عميس، وليلى التميمية، وأُم البنين الكلابية، ولم يتزوجن بعده، وخطب المغيرة بن نوفل أمامة، ثم أبو الهياج بن أبي سفيان بن الحارث، فروت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يجوز لأزواج النبي والوصي أن يتزوجن بغيره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يتزوج امرأة ولا أُم ولد بهذه الرواية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5" w:name="__RefHeading___Toc2793176_1051229030"/>
      <w:bookmarkStart w:id="656" w:name="_Toc244"/>
      <w:bookmarkEnd w:id="655"/>
      <w:r>
        <w:rPr>
          <w:rtl w:val="true"/>
        </w:rPr>
        <w:t>حياته ونشأته</w:t>
      </w:r>
      <w:bookmarkEnd w:id="65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على ولادته في سنة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عبيد الله قد قضى مع أبيه أمير المؤمنين عَلیه السَلام ثلاث سنوات أو أربع تقريباً، ومع أخيه الحسن عَلیه السَلام ما يُقارب أربع عشرة سنة، وكان في وقت استشهاد الإمام الحسين عَلیه السَلام يبلغ من العمر ثلاثاً وعشرين سنة، إلّا أنه لم يذكر التاريخ بقاءه في المدينة أو ذهابه مع أخيه الحسين عَلیه السَلام ، ولعلّ نشأته كانت عند أخواله بني تميم في البصرة، قال في المجدي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عبيد الله فكان مع أخواله بني تميم </w:t>
      </w:r>
      <w:bookmarkStart w:id="657" w:name="pg7540_66855"/>
    </w:p>
    <w:p>
      <w:pPr>
        <w:pStyle w:val="BookText"/>
        <w:rPr/>
      </w:pPr>
      <w:bookmarkEnd w:id="657"/>
      <w:r>
        <w:rPr>
          <w:rFonts w:ascii="Amiri" w:hAnsi="Amiri" w:eastAsia="Amiri" w:cs="Amiri"/>
          <w:color w:val="111111"/>
          <w:sz w:val="28"/>
          <w:sz w:val="28"/>
          <w:szCs w:val="28"/>
          <w:rtl w:val="true"/>
          <w:lang w:bidi="ar-SA"/>
        </w:rPr>
        <w:t>بالبصرة حتى حضر وقائع المختار</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 لكن يظهر أنّه قد عاد إلى المدينة بعد استشهاد أخيه الحسين عَلیه السَلام ؛ لأنه عندما ظهر المختار في الكوفة فإنه توجّه إليه من الحجاز وليس من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وتذكر بعض المصادر التاريخية أنّه كان من الذين بايعوا عبد الله بن الزبير عند موت يزيد؛ 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دعا ابن الزبير الناس إلى بيعته بعد موت يزيد بن معاوية، بايعوه على كتاب الله وسنّة نبيّه وسيرة الخلفاء الصالحين، وكان ممّن بايعه عبيد الله بن عليّ بن أبي طالب</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8" w:name="__RefHeading___Toc2793178_1051229030"/>
      <w:bookmarkStart w:id="659" w:name="_Toc245"/>
      <w:bookmarkEnd w:id="658"/>
      <w:r>
        <w:rPr>
          <w:rtl w:val="true"/>
        </w:rPr>
        <w:t>مجيؤه إلى الكوفة والبصرة</w:t>
      </w:r>
      <w:bookmarkEnd w:id="65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لنا ابن سعد في طبقاته بشيء من التفصيل عن سبب مجيئه إلى الكوفة والبصرة، فيذكر أنّ عبيد الله قدم من الحجاز على المختار بالكوفة وسأله فلم يُعطه، ولم يبيّن ابن سعد فحوى سؤال عبيد الله من المختار، إلّا أنّ أبا الفرج الأصفهاني يوضّح لنا محتوى هذا السؤال،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صار إلى المختار فسأله أن يدعو إليه ويجعل الأمر له فلم يفعل</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يتابع ابن سعد كلامه، فيذكر أن المختار سأله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أقدمت بكتاب من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أياماً، ثم خلّى سبيله،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مصعب بن الزبير بالبصرة هارباً من المختار، فنزل على خاله نعيم بن مسعود التميمي النهشلي، وأمر له مصعب بمائة ألف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مصعب بن الزبير أمر الناس بالتهيؤ والخروج لقتال المختار، فخرج واستخلف على البصرة عبيد الله بن معمر، فلمّا سار مصعب تخلّف عبيد الله بن علي بن أبي طالب في أخواله، وسار خاله نعيم بن مسعود مع مصعب، فلما ابتعد مصعب عن البصرة جاءت بنو سعد بن زيد مناة بن تميم إلى عبيد الله بن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أيضاً أخوالك ولنا فيك نصيب، فتحوّل إلينا؛ فإنا نحب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إليهم، فأنزلوه وسطهم، وبايعوا له بالخلافة وهو كاره،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تعجلوا ولا تفعلوا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فبلغ ذلك مصعباً، فكتب إلى عبيد الله بن معمر يوبّخه ويلومه، ويُخبره غفلته عن عبيد الله بن علي وعمّا أحدثوا من 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مصعب خاله نعيم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مكرماً لك محسناً فيما بيني وبينك، فما حملك على ما فعلت في ابن أُختك وتخلّفه بالبصرة يؤلّب الناس ويخدعهم؟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بالله ما فعل وما علم من قصته هذه بحرف واحد، فقبل منه مصعب وصدّقه، وقال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إلى عبيد الله ألومه في غفلته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نعيم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أمره وأقدم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نعيم حتى أتى البصرة، فاجتمعت بنو حنظلة وبنو عمرو بن تميم، فسار بهم حتى أتى بني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لكم في هذا الأمر الذي صنعتم خير، وما أردتم إلّا هلاك تميم كلها، فادفعوا إليَّ ابن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فتلاوموا ساعة، ثم دفعوه إليه، فخرج حتى قدم به على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حملك على الذي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عبيد الله بالله ما أراد ذلك ولا كان له به علم حتى فعلوه، ولقد كرهت ذلك وأبيته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مصعب وقَبِلَ منه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مصعب بن الزبير بالمسير إلى المختار، فسار الجيش وتقدّم ومعه عبيد الله بن علي بن أبي طالب، فنزلوا المذار، وحدثت المعركة بين الطرفين وانهزم أصحاب </w:t>
      </w:r>
      <w:bookmarkStart w:id="660" w:name="pg7540_66857"/>
    </w:p>
    <w:p>
      <w:pPr>
        <w:pStyle w:val="BookText"/>
        <w:rPr/>
      </w:pPr>
      <w:bookmarkEnd w:id="660"/>
      <w:r>
        <w:rPr>
          <w:rFonts w:ascii="Amiri" w:hAnsi="Amiri" w:eastAsia="Amiri" w:cs="Amiri"/>
          <w:color w:val="111111"/>
          <w:sz w:val="28"/>
          <w:sz w:val="28"/>
          <w:szCs w:val="28"/>
          <w:rtl w:val="true"/>
          <w:lang w:bidi="ar-SA"/>
        </w:rPr>
        <w:t>المختار، ولم يبقَ منهم إلّا القليل</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2793180_1051229030"/>
      <w:bookmarkStart w:id="662" w:name="_Toc246"/>
      <w:bookmarkEnd w:id="661"/>
      <w:r>
        <w:rPr>
          <w:rtl w:val="true"/>
        </w:rPr>
        <w:t>كيفية وسبب مقتله في المذار</w:t>
      </w:r>
      <w:bookmarkEnd w:id="662"/>
    </w:p>
    <w:p>
      <w:pPr>
        <w:pStyle w:val="BookText"/>
        <w:rPr/>
      </w:pPr>
      <w:r>
        <w:rPr>
          <w:rFonts w:ascii="IRNazanin" w:hAnsi="IRNazanin" w:eastAsia="IRNazanin"/>
          <w:color w:val="111111"/>
          <w:sz w:val="28"/>
          <w:sz w:val="28"/>
          <w:szCs w:val="28"/>
          <w:rtl w:val="true"/>
          <w:lang w:bidi="fa-IR"/>
        </w:rPr>
        <w:t>المؤرخون الذين ذهبوا إلى أنّ عبيد الله بن علي عَلیه السَلام قد قُتل في معركة المذار قد اختلفوا فيما بينهم في كيفية وسبب مقتله، ومن هي الجهة أو الأشخاص الذين قتلوه، ولعل سبب الاختلاف يرجع إلى أنّ المعركة قد حدثت في الليل، كما ينقل ذلك ابن سعد في الطبقات،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فبيّتهم أصحاب مصعب بن الزبير، فقتلوا ذلك الجيش، فلم يفلت منهم إلا الشريد، وقتل عبيد الله بن علي بن أبي طالب تلك الليلة</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يظهر من المسعودي في مروج الذهب أنّ عبيد الله كان مع المختار وليس مع مصعب،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ممَّن قُتل مع المختار عبيد اللّه بن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عاد وذكر أنّ عبيد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مع المختار في تخلصه منه ومضيِّه إلى البصرة وخوفه على نفسه من مصعب، إلى أن خرج معه في جيشه، وقد أتينا على خبره وسائر ما أومأنا إليه في كتابنا أخبار الزمان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توجد ثلاث فرضيات في كيفية وسبب مقتله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المختار وأصحابه هم مَن قتله في المعركة التي جرت بينهم وبين مصعب في المذار، وقد صرَّح بهذه الفرضية كل من البلاذري</w:t>
      </w:r>
      <w:r>
        <w:rPr>
          <w:rStyle w:val="FootnoteAnchor"/>
          <w:rtl w:val="true"/>
        </w:rPr>
        <w:footnoteReference w:id="522"/>
      </w:r>
      <w:r>
        <w:rPr>
          <w:rFonts w:ascii="Amiri" w:hAnsi="Amiri" w:eastAsia="Amiri" w:cs="Amiri"/>
          <w:color w:val="111111"/>
          <w:sz w:val="28"/>
          <w:sz w:val="28"/>
          <w:szCs w:val="28"/>
          <w:rtl w:val="true"/>
          <w:lang w:bidi="ar-SA"/>
        </w:rPr>
        <w:t xml:space="preserve">، والطبري </w:t>
      </w:r>
    </w:p>
    <w:p>
      <w:pPr>
        <w:pStyle w:val="BookText"/>
        <w:rPr/>
      </w:pPr>
      <w:r>
        <w:rPr>
          <w:rFonts w:ascii="IRNazanin" w:hAnsi="IRNazanin" w:eastAsia="IRNazanin"/>
          <w:color w:val="111111"/>
          <w:sz w:val="28"/>
          <w:sz w:val="28"/>
          <w:szCs w:val="28"/>
          <w:rtl w:val="true"/>
          <w:lang w:bidi="fa-IR"/>
        </w:rPr>
        <w:t>نقلاً عن محمد بن عمر</w:t>
      </w:r>
      <w:r>
        <w:rPr>
          <w:rStyle w:val="FootnoteAnchor"/>
          <w:rtl w:val="true"/>
        </w:rPr>
        <w:footnoteReference w:id="523"/>
      </w:r>
      <w:r>
        <w:rPr>
          <w:rFonts w:ascii="Amiri" w:hAnsi="Amiri" w:eastAsia="Amiri" w:cs="Amiri"/>
          <w:color w:val="111111"/>
          <w:sz w:val="28"/>
          <w:sz w:val="28"/>
          <w:szCs w:val="28"/>
          <w:rtl w:val="true"/>
          <w:lang w:bidi="ar-SA"/>
        </w:rPr>
        <w:t>، وأبو الفرج الأصفهاني</w:t>
      </w:r>
      <w:r>
        <w:rPr>
          <w:rStyle w:val="FootnoteAnchor"/>
          <w:rtl w:val="true"/>
        </w:rPr>
        <w:footnoteReference w:id="524"/>
      </w:r>
      <w:r>
        <w:rPr>
          <w:rFonts w:ascii="Amiri" w:hAnsi="Amiri" w:eastAsia="Amiri" w:cs="Amiri"/>
          <w:color w:val="111111"/>
          <w:sz w:val="28"/>
          <w:sz w:val="28"/>
          <w:szCs w:val="28"/>
          <w:rtl w:val="true"/>
          <w:lang w:bidi="ar-SA"/>
        </w:rPr>
        <w:t>، ولكنهم لم يصرِّحوا أنّ قتلهم له كان عن عمد وقصد، بينما جزم ابن قتيبة في المعارف أنهم قتلوه وهم لا يعرفونه</w:t>
      </w:r>
      <w:r>
        <w:rPr>
          <w:rStyle w:val="FootnoteAnchor"/>
          <w:rtl w:val="true"/>
        </w:rPr>
        <w:footnoteReference w:id="525"/>
      </w:r>
      <w:r>
        <w:rPr>
          <w:rFonts w:ascii="Amiri" w:hAnsi="Amiri" w:eastAsia="Amiri" w:cs="Amiri"/>
          <w:color w:val="111111"/>
          <w:sz w:val="28"/>
          <w:sz w:val="28"/>
          <w:szCs w:val="28"/>
          <w:rtl w:val="true"/>
          <w:lang w:bidi="ar-SA"/>
        </w:rPr>
        <w:t>ومما يدعم هذه الفرضية ما نقله ابن أعثم الكوفي؛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ولحق رجل منهم من أهل الكوفة عبيد الله بن علي بن أبي طالب وهو لم يعرفه، فضربه من ورائه ضربةً على حبل عاتقه، جدَّله قتيلاً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الفرضية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أنّ مَن قتله هم النواصب وأعداء أهل البيت علیهم السلام ، ويرجِّح هذه الفرضية المحقّق الشيخ محمد باقر المحمودي في تحقيقه لكتاب أنساب الأشراف؛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استبعاد فكرة أن أصحاب المختار هم مَن قتله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قتله بيد المختار أو أصحابه فغير معلوم، ولعل الأقرب أن بعض أعداء آل البيت من نواصب البصرة، أو مَن فرَّ من المختار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كابن الأشعث وشبث 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غيلةً</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 وأيّد ما ذهب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استدلّ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المسعودي في إثبات الوصية، من أنّ أمير المؤمنين عَلیه السَلام أوصى بنيه،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أُوصي إلى الحسن والحسين فاستمعوا لهما وأطيعوا أمرهما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عبيد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أدون محمد بن الحنفية؟ 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أجرأة في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 قد وُجدت مذبوحاً في خيمتك</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يلاحظ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صحة سندها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أنه من البعيد جداً أن تصدر هذه الجرأة من عبيد الله؛ لأنّه ولد سنة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عَلیه السَلام استشهد 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عُمْر عبيد الله آنذاك ثلاث سنوات تقريباً، فمن البعيد أن يدرك هذه الأُمور وهو في هذه السنّ ويتجرّأ على أبيه، وكذلك من البعيد أن يردَّ أمير المؤمنين عَلیه السَلام على طفل بهذا العمر بتلك الحدّة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ذكرها الشيخ المحمودي أيضاً بعد ذكره للفرضية الأُولى، وقد جعلها أقرب من الفرضية الأُولى، وهي أنّ عبيد الله قد قُتِل بأمر من مصعب بن الزبير غيلةً، واعتبر الشيخ المحمودي أن ما ذكره ابن سعد في الطبقات سبباً كافياً لأن يقوم مصعب باغتياله، وذلك حين تخلَّف عبيد الله في البصرة ولم يلتحق بمصعب عندما ذهب لمحاربة المختار، ثم التفاف بني تميم حوله ومبايعتهم له، وهذا يُشكّل خطراً على مصعب وحكومته، فمن الممكن أن يأمر باغتياله في تلك الليلة التي يصعب التمييز فيها، ثمّ يتَّهم المختار وأصحابه بقتله</w:t>
      </w:r>
      <w:r>
        <w:rPr>
          <w:rStyle w:val="FootnoteAnchor"/>
          <w:rtl w:val="true"/>
        </w:rPr>
        <w:footnoteReference w:id="529"/>
      </w:r>
      <w:r>
        <w:rPr>
          <w:rFonts w:ascii="IRNazanin" w:hAnsi="IRNazanin" w:eastAsia="IRNazanin"/>
          <w:color w:val="111111"/>
          <w:sz w:val="28"/>
          <w:sz w:val="28"/>
          <w:szCs w:val="28"/>
          <w:rtl w:val="true"/>
          <w:lang w:bidi="fa-IR"/>
        </w:rPr>
        <w:t xml:space="preserve">، ونقل الطبري أنّ مصعب بن الزبير قال للمُهلَّب يُخبره بمقتل عبيد الله بن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 أنّ عبيد الله بن علىّ بن أبي طالب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مَن يزعم أنه لأبيه شيعة، أما إنهم قد قتلوه وهم يعرفونه</w:t>
      </w:r>
      <w:r>
        <w:rPr>
          <w:rFonts w:eastAsia="IRNazanin" w:cs="IRNazanin"/>
          <w:color w:val="111111"/>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 ولعلّه في كلامه هذا يريد أن ينفي التهمة عن نفسه، ويُبرئ ساحته من تلك الجريمة، والله العالم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فتبقى تلك فرضيات لا يمكن الجزم بصحة أيّ منها، وتبقى كيفية مقتل عبيد الله ومَن قتله أمراً مجهولاً؛ لذا لم يزد ابن سعد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عبيد الله بن علي بن أبي طالب تلك الليلة</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 لكن المشهور أنه قد تُوفّي هناك في منطقة </w:t>
      </w:r>
      <w:bookmarkStart w:id="663" w:name="pg7540_66860"/>
    </w:p>
    <w:p>
      <w:pPr>
        <w:pStyle w:val="BookText"/>
        <w:rPr/>
      </w:pPr>
      <w:bookmarkEnd w:id="663"/>
      <w:r>
        <w:rPr>
          <w:rFonts w:ascii="IRNazanin" w:hAnsi="IRNazanin" w:eastAsia="IRNazanin"/>
          <w:color w:val="111111"/>
          <w:sz w:val="28"/>
          <w:sz w:val="28"/>
          <w:szCs w:val="28"/>
          <w:rtl w:val="true"/>
          <w:lang w:bidi="fa-IR"/>
        </w:rPr>
        <w:t xml:space="preserve">المذار ودُفن حيث مرقده الآن، وكان ذلك في سنة سبع وستين للهجرة، فيكون عمر عبيد الله بن علي عَلیه السَلام ثلاثين سنة تقريباً، إلّا أنّ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 الإسلام اختلف قوله، فعند حديثه عن عبيد الله بن علي عَلیه السَلام ذكر أنه قدم على مصعب بن الزبير، فوصله بمائة ألف درهم، ثم قُتِل معه في محاربة المختار سنة سبع وستين</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صرَّح في ترجمته لعمر بن علي عَلیه السَلام في الكتاب نفسه بأنّ عبيد الله قُتِل مع مصعب سنة اثنتين وسبعين</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غريب جداً، ولعله سهو من قلمه؛ فإن المؤرخين قد أجمعوا على أن وقعة المذار قد حصلت سنة سبع وستين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سنة اثنتين وسبعين هي السنة التي قُتل فيها مصعب بن الزبير نفسه، كما ينقل ذلك الذهبي ذاته في سير أعلام النبلاء</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2793182_1051229030"/>
      <w:bookmarkStart w:id="665" w:name="_Toc247"/>
      <w:bookmarkEnd w:id="664"/>
      <w:r>
        <w:rPr>
          <w:rtl w:val="true"/>
        </w:rPr>
        <w:t>عبيد الله بن علي وواقعة الطف</w:t>
      </w:r>
      <w:bookmarkEnd w:id="66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اتضح من خلال الأبحاث المتقدمة أنّ مشهور المؤرخين وأصحاب السير يرون أنّ عبيد الله بن علي عَلیه السَلام لم يشترك في واقعة الطف مع أخيه الحسين عَلیه السَلام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وبقي إلى سنة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واقعة المذار التي قُتل فيها، لكنْ هناك عدد من المؤرخين ذكروا أنّ عبيد الله بن علي عَلیه السَلام قُتل في كربلاء مع الحسين عَلیه السَلام وأخيه الأصغر، ومن أهم هؤلاء المؤرخين الطبري في تاريخه، نقلاً عن هشام بن محمد</w:t>
      </w:r>
      <w:r>
        <w:rPr>
          <w:rStyle w:val="FootnoteAnchor"/>
          <w:rtl w:val="true"/>
        </w:rPr>
        <w:footnoteReference w:id="535"/>
      </w:r>
      <w:r>
        <w:rPr>
          <w:rFonts w:ascii="Amiri" w:hAnsi="Amiri" w:eastAsia="Amiri" w:cs="Amiri"/>
          <w:color w:val="111111"/>
          <w:sz w:val="28"/>
          <w:sz w:val="28"/>
          <w:szCs w:val="28"/>
          <w:rtl w:val="true"/>
          <w:lang w:bidi="ar-SA"/>
        </w:rPr>
        <w:t xml:space="preserve">، 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الإرشاد،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ومحمد الأصغر المكنَّى أبا بكر وعبيد </w:t>
      </w:r>
    </w:p>
    <w:p>
      <w:pPr>
        <w:pStyle w:val="BookText"/>
        <w:rPr/>
      </w:pPr>
      <w:r>
        <w:rPr>
          <w:rFonts w:ascii="IRNazanin" w:hAnsi="IRNazanin" w:eastAsia="IRNazanin"/>
          <w:color w:val="111111"/>
          <w:sz w:val="28"/>
          <w:sz w:val="28"/>
          <w:szCs w:val="28"/>
          <w:rtl w:val="true"/>
          <w:lang w:bidi="fa-IR"/>
        </w:rPr>
        <w:t>الله الشهيدان مع أخيهما الحسين عَلیه السَلام بالطف، أُمّهما ليلى بنت مسعود الدارمية</w:t>
      </w:r>
      <w:r>
        <w:rPr>
          <w:rFonts w:eastAsia="IRNazanin" w:cs="IRNazanin"/>
          <w:color w:val="111111"/>
          <w:sz w:val="28"/>
          <w:szCs w:val="28"/>
          <w:rtl w:val="true"/>
          <w:lang w:bidi="fa-IR"/>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الغمة</w:t>
      </w:r>
      <w:r>
        <w:rPr>
          <w:rStyle w:val="FootnoteAnchor"/>
          <w:rtl w:val="true"/>
        </w:rPr>
        <w:footnoteReference w:id="537"/>
      </w:r>
      <w:r>
        <w:rPr>
          <w:rFonts w:ascii="Amiri" w:hAnsi="Amiri" w:eastAsia="Amiri" w:cs="Amiri"/>
          <w:color w:val="111111"/>
          <w:sz w:val="28"/>
          <w:sz w:val="28"/>
          <w:szCs w:val="28"/>
          <w:rtl w:val="true"/>
          <w:lang w:bidi="ar-SA"/>
        </w:rPr>
        <w:t xml:space="preserve">، ويظهر ذلك أيضاً من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الكامل في التاريخ</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المناقشة في هذا الرأي من عدة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الرأي مخالف لما عليه مشهور المؤرخين وأرباب السير، الذين نقلوا أن عبيد الله بن علي عَلیه السَلام لم يشترك في معركة الطف، وإنما قُتِل في وقعة المذار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نقله الطبري في هذا الرأي هو رواية عن هشام بن محمد الكلبي، وتعارضها رواية أُخرى نقلها عن محمد بن عمر تؤكد مقتله في المذار كما أسلفنا، وما ينقله ابن الأثير في الكامل عن تاريخ القرون الثلاثة الأُولى إنما أخذه عن 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ذهب إليه الشيخ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بعض العلماء، 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واعتبروه خطأ محضاً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إدريس في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ذهب أيضاً شيخنا المفيد في كتاب الإرشاد، إلى أن عبيد الله بن النهشلية، قُتِل بكربلاء مع أخيه الحسين عَلیه السَلام ، وهذا خطأ محض، بلا مراء؛ لأن عبيد الله بن النهشلية، كان في جيش مصعب بن الزبير، ومن جملة أصحابه، </w:t>
      </w:r>
      <w:bookmarkStart w:id="666" w:name="pg7540_66862"/>
    </w:p>
    <w:p>
      <w:pPr>
        <w:pStyle w:val="BookText"/>
        <w:rPr/>
      </w:pPr>
      <w:bookmarkEnd w:id="666"/>
      <w:r>
        <w:rPr>
          <w:rFonts w:ascii="Amiri" w:hAnsi="Amiri" w:eastAsia="Amiri" w:cs="Amiri"/>
          <w:color w:val="111111"/>
          <w:sz w:val="28"/>
          <w:sz w:val="28"/>
          <w:szCs w:val="28"/>
          <w:rtl w:val="true"/>
          <w:lang w:bidi="ar-SA"/>
        </w:rPr>
        <w:t xml:space="preserve">قتله أصحاب المختار الثقفي بالمذار، وقبره هناك ظاهر، الخبر بذلك متواتر، وقد ذكره شيخنا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الحائريات، لمَّا سأله السائل عما ذكره المفيد في الإرشاد، فأجاب بأن عبيد الله بن النهشلية قتله أصحاب المختار بالمذار، وقبره هناك معروف، عند أهل تلك البلاد</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مضافاً إلى أنه ورد في كتاب الإرشاد أيضاً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قُتِل مع الحسين بن علي عَلیهِماالسَّلام من أهل بيته بطف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وعبد الله، وأبو بكر ابنا أمير المؤمنين عَلیه السَلام ، أُمُّهما ليلى بنت مسعود الثقفية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الاختلاف الكبير بين أصحاب السير ممَّن ذكروا شهداء الطف، فمنهم مَن يُسمّيه عبد الله ومنهم يُسمّيه عبيد الله، والظاهر أن سبب هذا الاختلاف وكذلك ذهاب الشيخ المفيد وغيره إلى أن عبيد الله قُتِل في كربلاء، هو التشابه في الاسم بينه وبين شقيقه أبي بكر الذي اسمه عبد الله، كما يستضح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علي لم يكن من شهداء الطف، وإنما قُتِل سنة سبع وستين في منطقة المذار وقبره هناك</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2793184_1051229030"/>
      <w:bookmarkStart w:id="668" w:name="_Toc248"/>
      <w:bookmarkEnd w:id="667"/>
      <w:r>
        <w:rPr>
          <w:rtl w:val="true"/>
        </w:rPr>
        <w:t>هل اسمه عبيد الله أم عبد الله؟</w:t>
      </w:r>
      <w:bookmarkEnd w:id="66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المعروف عند أكثر المؤرخين وعلماء السير والأنساب أن ليلى بنت مسعود النهشلية التي تزوَّجها الإمام عَلیه السَلام لم تنجب منه سوى غلامين اثنين فقط، وهما أبو بكر وعبيد الله، وهذا ما يصرّح به كثير من المؤرخين المتقدمين، كالبلاذري</w:t>
      </w:r>
      <w:r>
        <w:rPr>
          <w:rStyle w:val="FootnoteAnchor"/>
          <w:rtl w:val="true"/>
        </w:rPr>
        <w:footnoteReference w:id="54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واليعقوبي</w:t>
      </w:r>
      <w:r>
        <w:rPr>
          <w:rStyle w:val="FootnoteAnchor"/>
          <w:rtl w:val="true"/>
        </w:rPr>
        <w:footnoteReference w:id="542"/>
      </w:r>
      <w:r>
        <w:rPr>
          <w:rFonts w:ascii="Amiri" w:hAnsi="Amiri" w:eastAsia="Amiri" w:cs="Amiri"/>
          <w:color w:val="111111"/>
          <w:sz w:val="28"/>
          <w:sz w:val="28"/>
          <w:szCs w:val="28"/>
          <w:rtl w:val="true"/>
          <w:lang w:bidi="ar-SA"/>
        </w:rPr>
        <w:t>، وابن أبي الدنيا</w:t>
      </w:r>
      <w:r>
        <w:rPr>
          <w:rStyle w:val="FootnoteAnchor"/>
          <w:rtl w:val="true"/>
        </w:rPr>
        <w:footnoteReference w:id="543"/>
      </w:r>
      <w:r>
        <w:rPr>
          <w:rFonts w:ascii="Amiri" w:hAnsi="Amiri" w:eastAsia="Amiri" w:cs="Amiri"/>
          <w:color w:val="111111"/>
          <w:sz w:val="28"/>
          <w:sz w:val="28"/>
          <w:szCs w:val="28"/>
          <w:rtl w:val="true"/>
          <w:lang w:bidi="ar-SA"/>
        </w:rPr>
        <w:t>، والطبري</w:t>
      </w:r>
      <w:r>
        <w:rPr>
          <w:rStyle w:val="FootnoteAnchor"/>
          <w:rtl w:val="true"/>
        </w:rPr>
        <w:footnoteReference w:id="544"/>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حدث اضطراب واختلاف في اسميهما وكنيتيهما عند بعض المؤرخين المتقدمين والمتأخرين، خصوصاً الذين تعرضوا إلى ذكر شهداء كربلاء، فذكر الشيخ المفيد أن ولدَي ليلى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المكنى أبا بكر وعبيد الله</w:t>
      </w:r>
      <w:r>
        <w:rPr>
          <w:rStyle w:val="FootnoteAnchor"/>
          <w:rtl w:val="true"/>
        </w:rPr>
        <w:footnoteReference w:id="545"/>
      </w:r>
      <w:r>
        <w:rPr>
          <w:rFonts w:ascii="IRNazanin" w:hAnsi="IRNazanin" w:eastAsia="IRNazanin"/>
          <w:color w:val="111111"/>
          <w:sz w:val="28"/>
          <w:sz w:val="28"/>
          <w:szCs w:val="28"/>
          <w:rtl w:val="true"/>
          <w:lang w:bidi="fa-IR"/>
        </w:rPr>
        <w:t>، بينما ذكر في موضع آخر أنّ ابنَي أمير المؤمنين عَلیه السَلام من ليلى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وأبو بكر، كما تقدم</w:t>
      </w:r>
      <w:r>
        <w:rPr>
          <w:rStyle w:val="FootnoteAnchor"/>
          <w:rtl w:val="true"/>
        </w:rPr>
        <w:footnoteReference w:id="546"/>
      </w:r>
      <w:r>
        <w:rPr>
          <w:rFonts w:ascii="IRNazanin" w:hAnsi="IRNazanin" w:eastAsia="IRNazanin"/>
          <w:color w:val="111111"/>
          <w:sz w:val="28"/>
          <w:sz w:val="28"/>
          <w:szCs w:val="28"/>
          <w:rtl w:val="true"/>
          <w:lang w:bidi="fa-IR"/>
        </w:rPr>
        <w:t xml:space="preserve">، وذهب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المناقب إلى أنّ ولدَي أمير المؤمنين عَلیه السَلام هما أبو بكر، وعبد الله، وأُمّهما الهملاء بنت مسروق النهشلية</w:t>
      </w:r>
      <w:r>
        <w:rPr>
          <w:rStyle w:val="FootnoteAnchor"/>
          <w:rtl w:val="true"/>
        </w:rPr>
        <w:footnoteReference w:id="547"/>
      </w:r>
      <w:r>
        <w:rPr>
          <w:rFonts w:ascii="Amiri" w:hAnsi="Amiri" w:eastAsia="Amiri" w:cs="Amiri"/>
          <w:color w:val="111111"/>
          <w:sz w:val="28"/>
          <w:sz w:val="28"/>
          <w:szCs w:val="28"/>
          <w:rtl w:val="true"/>
          <w:lang w:bidi="ar-SA"/>
        </w:rPr>
        <w:t>، وما ذكره من أنّ اسم أُمهما الهملاء بنت مسروق رأي شاذ لم نجد مَن ذكره من المؤرخين، وكذلك ذكر ابن أبي الحديد أنّهما أبو بكر وعبد الله</w:t>
      </w:r>
      <w:r>
        <w:rPr>
          <w:rStyle w:val="FootnoteAnchor"/>
          <w:rtl w:val="true"/>
        </w:rPr>
        <w:footnoteReference w:id="548"/>
      </w:r>
      <w:r>
        <w:rPr>
          <w:rFonts w:ascii="Amiri" w:hAnsi="Amiri" w:eastAsia="Amiri" w:cs="Amiri"/>
          <w:color w:val="111111"/>
          <w:sz w:val="28"/>
          <w:sz w:val="28"/>
          <w:szCs w:val="28"/>
          <w:rtl w:val="true"/>
          <w:lang w:bidi="ar-SA"/>
        </w:rPr>
        <w:t xml:space="preserve">، بينما يرى 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محمد الأصغر المكنى أبا بكر وعبد الله الشهيدان أيضاً مع أخيهما الحسين بكربلاء، أُمهما ليلى بنت مسعود الدارمية</w:t>
      </w:r>
      <w:r>
        <w:rPr>
          <w:rStyle w:val="FootnoteAnchor"/>
          <w:rtl w:val="true"/>
        </w:rPr>
        <w:footnoteReference w:id="549"/>
      </w:r>
      <w:r>
        <w:rPr>
          <w:rFonts w:ascii="Amiri" w:hAnsi="Amiri" w:eastAsia="Amiri" w:cs="Amiri"/>
          <w:color w:val="111111"/>
          <w:sz w:val="28"/>
          <w:sz w:val="28"/>
          <w:szCs w:val="28"/>
          <w:rtl w:val="true"/>
          <w:lang w:bidi="ar-SA"/>
        </w:rPr>
        <w:t>، وغير هؤلاء ممَّن ذكر اختلافاً في اسميهما أو كنيتيهما أو مكان مقتلهما، ولعلّ هذا الاختلاف والاضطراب يعود إلى سببين يمكن التوصُّل إليهما من خلال البحث والتحليل، وهما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 الأصغر قد غلبت كنيته أبو بكر على اسمه وصار يُعرَف </w:t>
      </w:r>
    </w:p>
    <w:p>
      <w:pPr>
        <w:pStyle w:val="BookText"/>
        <w:rPr/>
      </w:pPr>
      <w:r>
        <w:rPr>
          <w:rFonts w:ascii="IRNazanin" w:hAnsi="IRNazanin" w:eastAsia="IRNazanin"/>
          <w:color w:val="111111"/>
          <w:sz w:val="28"/>
          <w:sz w:val="28"/>
          <w:szCs w:val="28"/>
          <w:rtl w:val="true"/>
          <w:lang w:bidi="fa-IR"/>
        </w:rPr>
        <w:t>بها ولم يُذكَر اسمه إلّا نادراً، وما يؤيد هذا أنّ أبا الفرج الأصفهاني،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بكر بن علي بن أبي طالب عَلیه السَلام لم يُعرَف اسمه، وأُمه ليلى بنت مسعود بن خالد</w:t>
      </w:r>
      <w:r>
        <w:rPr>
          <w:rFonts w:eastAsia="IRNazanin" w:cs="IRNazanin"/>
          <w:color w:val="111111"/>
          <w:sz w:val="28"/>
          <w:szCs w:val="28"/>
          <w:rtl w:val="true"/>
          <w:lang w:bidi="fa-IR"/>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فإنّ أكثر المؤرخين المتقدمين ذكروه بكنيته فقط، ولم يُشيروا إلى اسمه، إلّا أن اسمه هو عبد الله كما ذهب إلى ذلك عدد من المؤرخين، أمثال ابن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في الفتوح أنّ أبا بكر اسمه عبد الله</w:t>
      </w:r>
      <w:r>
        <w:rPr>
          <w:rStyle w:val="FootnoteAnchor"/>
          <w:rtl w:val="true"/>
        </w:rPr>
        <w:footnoteReference w:id="551"/>
      </w:r>
      <w:r>
        <w:rPr>
          <w:rFonts w:ascii="Amiri" w:hAnsi="Amiri" w:eastAsia="Amiri" w:cs="Amiri"/>
          <w:color w:val="111111"/>
          <w:sz w:val="28"/>
          <w:sz w:val="28"/>
          <w:szCs w:val="28"/>
          <w:rtl w:val="true"/>
          <w:lang w:bidi="ar-SA"/>
        </w:rPr>
        <w:t xml:space="preserve">، والخوارزمي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وقال علي بن محمد العلوي من أعلام القرن الخامس في كتابه المُجدي في أنساب الطالبيين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واسمه عبد الله، قُتل بالطف، وأبو علي عبيد الله أُمهما النهشلية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ذهب إليه المفيد وابن الصباغ المالكي وغيرهما من أنّ أبا بكر اسمه محمد الأصغر فهو، ليس صحيحاً؛ لما تقدم، مضافاً إلى أن محمداً الأصغر بن الإمام أمير المؤمنين عَلیه السَلام هو ابن أسماء بنت عميس كما نقل ذلك الطبري عن هشام بن محمد</w:t>
      </w:r>
      <w:r>
        <w:rPr>
          <w:rStyle w:val="FootnoteAnchor"/>
          <w:rtl w:val="true"/>
        </w:rPr>
        <w:footnoteReference w:id="554"/>
      </w:r>
      <w:r>
        <w:rPr>
          <w:rFonts w:ascii="Amiri" w:hAnsi="Amiri" w:eastAsia="Amiri" w:cs="Amiri"/>
          <w:color w:val="111111"/>
          <w:sz w:val="28"/>
          <w:sz w:val="28"/>
          <w:szCs w:val="28"/>
          <w:rtl w:val="true"/>
          <w:lang w:bidi="ar-SA"/>
        </w:rPr>
        <w:t>، فيما ذكر البلاذري أنّ محمداً الأصغر أُمّه ورقاء أُم ولد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ذهب أكثر المؤرخين إلى أن أبا بكر قد استُشهد مع أخيه الحسين عَلیه السَلام في كربلاء، وهو الذي يقول في أُرجوزته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شيخي علي ذو الفخار الأطول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هاشم الخير الكريم المفضل </w:t>
      </w:r>
      <w:bookmarkStart w:id="669" w:name="pg7540_66865"/>
    </w:p>
    <w:p>
      <w:pPr>
        <w:pStyle w:val="BookText"/>
        <w:rPr/>
      </w:pPr>
      <w:bookmarkEnd w:id="669"/>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حسين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الحسام 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أخ مبجَّل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فامنحني ثواب المنزل</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إلّا أنّ بعض العلماء والمؤرخين شكَّك في استشهاده، 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شُكَّ في قتله</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الفرج الأصفهاني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المدائني أنه وُجِد في ساقية مقتولاً، لا يُدرَى مَن قتله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الأخ الأكبر اسمه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ذلك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مشهور المؤرخين؛ فلوجود التقارب بين اسميهما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وعبد الله، يحصل في كثير من الأحيان الخلط والاشتباه بينهما، فيجعل اسم أحدهما للآخر، كما أنه كثيراً ما يحصل تصحيف بين كلمة عبد الله وعبيد الله في الكتابة، خصوصاً أن التنقيط على الحروف قد وُضِع في وقت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فلهذين السببين أو غيرهما حصل الخلط والاشتباه لدى بعض العلماء والمؤرخين، وادَّعوا تارةً أنّ عبيد الله استُشهد في كربلاء، وأُخرى أن أبا بكر هو عبيد الله، وثالثة أنّ عبد الله هو أخو أبي بكر، وهكذا</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2793186_1051229030"/>
      <w:bookmarkStart w:id="671" w:name="_Toc249"/>
      <w:bookmarkEnd w:id="670"/>
      <w:r>
        <w:rPr>
          <w:rtl w:val="true"/>
        </w:rPr>
        <w:t>الثاني</w:t>
      </w:r>
      <w:r>
        <w:rPr>
          <w:rtl w:val="true"/>
        </w:rPr>
        <w:t xml:space="preserve">: </w:t>
      </w:r>
      <w:r>
        <w:rPr>
          <w:rtl w:val="true"/>
        </w:rPr>
        <w:t>عمر بن علي بن أبي طالب عَلیه السَلام</w:t>
      </w:r>
      <w:bookmarkEnd w:id="671"/>
    </w:p>
    <w:p>
      <w:pPr>
        <w:pStyle w:val="Heading6"/>
        <w:numPr>
          <w:ilvl w:val="5"/>
          <w:numId w:val="1"/>
        </w:numPr>
        <w:rPr/>
      </w:pPr>
      <w:bookmarkStart w:id="672" w:name="__RefHeading___Toc2793188_1051229030"/>
      <w:bookmarkStart w:id="673" w:name="_Toc250"/>
      <w:bookmarkEnd w:id="672"/>
      <w:r>
        <w:rPr>
          <w:rtl w:val="true"/>
        </w:rPr>
        <w:t>اشارة</w:t>
      </w:r>
      <w:bookmarkEnd w:id="67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ادُّعي مقتله في واقعة المذار من أبناء أمير المؤمنين عَلیه السَلام هو عمر بن علي عَلیه السَلام ، مما يحتمل أن يكون هو صاحب المرقد الموجود في تلك المنطقة، وادَّعى ذلك بعض </w:t>
      </w:r>
    </w:p>
    <w:p>
      <w:pPr>
        <w:pStyle w:val="BookText"/>
        <w:rPr/>
      </w:pPr>
      <w:r>
        <w:rPr>
          <w:rFonts w:ascii="Amiri" w:hAnsi="Amiri" w:eastAsia="Amiri" w:cs="Amiri"/>
          <w:color w:val="111111"/>
          <w:sz w:val="28"/>
          <w:sz w:val="28"/>
          <w:szCs w:val="28"/>
          <w:rtl w:val="true"/>
          <w:lang w:bidi="ar-SA"/>
        </w:rPr>
        <w:t xml:space="preserve">المؤرخين والعلماء المتقدمين، ومنهم المؤرخ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عند ذكره حوادث سنة سبع وستين،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وقعة المذار، وفيها قُتل عمر بن علي بن أبي طالب، ومحمد بن الأشعث بن قيس، وقُتل المختار بن أبي عبيد</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 xml:space="preserve">، وكذلك ذكر مقتله مع مصعب المؤرخ الدينوري </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الأخبار الطوال، وساق قصة شبيهة بتلك القصة التي ذكرها ابن سعد في الطبقات بالنسبة إلى عبيد الله بن علي عَلیه السَلام ، حيث ذكر الدينوري أن عمر بن علي عَلیه السَلام قدم من الحجاز على المختار، فقال له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معك كتاب محمد بن الحنفية؟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معي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حيث شئت، فلا خير لك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 وسار إلى مصعب، فاستقبله في بعض الطريق، فوصله بمائة ألف درهم، وأقبل مع مصعب حتى حضر الوقعة، فقُتل فيمَن قُتل من الناس، وانهزم المختار حتى دخل الكوفة، وتبعه مصعب</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أشار إلى مقتله سنة سبع وستين أيضاً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الثقات</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قد يؤيد هذا الافتراض هو ما ادّعاه الخوارزمي من أنّ عمر بن علي بن أبي طالب عَلیه السَلام أُمُّه ليلى بنت مسعود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ولتحقيق الحال ومعرفة صحة هذه الدعوى من عدمها، لا بد من البحث في أربعة احتمالات متوقعة لشخصية عمر بن علي عَلیه السَلام المدَّعى مقتله في المذار سنة سبع وستين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المقتول هو عمر الأكبر الملقّب بالأطرف، كما يبدو </w:t>
      </w:r>
    </w:p>
    <w:p>
      <w:pPr>
        <w:pStyle w:val="BookText"/>
        <w:rPr/>
      </w:pPr>
      <w:r>
        <w:rPr>
          <w:rFonts w:ascii="Amiri" w:hAnsi="Amiri" w:eastAsia="Amiri" w:cs="Amiri"/>
          <w:color w:val="111111"/>
          <w:sz w:val="28"/>
          <w:sz w:val="28"/>
          <w:szCs w:val="28"/>
          <w:rtl w:val="true"/>
          <w:lang w:bidi="ar-SA"/>
        </w:rPr>
        <w:t>من كلام ابن حبان، بل وصرّح الذهبي في موضع من كتابه تاريخ الإسلام بأن عمر الأكبر هو المقتول سنة سبع وستين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فإن عمر الأكبر من الشخصيات المعروفة في التاريخ، 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 عقل ونُبل وكان يشبه أباه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له محمد وأُم موسى من أسماء بنت عقيل</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وُلِد في بداية خلافة عمر بن الخطاب</w:t>
      </w:r>
      <w:r>
        <w:rPr>
          <w:rStyle w:val="FootnoteAnchor"/>
          <w:rtl w:val="true"/>
        </w:rPr>
        <w:footnoteReference w:id="565"/>
      </w:r>
      <w:r>
        <w:rPr>
          <w:rFonts w:ascii="Amiri" w:hAnsi="Amiri" w:eastAsia="Amiri" w:cs="Amiri"/>
          <w:color w:val="111111"/>
          <w:sz w:val="28"/>
          <w:sz w:val="28"/>
          <w:szCs w:val="28"/>
          <w:rtl w:val="true"/>
          <w:lang w:bidi="ar-SA"/>
        </w:rPr>
        <w:t>، وكان من رواة الحديث، رواه عن أبيه ورواه عنه ولده، فترجم له في كتب الرجال ووصف بأنه من ثقات التابعين</w:t>
      </w:r>
      <w:r>
        <w:rPr>
          <w:rStyle w:val="FootnoteAnchor"/>
          <w:rtl w:val="true"/>
        </w:rPr>
        <w:footnoteReference w:id="566"/>
      </w:r>
      <w:r>
        <w:rPr>
          <w:rFonts w:ascii="Amiri" w:hAnsi="Amiri" w:eastAsia="Amiri" w:cs="Amiri"/>
          <w:color w:val="111111"/>
          <w:sz w:val="28"/>
          <w:sz w:val="28"/>
          <w:szCs w:val="28"/>
          <w:rtl w:val="true"/>
          <w:lang w:bidi="ar-SA"/>
        </w:rPr>
        <w:t>، ذكره ابن سعد في الطبقة الأُولى من أهل المدينة، وأُمه الصهباء، وهي أُمّ حبيب بنت ربيعة، بن بجير بن العبد، بن علقمة بن الحارث، بن عتبة بن سعد، بن زهير بن جشم، بن بكر بن حبيب، بن عمرو بن غنم، بن تغلب بن وائل، وكانت سبيَّة أصابها خالد بن الوليد حيث أغار على بني تغلب بناحية عين التمر، فولد عمر بن علي محمداً وأُم موسى وأُم حبيب وأُمهم أسماء بنت عقيل بن أبي طالب</w:t>
      </w:r>
      <w:r>
        <w:rPr>
          <w:rStyle w:val="FootnoteAnchor"/>
          <w:rtl w:val="true"/>
        </w:rPr>
        <w:footnoteReference w:id="567"/>
      </w:r>
      <w:r>
        <w:rPr>
          <w:rFonts w:ascii="IRNazanin" w:hAnsi="IRNazanin" w:eastAsia="IRNazanin"/>
          <w:color w:val="111111"/>
          <w:sz w:val="28"/>
          <w:sz w:val="28"/>
          <w:szCs w:val="28"/>
          <w:rtl w:val="true"/>
          <w:lang w:bidi="fa-IR"/>
        </w:rPr>
        <w:t>، ولقّب بالأطرف بعد أن وُلِد للإمام زين العابدين عَلیه السَلام ولد وسمّي عمر، فلقّب بالأشرف؛ لجمعه الشرف من ولادة علي وفاطمة عَلیهِماالسَّلام ، وسُمّي عمّ أبيه بالأطرف؛ لأنه حاز الشرف من طرف أبيه فقط</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البعيد جداً أن يكون عمر الأطرف هو مَن قُتل في المذار سنة سبع </w:t>
      </w:r>
    </w:p>
    <w:p>
      <w:pPr>
        <w:pStyle w:val="BookText"/>
        <w:rPr/>
      </w:pPr>
      <w:r>
        <w:rPr>
          <w:rFonts w:ascii="IRNazanin" w:hAnsi="IRNazanin" w:eastAsia="IRNazanin"/>
          <w:color w:val="111111"/>
          <w:sz w:val="28"/>
          <w:sz w:val="28"/>
          <w:szCs w:val="28"/>
          <w:rtl w:val="true"/>
          <w:lang w:bidi="fa-IR"/>
        </w:rPr>
        <w:t>وستين؛ وذلك لذهاب كثير من المؤرخين وأرباب السير من المتقدمين والمتأخرين إلى خلاف هذا الرأي، قال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فعمّر عمر بن علي حتى بلغ خمساً وثمانين سنة، فحاز نصف ميراث علي عَلیه السَلام ، ومات بينبع</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ومعنى أنه حاز نصف ميراث علي عَلیه السَلام أنه كان آخر أبناء علي وفاةً، وقال في المُجدي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ووجدت في بعض الكتب أن عمر شهد حرب المصعب بن الزبير وكان من أصحابه، وأنه قُتل وقبره بمسكن، وهذه رواية باطلة بعيدة عن الصواب</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يؤكّد عدم مقتله سنة سبع وستين هو بقاؤه حيَّاً إلى زمن الوليد بن عبد الملك الذي تولَّى الخلافة من سنة سبع وثمانين إلى سنة ست وتسعين</w:t>
      </w:r>
      <w:r>
        <w:rPr>
          <w:rStyle w:val="FootnoteAnchor"/>
          <w:rtl w:val="true"/>
        </w:rPr>
        <w:footnoteReference w:id="571"/>
      </w:r>
      <w:r>
        <w:rPr>
          <w:rFonts w:ascii="Amiri" w:hAnsi="Amiri" w:eastAsia="Amiri" w:cs="Amiri"/>
          <w:color w:val="111111"/>
          <w:sz w:val="28"/>
          <w:sz w:val="28"/>
          <w:szCs w:val="28"/>
          <w:rtl w:val="true"/>
          <w:lang w:bidi="ar-SA"/>
        </w:rPr>
        <w:t>،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علي بن أبي طالب الهاشمي ثقة من الثالثة، مات في زمن الوليد،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 ذلك أنّه ذهب إلى الوليد بن عبد الملك يسأله أن يوليه صدقة أبيه علي عَلیه السَلام ، وكان عليها الحسن بن الحسن بن علي عَلیهِماالسَّلام ، فلم يُعطه،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أُدخل على بني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غضبان، ولم يقبل منه صلة</w:t>
      </w:r>
      <w:r>
        <w:rPr>
          <w:rStyle w:val="FootnoteAnchor"/>
          <w:rtl w:val="true"/>
        </w:rPr>
        <w:footnoteReference w:id="573"/>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خاصم علي بن الحسين عَلیه السَلام إلى عبد الملك في صدقات النبي صلّى الله عليه و آله و سلّم وأمير المؤمنين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ابن المُصّدِّق وهذا ابن ابن، فأنا أوْلى بها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فتمثَّل عبد الملك بقول أبى الحقيق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تجعل الباطل حقاً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تلط دون الحق بالباطل </w:t>
      </w:r>
    </w:p>
    <w:p>
      <w:pPr>
        <w:pStyle w:val="BookText"/>
        <w:rPr/>
      </w:pPr>
      <w:r>
        <w:rPr>
          <w:rFonts w:ascii="IRNazanin" w:hAnsi="IRNazanin" w:eastAsia="IRNazanin"/>
          <w:color w:val="111111"/>
          <w:sz w:val="28"/>
          <w:sz w:val="28"/>
          <w:szCs w:val="28"/>
          <w:rtl w:val="true"/>
          <w:lang w:bidi="fa-IR"/>
        </w:rPr>
        <w:t>قم يا علي بن الحسين، فقد وليتكها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فلمّا خرجا تناوله عمر وآذاه، فسكت عنه ولم يرد عليه شيئاً، فلمّا كان بعد ذلك دخل محمد بن عمر على علي بن الحسين عَلیه السَلام فسلّم عليه وأكبّ عليه يُقبِّله،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لا تمنعني قطيعة أبيك أن أصل رحمك؛ فقد زوَّجتك ابنتي خديجة ابنة علي</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ينص 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عمر الأكبر هذا تخلَّف عن أخيه الحسين عَلیه السَلام ، ولم يسر معه إلى الكوفة، وكان قد دعاه إلى الخروج معه فلم يخرج،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بلغه قتل أخيه الحسين عَلیه السَلام خرج في معصفرات</w:t>
      </w:r>
      <w:r>
        <w:rPr>
          <w:rStyle w:val="FootnoteAnchor"/>
          <w:rtl w:val="true"/>
        </w:rPr>
        <w:footnoteReference w:id="575"/>
      </w:r>
      <w:r>
        <w:rPr>
          <w:rFonts w:ascii="IRNazanin" w:hAnsi="IRNazanin" w:eastAsia="IRNazanin"/>
          <w:color w:val="111111"/>
          <w:sz w:val="28"/>
          <w:sz w:val="28"/>
          <w:szCs w:val="28"/>
          <w:rtl w:val="true"/>
          <w:lang w:bidi="fa-IR"/>
        </w:rPr>
        <w:t>له وجلس بفناء داره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الغلام الحازم، ولو أخرج معهم لذهبت في المعركة وقُتِلتُ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رواية مَن روى أن عمر حضر كربلاء، وكان أول مَن بايع عبد الله بن الزبير ثم بايع بعده الحجَّاج، وأراد الحجَّاج إدخاله مع الحسن بن الحسن في توليته صدقات أمير المؤمنين عَلیه السَلام فلم يتيسَّر له ذلك، ومات عمر بينبع وهو ابن سبع وسبعين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وسبعين، ووُلْدُه جماعة كثيرة متفرقون في عدَّة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رجل واحد، وهو ابنه محمد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فلا يمكن أن يكون المقتول من ولد علي عَلیه السَلام في المذار سنة سبع وستين هو عمر الأكبر؛ لما تقدم من الشواهد والدلائل التاريخية؛ ولذا قال الذهبي في سير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عمر مع مصعب بن الزبير، ولا يصح، بل ذاك أخوه عبيد الله بن علي</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المقتول بالمذار سنة سبع وستين هو عمر الأصغر من أبناء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ويُستفاد من تصريحهم بعمر الأكبر بأن هناك عمر آخر يلقّب بالأصغر، وهذا ما أفاده بعض المؤرخين كالبلاذري،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وعمر الأصغر، وأُمه أُم سعيد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أُم ولد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 والكاتب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معرض حديثه عن أولاد أمير المؤمنين عَلیه السَلام من غير فاطمة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الأصاغر عمر الأصغر</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 الأصغر على فرض وجوده لا يمكن القول بأنه مَن قُتِل في واقعة المذار؛ لأننا لم نجد مَن صرّح بذلك، وكل مَن ذكره ادّعى أنه من شهداء الطف، كما عدّه منهم ابن شهرآشوب</w:t>
      </w:r>
      <w:r>
        <w:rPr>
          <w:rStyle w:val="FootnoteAnchor"/>
          <w:rtl w:val="true"/>
        </w:rPr>
        <w:footnoteReference w:id="580"/>
      </w:r>
      <w:r>
        <w:rPr>
          <w:rFonts w:ascii="IRNazanin" w:hAnsi="IRNazanin" w:eastAsia="IRNazanin"/>
          <w:color w:val="111111"/>
          <w:sz w:val="28"/>
          <w:sz w:val="28"/>
          <w:szCs w:val="28"/>
          <w:rtl w:val="true"/>
          <w:lang w:bidi="fa-IR"/>
        </w:rPr>
        <w:t>، وقال النمازي في المستدركات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مصداقين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عمر الأكبر، والثاني عمر الأصغر، كما يُستفاد ممَّا يأتي، ومن كتاب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النسل من وُلْد مولانا أمير المؤمنين عَلیه السَلام 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ومحمد بن الحنفية، وعمر الأكبر،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عمر الأكبر فعاش خمساً وثمانين سنة، حتى حاز نصف ميراث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الحديث</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تصريحه بعمر الأكبر وأنه عاش خمساً وثمانين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يكن من شهداء الطف، وأن له عَلیه السَلام عمر الأصغر وهو من الشهداء</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الخوارزمي عمر بن علي عَلیه السَلام من شهداء كربلاء</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السيد محسن الأمين أنّ عمر كان من شهداء كربلاء،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برز من بعده أخوه عمر بن علي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ولا أرى فيكم 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الشقي بالنبي قد كفر</w:t>
      </w:r>
    </w:p>
    <w:p>
      <w:pPr>
        <w:pStyle w:val="BookText"/>
        <w:rPr/>
      </w:pPr>
      <w:r>
        <w:rPr>
          <w:rFonts w:ascii="Amiri" w:hAnsi="Amiri" w:eastAsia="Amiri" w:cs="Amiri"/>
          <w:color w:val="111111"/>
          <w:sz w:val="28"/>
          <w:sz w:val="28"/>
          <w:szCs w:val="28"/>
          <w:rtl w:val="true"/>
          <w:lang w:bidi="ar-SA"/>
        </w:rPr>
        <w:t>يا زجر يا زجر تداني 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اليوم تبوء من سقر</w:t>
      </w:r>
    </w:p>
    <w:p>
      <w:pPr>
        <w:pStyle w:val="BookText"/>
        <w:rPr/>
      </w:pPr>
      <w:r>
        <w:rPr>
          <w:rFonts w:ascii="Amiri" w:hAnsi="Amiri" w:eastAsia="Amiri" w:cs="Amiri"/>
          <w:color w:val="111111"/>
          <w:sz w:val="28"/>
          <w:sz w:val="28"/>
          <w:szCs w:val="28"/>
          <w:rtl w:val="true"/>
          <w:lang w:bidi="ar-SA"/>
        </w:rPr>
        <w:t>شرّ مكان في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الجاحد يا شر البشر</w:t>
      </w:r>
    </w:p>
    <w:p>
      <w:pPr>
        <w:pStyle w:val="BookText"/>
        <w:rPr/>
      </w:pPr>
      <w:r>
        <w:rPr>
          <w:rFonts w:ascii="Amiri" w:hAnsi="Amiri" w:eastAsia="Amiri" w:cs="Amiri"/>
          <w:color w:val="111111"/>
          <w:sz w:val="28"/>
          <w:sz w:val="28"/>
          <w:szCs w:val="28"/>
          <w:rtl w:val="true"/>
          <w:lang w:bidi="ar-SA"/>
        </w:rPr>
        <w:t>ثم حمل على زجر قاتل أخيه، فقتله واستقبل القوم وجعل يضرب بسيفه ضرباً منكراً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عداة الله خلوا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الليث الهصور المكفهر</w:t>
      </w:r>
    </w:p>
    <w:p>
      <w:pPr>
        <w:pStyle w:val="BookText"/>
        <w:rPr/>
      </w:pP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 ولايفر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فيها كالجبان المنحجر</w:t>
      </w:r>
    </w:p>
    <w:p>
      <w:pPr>
        <w:pStyle w:val="BookText"/>
        <w:rPr/>
      </w:pPr>
      <w:r>
        <w:rPr>
          <w:rFonts w:ascii="Amiri" w:hAnsi="Amiri" w:eastAsia="Amiri" w:cs="Amiri"/>
          <w:color w:val="111111"/>
          <w:sz w:val="28"/>
          <w:sz w:val="28"/>
          <w:szCs w:val="28"/>
          <w:rtl w:val="true"/>
          <w:lang w:bidi="ar-SA"/>
        </w:rPr>
        <w:t>فلم يزل يُقاتل حتى قتل</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السيد الخوئي ينفي أن يكون من بين شهداء الطف مَن اسمه عمر بن علي، فبعد أن نقل عن ابن شهرآشوب قصة مخاصمة عمر بن علي عَلیه السَلام لعلي بن الحسين عَلیهِماالسَّلام في الصدقات، عند الوليد بن عبد الملك،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هذا الكلام، أن عمر بن علي كان باقياً إلى زمان الوليد بن عبد الملك، فكيف يمكن أن يكون من شهداء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التعدُّد مفقود؛ إذ الحاصون لأولاد أمير المؤمنين عَلیه السَلام ، لم يذكروا إلّا واحداً مسمَّى بعمر، وهذا هو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أضاف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ويؤكد ما ذكرناه أنه لم يذكر في المُستَشهَدين في واقعة الطف عمر بن علي في شيء من الكتب المعتمد عليها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وقد استبعد صاحب المُجدي القول بأن عمر الأصغر قد شهد حرب مصعب بن الزبير،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عمر بن علي الأصغر، ولا أعلم لهذه الرواية صحة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أنّ المقتول مع مصعب في المذار ليس هو عمر الأصغر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يوجد اثنان من أبناء أمير المؤمنين عَلیه السَلام قد اشتركا في حرب ابن الزبير وقُتلا في المذار، قال جعفر النقدي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عن عمر بن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وذهب بعض المؤرخين إلى أنه استُشهد في محاربة مصعب بن الزبير مع المختار الثقفي، وكان مع مصعب هو وأخوه عبيد الله فاستُشهدا جميعاً</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وهذا الرأي كما ترى مخالف لما هو المشهور من أنّ الذي قُتل مع مصعب في محاربة المختار هو شخص واحد من وُلْد أمير المؤمنين عَلیه السَلام وليس اثنين، فهذا الاحتمال بعيد جداً، ولا يستند إلى دليل 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الذي قُتل مع مصعب في معركة المذار سنة سبع وستين هو عبيد الله بن علي عَلیه السَلام ، ولكنه يُسمّى كذلك بعمر، وبهذا يمكن توجيه بعض الأقوال التي ذهبت إلى أنّ الذي قُتل في المذار اسمه عمر بن علي عَلیه السَلام ، وقد احتمل الذهبي أن يكون المقتول في سنة سبع وستين هو سميّ عمر، وليس هو عمر الأكبر،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علي قُتل مع مصعب بن الزبير أيام المختار،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أخوه وسميّه، وإنما المعروف أن الذي قُتل مع مصعب عبيد الله بن علي</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يؤيد هذا الاحتمال أيضاً تُشابه قصة مجيء عمر بن على إلى العراق ومقتله </w:t>
      </w:r>
      <w:bookmarkStart w:id="674" w:name="pg7540_66873"/>
    </w:p>
    <w:p>
      <w:pPr>
        <w:pStyle w:val="BookText"/>
        <w:rPr/>
      </w:pPr>
      <w:bookmarkEnd w:id="674"/>
      <w:r>
        <w:rPr>
          <w:rFonts w:ascii="Amiri" w:hAnsi="Amiri" w:eastAsia="Amiri" w:cs="Amiri"/>
          <w:color w:val="111111"/>
          <w:sz w:val="28"/>
          <w:sz w:val="28"/>
          <w:szCs w:val="28"/>
          <w:rtl w:val="true"/>
          <w:lang w:bidi="ar-SA"/>
        </w:rPr>
        <w:t>التي ذكرها الدينوري، مع قصة عبيد الله بن علي التي أوردها ابن سعد في الطبقات، إلّا أنّ هذا يبقى مجرد احتمال، لا تساعد عليه الأدلة، ولا يمكن التعويل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 على بطلان هذه الاحتمالات الأربعة في كون صاحب المذار هو عمر بن علي عَلیه السَلام ؛ يثبت أن الصحيح هو أنه عبيد الله بن علي عَلیه السَلام ابن ليلى النهشلية الأكبر، أخو عبد الله المعروف بأبي بكر الشهيد بكربلاء، وما تذكره بعض المصادر من أن صاحب المذار هو عبد الله، أو أنّ الشهيد بكربلاء هو عبيد الله، سببه تقارب الاسمين وسهولة حصول التصحيف بينهما كما ذكرنا</w:t>
      </w:r>
      <w:r>
        <w:rPr>
          <w:rFonts w:eastAsia="IRNazanin" w:cs="IRNazanin"/>
          <w:color w:val="111111"/>
          <w:sz w:val="28"/>
          <w:szCs w:val="28"/>
          <w:rtl w:val="true"/>
          <w:lang w:bidi="fa-IR"/>
        </w:rPr>
        <w:t>.</w:t>
      </w:r>
    </w:p>
    <w:p>
      <w:pPr>
        <w:pStyle w:val="Heading6"/>
        <w:numPr>
          <w:ilvl w:val="5"/>
          <w:numId w:val="1"/>
        </w:numPr>
        <w:rPr/>
      </w:pPr>
      <w:bookmarkStart w:id="675" w:name="__RefHeading___Toc2793190_1051229030"/>
      <w:bookmarkStart w:id="676" w:name="_Toc251"/>
      <w:bookmarkEnd w:id="675"/>
      <w:r>
        <w:rPr>
          <w:rtl w:val="true"/>
        </w:rPr>
        <w:t>مدينة المذار</w:t>
      </w:r>
      <w:bookmarkEnd w:id="676"/>
    </w:p>
    <w:p>
      <w:pPr>
        <w:pStyle w:val="BookText"/>
        <w:rPr/>
      </w:pPr>
      <w:r>
        <w:rPr>
          <w:rFonts w:ascii="IRNazanin" w:hAnsi="IRNazanin" w:eastAsia="IRNazanin"/>
          <w:color w:val="111111"/>
          <w:sz w:val="28"/>
          <w:sz w:val="28"/>
          <w:szCs w:val="28"/>
          <w:rtl w:val="true"/>
          <w:lang w:bidi="fa-IR"/>
        </w:rPr>
        <w:t>المدينة التي قُتل فيها عبيد الله بن علي عَلیه السَلام والتي أصبحت مكاناً لمرقده ومزاره تُدعى مدينة المذار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الميم، والذال المعجمة كسحاب اسم أعجمي، وقال الحموي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مخرج في العربية أن يكون اسم مكان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وهو يذره،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وذرته، أماتت العرب ماضيه،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وهو يدعه، فميمه على هذا زائدة، ويجوز أن تكون الميم أصلية؛ فيكون من مذرت البيضة إذا فسدت، ومذرت نفسه،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خبثت وغثت</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 xml:space="preserve">، وقال محمد بن عبد الله بن عبد المنعم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وسُمّيت بالمذار لفساد تربتها، والمذار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في الرائحة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ومدينة المذار من أهم مدن وقصبات ميسان، وكانت مدينة عامرة قبل مجيء </w:t>
      </w:r>
    </w:p>
    <w:p>
      <w:pPr>
        <w:pStyle w:val="BookText"/>
        <w:rPr/>
      </w:pPr>
      <w:r>
        <w:rPr>
          <w:rFonts w:ascii="Amiri" w:hAnsi="Amiri" w:eastAsia="Amiri" w:cs="Amiri"/>
          <w:color w:val="111111"/>
          <w:sz w:val="28"/>
          <w:sz w:val="28"/>
          <w:szCs w:val="28"/>
          <w:rtl w:val="true"/>
          <w:lang w:bidi="ar-SA"/>
        </w:rPr>
        <w:t>الإسلام إلى هذه المنطقة التي كانت تحت حكم الامبراطورية الفارسية، فتحها المسلمون بالقوة بعد معارك خاضوها مع الحكَّام في ذلك الوقت، واكتسبت أهميتها التاريخية من عدة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وقعت فيها معركة مهمة سنة اثنتي عشرة هجرية بين المسلمين بقيادة خالد بن الوليد وبين الأعاجم، وانتصر فيها المسلمون وقُتل من الأعاجم ثلاثون ألفاً، وغرق كثير منهم في الأنهار والمياه، وتُسمى أيضاً معركة الثني وهو النهر</w:t>
      </w:r>
      <w:r>
        <w:rPr>
          <w:rStyle w:val="FootnoteAnchor"/>
          <w:rtl w:val="true"/>
        </w:rPr>
        <w:footnoteReference w:id="591"/>
      </w:r>
      <w:r>
        <w:rPr>
          <w:rFonts w:ascii="Amiri" w:hAnsi="Amiri" w:eastAsia="Amiri" w:cs="Amiri"/>
          <w:color w:val="111111"/>
          <w:sz w:val="28"/>
          <w:sz w:val="28"/>
          <w:szCs w:val="28"/>
          <w:rtl w:val="true"/>
          <w:lang w:bidi="ar-SA"/>
        </w:rPr>
        <w:t>، ووقعت فيها أيضاً معركة المذار المهمة سنة سبع وستين بين مصعب والمختار كما ذكرنا، وكذلك كانت ساحة لمعارك وأحداث عديدة في التاريخ الإسلامي، كالمعارك التي خاضها الخوارج والعلويون والزنج وغيرهم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وتقع المذار على أحد فروع نهر دجلة بين واسط والبصرة، وبينها وبين البصرة مقدار أربعة أيام</w:t>
      </w:r>
      <w:r>
        <w:rPr>
          <w:rStyle w:val="FootnoteAnchor"/>
          <w:rtl w:val="true"/>
        </w:rPr>
        <w:footnoteReference w:id="592"/>
      </w:r>
      <w:r>
        <w:rPr>
          <w:rFonts w:ascii="Amiri" w:hAnsi="Amiri" w:eastAsia="Amiri" w:cs="Amiri"/>
          <w:color w:val="111111"/>
          <w:sz w:val="28"/>
          <w:sz w:val="28"/>
          <w:szCs w:val="28"/>
          <w:rtl w:val="true"/>
          <w:lang w:bidi="ar-SA"/>
        </w:rPr>
        <w:t>، وسمّاها اليعقوبي مدينة ميسان</w:t>
      </w:r>
      <w:r>
        <w:rPr>
          <w:rStyle w:val="FootnoteAnchor"/>
          <w:rtl w:val="true"/>
        </w:rPr>
        <w:footnoteReference w:id="593"/>
      </w:r>
      <w:r>
        <w:rPr>
          <w:rFonts w:ascii="Amiri" w:hAnsi="Amiri" w:eastAsia="Amiri" w:cs="Amiri"/>
          <w:color w:val="111111"/>
          <w:sz w:val="28"/>
          <w:sz w:val="28"/>
          <w:szCs w:val="28"/>
          <w:rtl w:val="true"/>
          <w:lang w:bidi="ar-SA"/>
        </w:rPr>
        <w:t xml:space="preserve">، ووصفها الشريف الإدريسي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بأنها من المدن التي تقع بالقرب من مدينة الأبلة المعروفة،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ويتصل بالأبلة المفتح والمذار، وهما مدينتان على مجاري الدجلة، والمفتح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صغيرة المقدار عامرة القطر حسنة البناء متحركة الأسواق، وليست من أُمهات البلاد، والداخل إليها والخارج منها كثير، ولها بساتين ومزارع ومتنزهات، ومنها إلى مدينة المذار مرحلة خفيفة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والمذار مدينة صغيرة تُشبه مدينة المفتح في مقدارها وتجانسها في مبانيها وآثارها، وبها من الأسواق والمصانع ما بالمفتح وأشف من ذلك، وأهلها متنافسون فيما بينهم، ولهم اهتمام بالأُمور وصيانة لما بين أيديهم من أموالهم وشح بيّن، ولها مزارع كثيرة وعمارات جليلة وغلاَّت رابحة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من هذه المدينة عدة شخصيات معروفة، عُرف كل واحد منهم بالمذاري، قال السمعاني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بهذه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الحسين بن المذاري، من هذا الموضع، سكن والده بغداد وولد له بها الأولاد، وأبو الحسن المذاري هذا كانت له ثروة ونعمة، سمع أبا الحسن علي بن أبي طالب المكي وأبا يعلي محمد بن الحسين بن الفرّاء، وأبا الحسين محمد بن أحمد بن الآبنوسي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أبو المعالي أحمد بن محمد بن الحسين بن المذاري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وأخوهما أبو السعود عبد الرحمن بن محمد بن الحسين بن المذاري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القدماء أبو جعفر محمد بن أحمد بن زيد المذاري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القدماء جناب بن الخشخاش المذاري، وَليَ القضاء بميسان والمذار</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أصحاب الأئمة علیهم السلام مَن عُرف بهذه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بن معروف أبو إسحاق المذاري، 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 أصحابنا، ثقة، روى عن أبي علي محمد بن علي بن همام ومَن كان في طبقته، له كتاب المزار</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العلاء المذاري أبو محمد،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وجوه أصحابنا،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كتاب الوصايا،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لمحمد بن عيسى بن عبيد، وهو رواه عنه، وله كتاب النوادر كبير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677" w:name="pg7540_66876"/>
    </w:p>
    <w:p>
      <w:pPr>
        <w:pStyle w:val="BookText"/>
        <w:rPr/>
      </w:pPr>
      <w:bookmarkEnd w:id="677"/>
      <w:r>
        <w:rPr>
          <w:rFonts w:ascii="Amiri" w:hAnsi="Amiri" w:eastAsia="Amiri" w:cs="Amiri"/>
          <w:color w:val="111111"/>
          <w:sz w:val="28"/>
          <w:sz w:val="28"/>
          <w:szCs w:val="28"/>
          <w:rtl w:val="true"/>
          <w:lang w:bidi="ar-SA"/>
        </w:rPr>
        <w:t>وهكذا ظلت مدينة المذار عامرة قائمة لمدة قرون عديدة إلى ما بعد سقوط الدولة العباسية، ولكنها في الفترات اللاحقة يبدو أنها أصابها الخراب وأخذت بالاندراس وهجرها أهلها؛ ولعل السبب في ذلك يعود إلى الكوارث الطبيعية من الفيضانات أو القحط أو غير ذلك، وفي الوقت الحاضر ظهرت بالقرب من هذه المنطقة مدن أُخرى كمدينة العُزير، وشطرة العمارة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صالح</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2793192_1051229030"/>
      <w:bookmarkStart w:id="679" w:name="_Toc252"/>
      <w:bookmarkEnd w:id="678"/>
      <w:r>
        <w:rPr>
          <w:rtl w:val="true"/>
        </w:rPr>
        <w:t>القسم الثاني</w:t>
      </w:r>
      <w:r>
        <w:rPr>
          <w:rtl w:val="true"/>
        </w:rPr>
        <w:t xml:space="preserve">: </w:t>
      </w:r>
      <w:r>
        <w:rPr>
          <w:rtl w:val="true"/>
        </w:rPr>
        <w:t>مرقد عبيد الله</w:t>
      </w:r>
      <w:bookmarkEnd w:id="679"/>
    </w:p>
    <w:p>
      <w:pPr>
        <w:pStyle w:val="BookText"/>
        <w:rPr/>
      </w:pPr>
      <w:r>
        <w:rPr>
          <w:rFonts w:ascii="IRNazanin" w:hAnsi="IRNazanin" w:eastAsia="IRNazanin"/>
          <w:color w:val="111111"/>
          <w:sz w:val="28"/>
          <w:sz w:val="28"/>
          <w:szCs w:val="28"/>
          <w:rtl w:val="true"/>
          <w:lang w:bidi="fa-IR"/>
        </w:rPr>
        <w:t>لقد ثبت من خلال الأبحاث المتقدمة أنّ الذي قُتل في معركة المذار هو عبيد الله بن علي عَلیه السَلام ، ودُفن في تلك المنطقة، ونظراً لتواجد وانتشار أتباع أهل البيت علیهم السلام في تلك البلاد وحبهم وولائهم لأهل البيت علیهم السلام ؛ فمن الطبيعي أن يهتمّ به سكان تلك المنطقة، ويعمدون إلى إكرامه وتجليله؛ لكونه ابن أمير المؤمنين عَلیه السَلام ، ومن أوضح مظاهر إكرامه واحترامه هو تشييد قبره وبنائه على أفضل ما يكون، ونحن لا نمتلك أدلة تاريخية على الوقت الذي شُيّد فيه قبر عبيد الله، والذي لا بد أن يكون أنه قد مرّ بمراحل متعددة من البناء والتوسعة، ولعل الدولة البويهية هي مَن ساهم في بنائه؛ لأنها اهتمّت ببناء وتجديد أضرحة الأئمة وأبنائهم في العراق، ولكن لم نعثر على شواهد تؤيد ذلك، ولعل أفضل ما نملكه هو ما صرّح به ياقوت الحموي في معجم البلدان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وبها مشهد عامر كبير جليل عظيم، قد أُنفِق على عمارته الأموال الجليلة، وعليه الوقوف، وتُساق إليه النذور، وهو قبر عبد الله بن علي بن أبي طالب</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كلام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القرن السادس والسابع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مشهد عامر وكبير وجليل وعظيم، وأنّ هذا المرقد قد مرّ على بنائه وتشييده زمن </w:t>
      </w:r>
    </w:p>
    <w:p>
      <w:pPr>
        <w:pStyle w:val="BookText"/>
        <w:rPr/>
      </w:pPr>
      <w:r>
        <w:rPr>
          <w:rFonts w:ascii="Amiri" w:hAnsi="Amiri" w:eastAsia="Amiri" w:cs="Amiri"/>
          <w:color w:val="111111"/>
          <w:sz w:val="28"/>
          <w:sz w:val="28"/>
          <w:szCs w:val="28"/>
          <w:rtl w:val="true"/>
          <w:lang w:bidi="ar-SA"/>
        </w:rPr>
        <w:t>طويل حتى أصبح بهذه الصفات التي يصفه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أنه يحظى بمكانة عظيمة من خلال توافد الناس عليه وبذل الأوقاف له، وإعطاء النذور والهدايا، ومن الدلائل على أهمية هذا المرقد ومكانته هو ما يحويه من الأشياء الثمينة والنفيسة، والتي منها وجود مصحف بخط أمير المؤمنين عَلیه السَلام على ما ينقل ذلك النسابة 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رأيت أنا مصحفاً بالمذار في مشهد عبيد الله بن علي بخط أمير المؤمنين عَلیه السَلام في مجلد واحد، في آخره بعد تمام كتابة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كتبه علي بن أبي طالب</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الطبيعي أن يتعرّض المرقد مع مرور الزمن إلى المتغيرات الطبيعية وغير الطبيعية، فيتعرض إلى الهدم والتخريب، خصوصاً بعد تعرّض مدينة المذار إلى الاندراس وخلوّ المنطقة من السكان إلّا القليل منهم، وينقل بعض الباحثين أن المرقد لحقه الاندراس بعد خراب مدينة المذار وظل متروكاً منذ عام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منتصف القرن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الميلادي، حيث حضر جماعة من قبيلة عنزة البكرية العدنانية، أُطلق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القيّمون، فقاموا بترميم وإعادة بناء المرقد بمساعدة أهل الخير وأصبحوا سدنته إلى اليوم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المرقد الآن في الموقع الذي كانت عليه مدينة المذار المندرسة في المقاطعة المُسمّاة الشط الشرقي التابعة إلى مدينة العُزير، وهو يقع على أحد فرعي نهر دجلة بين مدينة العُزير وقلعة صالح، ويبعد عن قضاء قلعة صالح بحدود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كيلو متراً، وتُسمَّى </w:t>
      </w:r>
    </w:p>
    <w:p>
      <w:pPr>
        <w:pStyle w:val="BookText"/>
        <w:rPr/>
      </w:pPr>
      <w:r>
        <w:rPr>
          <w:rFonts w:ascii="Amiri" w:hAnsi="Amiri" w:eastAsia="Amiri" w:cs="Amiri"/>
          <w:color w:val="111111"/>
          <w:sz w:val="28"/>
          <w:sz w:val="28"/>
          <w:szCs w:val="28"/>
          <w:rtl w:val="true"/>
          <w:lang w:bidi="ar-SA"/>
        </w:rPr>
        <w:t>المنطقة باسمه</w:t>
      </w:r>
      <w:r>
        <w:rPr>
          <w:rStyle w:val="FootnoteAnchor"/>
          <w:rtl w:val="true"/>
        </w:rPr>
        <w:footnoteReference w:id="602"/>
      </w:r>
      <w:r>
        <w:rPr>
          <w:rFonts w:ascii="Amiri" w:hAnsi="Amiri" w:eastAsia="Amiri" w:cs="Amiri"/>
          <w:color w:val="111111"/>
          <w:sz w:val="28"/>
          <w:sz w:val="28"/>
          <w:szCs w:val="28"/>
          <w:rtl w:val="true"/>
          <w:lang w:bidi="ar-SA"/>
        </w:rPr>
        <w:t>، وهي منطقة زراعية، ويبعد المرقد عن الشارع الرئيس الذي يربط محافظة ميسان بالبصرة بحوالي عشرة كيلو مترات على أرض مرتفعة نسبياً، مساحة الصحن</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وعندما ندخل من الباب الرئيسي للصحن نشاهد على جانبيه أواوين عديدة تستخدم لراحة الزوّار، ثم بعد ذلك نتوجّه إلى المرقد الذي تبلغ مساحته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 ويكون الدخول من بابين من الخشب يوصلان إلى رواق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ثم ندخل من باب كبير مقوس من الأعلى إلى غرفة المرقد، والتي مساحتها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متر، وتحتوي على أربعة أبواب كبيرة تصل جميعها إلى الرواق الخارجي المسقَّف، وهو مصلى للرجال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وتعلو غرفة المرقد قبَّة كبيرة بارتفاع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زيّنت من الخارج بالقاشاني الكربلائي، وتحت القبَّة شبَّاك من خشب الصاج 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متراً، داخله ضريح السيد عبيد الله بن الإمام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وتُحيط بجدار المرقد من الداخل كتابات من آي الذكر الحكيم، وهي مكتوبة على القاشاني وبشكل جميل، كما يوجد خارج الصحن بعض المحالّ التجارية والدكاكين لبعض الباعة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آخر تعمير لهذا المرقد في 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نفقة القيمين وأهل الخير</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الثَّورة الحسينيَّة دراسة في الأهداف والدوافع، مجلة المنهاج، السنة الثامنة، ربيع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ومضى في أمره بعزم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محمد محسن،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علیه 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الحلي، محمد بن جعفر،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حسن، منهج البحث التاريخي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قراملكي، أحمد فرامرز، روش شناسي مطالعات ديني،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الموضوع هو الحدث الصادر في الزمن الماضي، والذي له تداعياته على المستقبل</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ماري أرويه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François-Marie Arouet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باسم فولتير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بالفرنسية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Voltaire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فولتير هو اسمه المستعار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فرنسي عاش في عصر التنوير، وهو أيضاً كاتب وفيلسوف ذاع صيته بسبب سخريته الفلسفية الظريفة، ودفاعه عن الحريات المدنية، خاصة حرية العقيدة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قراملكي، أحمد فرامرز، روش شناسي مطالعات ديني،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خاكي، غلام رضا، روش تحقيق در مديريت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العالم البولندي نيكولاس كوبرنيكوس الَّذِي تبنّى فكرة وجود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كجسم ثابت في مركز المجموعة 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كانت هذه النظرية تعدُّ ثورةً تغييرية في علم الفلك وما يرتبط به، أُطلقت الثورة الكوبرنيكية على كلّ اكتشافٍ أو فكرةٍ تؤدّي إلى تغيير جذريٍّ في مجالها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أحمد، جلال، سركهٔ نقد يا حلواي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نعني بالمستقبل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كذلك بالنسبة لوقت صدور الحدث التاريخي، وإنْ كان بالنسبة للباحث قد يكون ماضياً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مقالة للأديب السوري الراحل الأستاذ حافظ الجمالي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التطوّر العقلي والتطوّر العاطفي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هذا السؤال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المعرفة الصادرة عن وزارة الثقافة والإرشاد السوري، العدد الحادي عشر، كانون الثاني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الفناري، محمد بن حمزة، مصباح الأنس بين المعقول والمشهود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تصحيح وتقديم محمد خواجوي، مع تعليقات لمجموعة من العلماء</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ورد في الخبر عن 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سُمِّيَتْ فَاطِمَةُ؛ لأَنَّ الخَلْقَ فُطِمُوا عَنْ مَعْرِفَتِهَا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مسلم،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الموسوي، محمد بن أبي طالب، تسلية المُجالس وزينة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المشهدي،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العصفري، خليفة بن خياط،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نما،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بعض المفكرين مسألة استلام الحكم من دوافع وأهداف الثورة الحسينيّة، في معرض حديثه عن الأهداف والدوافع المتصوّرة وما هو الصحيح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محمود، محاضرات في الثورة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ابن شعبة،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محمود، محاضرات في الثورة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 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 علي بن أبي الفتح، 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بن بابويه،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نما،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طقوش، تاريخ 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طقوش، تاريخ الدولة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بن بابويه،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نما،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يكونوا أذلّ فرق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نما،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ميرزا حسين،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بن بابويه،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بن بابويه،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طقوش، تاريخ 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ابن شعبة،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آیۀ </w:t>
      </w:r>
      <w:r>
        <w:rPr>
          <w:rFonts w:eastAsia="IRNazanin" w:cs="IRNazanin"/>
          <w:b w:val="false"/>
          <w:bCs w:val="false"/>
          <w:i w:val="false"/>
          <w:iCs w:val="false"/>
          <w:color w:val="333333"/>
          <w:sz w:val="20"/>
          <w:szCs w:val="20"/>
        </w:rPr>
        <w:t>11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بطل فخ، وهو الحسين بن علي بن الحسن المثلث ابن الحسن المثنى بن الحسن السبط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ثار في زمن الهادي العباسي سنة مائة وتسع وستين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ميثم البحراني</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عاد إلى التفدية، وهى كلمة معتادة للعرب تُقال لِمَن يعزّ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ابن ميثم،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محمد صالح، 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المازندراني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المجرّد المعلوم جملة دعائية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استنقذتك من البلية بنفسي ومالي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فداه من الأسر فداءً وفدًى، استنقذه منه بمال، والفدية اسم ذلك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محمد صالح، 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بأبي وأمي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الباء تتعلَّق بمحذوف، إمّا اسم، فيكون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مُفدى بأبي وأمي، وإمّا فعل، فالتقدير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فديتك بأبي، وحُذف تخفيفاً؛ لكثرة الاستعمال، وعِلم المخاطب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تقي، 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والدال والحرف المعتل كلمتان متباينتان جداً، فالأُولى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شيء مكان شيء حمىً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فالأُولى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فديته أفديه، كأنّك تحميه بنفسك أو بشيء يعوِّض عنه،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فداؤك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كُسرت مددت، وإذا فُتحت قُصرت،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عمدة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هداية الأُمّة إلى أحكام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الصدوق رحمة الله في مقدِّمة كتاب مَن لا يحضره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أقصد فيه قصد المصنِّفين في إيراد جميع ما رووه، بل قصدت إلى إيراد ما أُفتي به وأحكم بصحّته، وأعتقد فيه أنّه حجّة فيما بيني وبين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محمد باقر، حاشية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المشهدي،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المشهدي، محمد بن جعفر،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السيد السبزواري رحمة الله في مهذّب الأحكام، إلى أنّ الإمام علیه السَّلام إنّما يُعلّم أصحابه؛ حيث قال رحمة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زيارة الشهداء فلِما ورد في تعليم الصادق علیه السَّلام كيفيّة زيارة الحسين علیه السَّلام ليونس بن ظبيان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 عصمة الأنبياء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لوط بن يحيى، مقتل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تقي، 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البحراني في كتابه العوالم تعليقاً على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أُورد على هذا الخبر إعضال، وهو أنّه إذا كان المراد بالذبح العظيم قتل الحسين علیه السَّلام ، لا يكون المُفدى عنه أجلّ رتبة من المَفدى به، فإنّ أئمتنا علیهم السلام أشرف من أُولي العزم علیهم السلام ، فكيف من غيرهم؟ مع أنّ الظاهر من استعمال لفظ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التعويض عن الشيء بما دونه في الخِطَر والشرف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محمد صالح، 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مهج الدعوات ومنهج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رسول الله صلی الله علیه و آله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يا علي، فديتك فاخطب لنفسك؛ فإنّ هذا يوم كرامتك عند الله وعند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تكرّر قول رسول الله صلی الله علیه و آله لأمير المؤمنين علیه السَّلام هذه العبارة، إذ إنه صلی الله علیه و آله قال لأمير المؤمنين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فديتك يا علي، بل الشاهد يرى ما لا يرى الغائب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ابن جرير،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لوط بن يحيى، مقتل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نصوص معاصرة، العدد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ميرزا حسين،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البهبهاني، محمد باقر، تعليقة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النمازي الشاهرودي، علي،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 بن إبراهيم،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صحيح؛ إذ إنّ علي بن إبراهيم وأباه ثقتان، وبكر بن محمّد هو الأزدي الغامدي، قال عنه السيد الخوئي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الرحمن بن نعيم الأزدي الغامدي،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والكاظم والرضا، له أصل، رُوى في تفسير القمي وكامل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من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نصوص معاصرة، العدد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النمازي الشاهرودي، علي،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عرفانيان، غلام رضا، مشايخ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نصوص معاصرة، العدد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القمّي،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الحسن بن محمد،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نصوص معاصرة، العدد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صحيح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نصوص معاصرة، العدد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صحيح؛ حيث إنّ وهيب بن حفص النحاس كما ذكر السيد الخوئي في المعجم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وهيب بن حفص الذي نصّوا على وثاقته وليس متعدداً</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صحيحة الإسناد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صحيحة السند، وقد تقدم تراجم رواتها ضمن الصفحات السابقة</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الرواية صحيحة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معتبر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نصوص معاصرة، العدد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نصوص معاصرة، العدد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 معرفة الإمام والرد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صحيحة السند</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معرفة الإمام والرد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صحيحة السند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حسنة الإسناد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المجلسي 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بسنديه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صحيحة الإسناد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صحيحة الإسناد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معرفة الإمام والرد إليه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النفرة والتقطع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معاصرة، العدد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 هيئة التحرير في مجلّة الإصلاح الحسيني بإجراء بعض التغييرات على الترجمة بما يناسب طريقة وأُسلوب المقال باللغة العربية</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أرثر هاردينغ، خاطرات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دروويل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جواد محبی، طهران، گوتنبرگ،</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الخشبة والعصا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کناية عن حبّه المفرط فی ضرب الناس ومن دون أي سبب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نقلاً عن نصر الله 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شاه عباس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نقلاً عن نصر الله 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شاه عباس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دينغار سيا دسيلوا فيغوئروا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سفير فرنسا في إيران في عهد الملك شاه عباس الأول، ترجمة غلام رضا سهيلي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نشر نور،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فيغوئرا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منوشهر أميري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القساوسة الإنجليز فی عهد الثورة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هنت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مشاهدات من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غرترودبل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بزرگ مهر رياحي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 الناس والمناظر في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مشاهدات من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غرترودبل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بزرگ مهر رياحي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القساوسة الإنجليز فی عهد الثورة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الدراويش</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بيتر دلاواله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شجاع الدين 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الترجمة والنشر،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قائد القوات المسلحة أو أمير الأُمراء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طفلَي مسلم بن عقيل علیه السَّلام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فيغوئرا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اليوم، يوجين أوبن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ليدی 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مرّ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مکان خاص يُقام فيه العزاء، کالحسينية</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والطقوس في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مادام کارلاسرنا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أرنست أورسل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أصغر سعيدي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زوار، طهران،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سنوات في آسيا، 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دوغوبينو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عبد الرضا هوشنگ مهدوي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سرا،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ريشاردز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مهين دخت 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بنگاه ترجمه ونشر کتاب، طهران،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محمود صبحي، نظرية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الفتنة الكبرى علي وبنوه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الهلابي، عبد العزيز صالح، عبد الله بن سبأ دراسة للروايات التاريخية عن دوره في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الخليلي، جواد جعفر، من حياة الخليفة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ابن قتيبة،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ومعادن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http://www.youtube.com/watch?v=pi0mtwMjhic</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مسلم،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مسلم،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طرقه وألفاظه الأميني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العربي،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إبراهيم بن محمد الثقفي،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أبو حامد، 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كشكول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محمود، 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ذلك من محضر درس سماحة الشيخ محمد السند، في محاضرة خاصة حول عاشوراء</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ذلك أيضاً من محضر درس سماحته، في محاضرات خاصة حول عاشوراء</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عبد الله بن محمد، أنوار التنزيل وأسرار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الشيخ الفضل بن الحسن، 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تفسير الكاشف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الشيرازي، ناصر مكارم،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محسن،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ناصر مكارم، 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التبريزي، جواد، الأنوار الإلهية في المسائل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ناصر مكارم،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علیه السَّلام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 علي بن محمد،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موسى،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فخر الدين،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محمد صادق، أضواء على ثورة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محمد صادق، أضواء على ثورة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محمد صادق، أضواء على ثورة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صراط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السيد السيستاني الرسمي، أسئلة حول الشعائر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جواد،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والقصيدة للشيخ حسن قطفان النجفي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نصار، محمد بن نصار، النصاريات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علي بن أسباط، ضمن كتاب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ميرزا حسين،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المشهدي،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يوسف بن حاتم،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 علي بن أبي الفتح،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علي،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المروّج الجزائري، محمد جعفر، منتهى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السيستاني، علي، استفتاءات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رقم السؤال</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محمد بن عبد الله،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 في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الحنبلي، مناقب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الإتقان في علوم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الحسكاني،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والأصبهاني، أبو نعيم،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والخوارزمي،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والكنجي الشافعي،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الهيتمي،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الأصبهاني، أبو نعيم،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كاشف الغطاء،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الحراني،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الرحمن بن يحيى بن علي بن محمد المعلمي العتمي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العلماء،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عتمة،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ونشأ في عتمة، وتردّد إلى بلاد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 تعز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وتعلّم بها، تولّى رئاسة القضاة ولُقّب بشيخ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إلى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فعُيّن أميناً لمكتبة الحرم المكي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شوهد فيها منكباً على بعض الكتب وقد فارق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تُوفّي على سريره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تصانيف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طليعة التنكيل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التنكيل بما في تأنيب الكوثري من الأباطيل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الكاشفة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الردّ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لمحمود أبي 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محاضرة في كتب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المعلمي، الفوائد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 الأبواب إلّا باب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الحديث ضعّفه جملة من علماء أهل السنّة، ولكن تأبى بعض الأقلام والعقول إلا أن تنطق بالحقّ، وابن حجر انطلق من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كثرة الطرق والمتابعات تقوّي الحديث وترتقي به إلى الحسن والاعتبار</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القول المسدّد في الذبّ 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ابن حجر عن أحاديث المصابيح، المطبوع ضمن كتاب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مجموع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اللكنوي، الرفع والتكميل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التهانوي، قواعد في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محمد بن عقيل، العتب الجميل على أهل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الصديق الغماري، فتح الملك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 تاج الدين، 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 حسن بن فرحان، قراءة في كتب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 فتح المغيث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 فتح الملك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التهانوي، قواعد في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الزيلعي، نصب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القول المسدّد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الكاشف في معرفة مَن له رواية في الكتب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العجمي، التبيين لأسماء المدلسين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التهانوي، قواعد في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 فتح الملك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علي ناصف، غاية المأمول في شرح التاج الجامع للأُصول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نقلاً عن القندوزي الحنفي،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الأصبهاني في منقبة المطهرين أهل بيت محمد سيد الأوّلين والآخرين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تهذيب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اللآلئ المصنوعة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المحاسن،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والسبكي، 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الفيض الغماري، المداوي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العقيدة الإسلامية على ضوء مدرسة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بداية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 العقيدة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نصير الدين،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مختصر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مختصر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شرح 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الدنيا، مقتل أمير المؤمنين علیه السَّلام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العزيز الطباطبائي، مطبوع في 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محمد بن سليمان، مناقب الإمام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إبراهيم بن محمد،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والحجلة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حجال العروس، وهي بيت يُزيَّن بالثياب والأسرَّة والستور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ابن أبي شيبة،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مقدمة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على بن محمد، المجدي في أنساب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النمازي الشاهرودي، علي،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الأصفهانى،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الأصفهانى،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نقلاً عن إثبات الوصية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 ابن أبي الفتح،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إدريس،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ولكن 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 أبي بكر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الدنيا، مقتل أمير المؤمنين علیه السَّلام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العزيز الطباطبائي، مطبوع في 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الفصول المهمة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الأصفهانى،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أحمد بن أعثم، كتاب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نقلاً عن مقتل الحسين للموفق الخوارزمي</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على بن محمد، المجدي في أنساب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أحمد بن أعثم، كتاب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الأصفهانى،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العصفري، خليفة بن خياط،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على بن محمد، المُجدي في أنساب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المصبوغة بالعصفر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نوع من النبات تصبغ به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البغدادي، 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علي النمازي،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علي بن محمد، المُجدي في أنساب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النقدي، جعفر، 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عبد الله بن عبد المنعم بن عبد النور، أبو عبد الله الحميري، عالم بالبلدان والسير والأخبار، أندلسي، من أهل سبتة،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 في خبر 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محمد بن عبد الله، الروض المعطار في خبر 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الشريف الإدريسي، محمد بن محمد، بن عبد الله بن إدريس، بن يحيى بن علي، بن حمود بن ميمون، بن أحمد بن علي، بن عبيد الله، بن عمر بن إدريس، بن عبد الله بن الحسن، بن الحسن بن علي بن أبي طالب،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نزهة المشتاق في اختراق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محمد هذا في أصحاب رجار الفرنجي صاحب صقلية، وكان أديباً ظريفاً شاعراً مغري بعلم الجغرافيا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الإدريسي، نزهة المشتاق في اختراق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ثامر عبد الحسين، المراقد والمزارات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حسين حرز الدين، مراقد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ثامر عبد الحسين، المراقد والمزارات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footnotes" Target="footnotes.xml"/><Relationship Id="rId351" Type="http://schemas.openxmlformats.org/officeDocument/2006/relationships/numbering" Target="numbering.xml"/><Relationship Id="rId352" Type="http://schemas.openxmlformats.org/officeDocument/2006/relationships/fontTable" Target="fontTable.xml"/><Relationship Id="rId353" Type="http://schemas.openxmlformats.org/officeDocument/2006/relationships/settings" Target="settings.xml"/><Relationship Id="rId3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50803</Words>
  <Characters>228210</Characters>
  <CharactersWithSpaces>277820</CharactersWithSpaces>
  <Paragraphs>1419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2026-08-27T09:59:18Z</dcterms:created>
  <dc:creator>ghaemiyeh.com</dc:creator>
  <dc:description/>
  <dc:language>en-US</dc:language>
  <cp:lastModifiedBy/>
  <dcterms:modified xsi:type="dcterms:W3CDTF">2026-08-27T13:29:28Z</dcterms:modified>
  <cp:revision>1</cp:revision>
  <dc:subject/>
  <dc:title>الاصلاح الحسینی 4 انما خرجت لطلب الاصلاحِ فی امه جدی</dc:title>
</cp:coreProperties>
</file>

<file path=docProps/custom.xml><?xml version="1.0" encoding="utf-8"?>
<Properties xmlns="http://schemas.openxmlformats.org/officeDocument/2006/custom-properties" xmlns:vt="http://schemas.openxmlformats.org/officeDocument/2006/docPropsVTypes"/>
</file>