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الحبوة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1846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8184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81850_1051229030">
            <w:r>
              <w:rPr>
                <w:webHidden/>
                <w:rStyle w:val="IndexLink"/>
                <w:rtl w:val="true"/>
              </w:rPr>
              <w:t>مقدّمة التحقيق</w:t>
            </w:r>
            <w:r>
              <w:rPr>
                <w:rStyle w:val="IndexLink"/>
                <w:rtl w:val="true"/>
              </w:rPr>
              <w:tab/>
            </w:r>
            <w:r>
              <w:rPr>
                <w:rStyle w:val="IndexLink"/>
              </w:rPr>
              <w:t>7</w:t>
            </w:r>
          </w:hyperlink>
        </w:p>
        <w:p>
          <w:pPr>
            <w:pStyle w:val="Contents3"/>
            <w:tabs>
              <w:tab w:val="clear" w:pos="8459"/>
              <w:tab w:val="right" w:pos="9026" w:leader="dot"/>
            </w:tabs>
            <w:rPr/>
          </w:pPr>
          <w:hyperlink w:anchor="__RefHeading___Toc1981852_1051229030">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981854_1051229030">
            <w:r>
              <w:rPr>
                <w:webHidden/>
                <w:rStyle w:val="IndexLink"/>
                <w:rtl w:val="true"/>
              </w:rPr>
              <w:t>مقدّمة التحقيق</w:t>
            </w:r>
            <w:r>
              <w:rPr>
                <w:rStyle w:val="IndexLink"/>
                <w:rtl w:val="true"/>
              </w:rPr>
              <w:tab/>
            </w:r>
            <w:r>
              <w:rPr>
                <w:rStyle w:val="IndexLink"/>
              </w:rPr>
              <w:t>9</w:t>
            </w:r>
          </w:hyperlink>
        </w:p>
        <w:p>
          <w:pPr>
            <w:pStyle w:val="Contents3"/>
            <w:tabs>
              <w:tab w:val="clear" w:pos="8459"/>
              <w:tab w:val="right" w:pos="9026" w:leader="dot"/>
            </w:tabs>
            <w:rPr/>
          </w:pPr>
          <w:hyperlink w:anchor="__RefHeading___Toc1981856_1051229030">
            <w:r>
              <w:rPr>
                <w:webHidden/>
                <w:rStyle w:val="IndexLink"/>
                <w:rtl w:val="true"/>
              </w:rPr>
              <w:t xml:space="preserve">الفصل الأوّل </w:t>
            </w:r>
            <w:r>
              <w:rPr>
                <w:rStyle w:val="IndexLink"/>
                <w:rtl w:val="true"/>
              </w:rPr>
              <w:t>:</w:t>
            </w:r>
            <w:r>
              <w:rPr>
                <w:rStyle w:val="IndexLink"/>
                <w:rtl w:val="true"/>
              </w:rPr>
              <w:t>ترجمة المؤلّف قدس‌سره</w:t>
            </w:r>
            <w:r>
              <w:rPr>
                <w:rStyle w:val="IndexLink"/>
                <w:rtl w:val="true"/>
              </w:rPr>
              <w:tab/>
            </w:r>
            <w:r>
              <w:rPr>
                <w:rStyle w:val="IndexLink"/>
              </w:rPr>
              <w:t>10</w:t>
            </w:r>
          </w:hyperlink>
        </w:p>
        <w:p>
          <w:pPr>
            <w:pStyle w:val="Contents4"/>
            <w:tabs>
              <w:tab w:val="clear" w:pos="8176"/>
              <w:tab w:val="right" w:pos="9026" w:leader="dot"/>
            </w:tabs>
            <w:rPr/>
          </w:pPr>
          <w:hyperlink w:anchor="__RefHeading___Toc1981858_1051229030">
            <w:r>
              <w:rPr>
                <w:webHidden/>
                <w:rStyle w:val="IndexLink"/>
                <w:rtl w:val="true"/>
              </w:rPr>
              <w:t>اسمه و نسبه</w:t>
            </w:r>
            <w:r>
              <w:rPr>
                <w:rStyle w:val="IndexLink"/>
                <w:rtl w:val="true"/>
              </w:rPr>
              <w:tab/>
            </w:r>
            <w:r>
              <w:rPr>
                <w:rStyle w:val="IndexLink"/>
              </w:rPr>
              <w:t>10</w:t>
            </w:r>
          </w:hyperlink>
        </w:p>
        <w:p>
          <w:pPr>
            <w:pStyle w:val="Contents4"/>
            <w:tabs>
              <w:tab w:val="clear" w:pos="8176"/>
              <w:tab w:val="right" w:pos="9026" w:leader="dot"/>
            </w:tabs>
            <w:rPr/>
          </w:pPr>
          <w:hyperlink w:anchor="__RefHeading___Toc1981860_1051229030">
            <w:r>
              <w:rPr>
                <w:webHidden/>
                <w:rStyle w:val="IndexLink"/>
                <w:rtl w:val="true"/>
              </w:rPr>
              <w:t>مولده و نشأته</w:t>
            </w:r>
            <w:r>
              <w:rPr>
                <w:rStyle w:val="IndexLink"/>
                <w:rtl w:val="true"/>
              </w:rPr>
              <w:tab/>
            </w:r>
            <w:r>
              <w:rPr>
                <w:rStyle w:val="IndexLink"/>
              </w:rPr>
              <w:t>11</w:t>
            </w:r>
          </w:hyperlink>
        </w:p>
        <w:p>
          <w:pPr>
            <w:pStyle w:val="Contents4"/>
            <w:tabs>
              <w:tab w:val="clear" w:pos="8176"/>
              <w:tab w:val="right" w:pos="9026" w:leader="dot"/>
            </w:tabs>
            <w:rPr/>
          </w:pPr>
          <w:hyperlink w:anchor="__RefHeading___Toc1981862_1051229030">
            <w:r>
              <w:rPr>
                <w:webHidden/>
                <w:rStyle w:val="IndexLink"/>
                <w:rtl w:val="true"/>
              </w:rPr>
              <w:t>والده قدس‌سره</w:t>
            </w:r>
            <w:r>
              <w:rPr>
                <w:rStyle w:val="IndexLink"/>
                <w:rtl w:val="true"/>
              </w:rPr>
              <w:tab/>
            </w:r>
            <w:r>
              <w:rPr>
                <w:rStyle w:val="IndexLink"/>
              </w:rPr>
              <w:t>11</w:t>
            </w:r>
          </w:hyperlink>
        </w:p>
        <w:p>
          <w:pPr>
            <w:pStyle w:val="Contents4"/>
            <w:tabs>
              <w:tab w:val="clear" w:pos="8176"/>
              <w:tab w:val="right" w:pos="9026" w:leader="dot"/>
            </w:tabs>
            <w:rPr/>
          </w:pPr>
          <w:hyperlink w:anchor="__RefHeading___Toc1981864_1051229030">
            <w:r>
              <w:rPr>
                <w:webHidden/>
                <w:rStyle w:val="IndexLink"/>
                <w:rtl w:val="true"/>
              </w:rPr>
              <w:t>أولاده</w:t>
            </w:r>
            <w:r>
              <w:rPr>
                <w:rStyle w:val="IndexLink"/>
                <w:rtl w:val="true"/>
              </w:rPr>
              <w:tab/>
            </w:r>
            <w:r>
              <w:rPr>
                <w:rStyle w:val="IndexLink"/>
              </w:rPr>
              <w:t>14</w:t>
            </w:r>
          </w:hyperlink>
        </w:p>
        <w:p>
          <w:pPr>
            <w:pStyle w:val="Contents4"/>
            <w:tabs>
              <w:tab w:val="clear" w:pos="8176"/>
              <w:tab w:val="right" w:pos="9026" w:leader="dot"/>
            </w:tabs>
            <w:rPr/>
          </w:pPr>
          <w:hyperlink w:anchor="__RefHeading___Toc1981866_1051229030">
            <w:r>
              <w:rPr>
                <w:webHidden/>
                <w:rStyle w:val="IndexLink"/>
                <w:rtl w:val="true"/>
              </w:rPr>
              <w:t>كلمات العلماء في حقّه</w:t>
            </w:r>
            <w:r>
              <w:rPr>
                <w:rStyle w:val="IndexLink"/>
                <w:rtl w:val="true"/>
              </w:rPr>
              <w:tab/>
            </w:r>
            <w:r>
              <w:rPr>
                <w:rStyle w:val="IndexLink"/>
              </w:rPr>
              <w:t>16</w:t>
            </w:r>
          </w:hyperlink>
        </w:p>
        <w:p>
          <w:pPr>
            <w:pStyle w:val="Contents4"/>
            <w:tabs>
              <w:tab w:val="clear" w:pos="8176"/>
              <w:tab w:val="right" w:pos="9026" w:leader="dot"/>
            </w:tabs>
            <w:rPr/>
          </w:pPr>
          <w:hyperlink w:anchor="__RefHeading___Toc1981868_1051229030">
            <w:r>
              <w:rPr>
                <w:webHidden/>
                <w:rStyle w:val="IndexLink"/>
                <w:rtl w:val="true"/>
              </w:rPr>
              <w:t>كراماته</w:t>
            </w:r>
            <w:r>
              <w:rPr>
                <w:rStyle w:val="IndexLink"/>
                <w:rtl w:val="true"/>
              </w:rPr>
              <w:tab/>
            </w:r>
            <w:r>
              <w:rPr>
                <w:rStyle w:val="IndexLink"/>
              </w:rPr>
              <w:t>20</w:t>
            </w:r>
          </w:hyperlink>
        </w:p>
        <w:p>
          <w:pPr>
            <w:pStyle w:val="Contents4"/>
            <w:tabs>
              <w:tab w:val="clear" w:pos="8176"/>
              <w:tab w:val="right" w:pos="9026" w:leader="dot"/>
            </w:tabs>
            <w:rPr/>
          </w:pPr>
          <w:hyperlink w:anchor="__RefHeading___Toc1981870_1051229030">
            <w:r>
              <w:rPr>
                <w:webHidden/>
                <w:rStyle w:val="IndexLink"/>
                <w:rtl w:val="true"/>
              </w:rPr>
              <w:t>أساتذته</w:t>
            </w:r>
            <w:r>
              <w:rPr>
                <w:rStyle w:val="IndexLink"/>
                <w:rtl w:val="true"/>
              </w:rPr>
              <w:tab/>
            </w:r>
            <w:r>
              <w:rPr>
                <w:rStyle w:val="IndexLink"/>
              </w:rPr>
              <w:t>22</w:t>
            </w:r>
          </w:hyperlink>
        </w:p>
        <w:p>
          <w:pPr>
            <w:pStyle w:val="Contents4"/>
            <w:tabs>
              <w:tab w:val="clear" w:pos="8176"/>
              <w:tab w:val="right" w:pos="9026" w:leader="dot"/>
            </w:tabs>
            <w:rPr/>
          </w:pPr>
          <w:hyperlink w:anchor="__RefHeading___Toc1981872_1051229030">
            <w:r>
              <w:rPr>
                <w:webHidden/>
                <w:rStyle w:val="IndexLink"/>
                <w:rtl w:val="true"/>
              </w:rPr>
              <w:t>حياته العلميّة والاجتماعيّة</w:t>
            </w:r>
            <w:r>
              <w:rPr>
                <w:rStyle w:val="IndexLink"/>
                <w:rtl w:val="true"/>
              </w:rPr>
              <w:tab/>
            </w:r>
            <w:r>
              <w:rPr>
                <w:rStyle w:val="IndexLink"/>
              </w:rPr>
              <w:t>22</w:t>
            </w:r>
          </w:hyperlink>
        </w:p>
        <w:p>
          <w:pPr>
            <w:pStyle w:val="Contents3"/>
            <w:tabs>
              <w:tab w:val="clear" w:pos="8459"/>
              <w:tab w:val="right" w:pos="9026" w:leader="dot"/>
            </w:tabs>
            <w:rPr/>
          </w:pPr>
          <w:hyperlink w:anchor="__RefHeading___Toc1981874_1051229030">
            <w:r>
              <w:rPr>
                <w:webHidden/>
                <w:rStyle w:val="IndexLink"/>
                <w:rtl w:val="true"/>
              </w:rPr>
              <w:t>مشايخه في الإجازة</w:t>
            </w:r>
            <w:r>
              <w:rPr>
                <w:rStyle w:val="IndexLink"/>
                <w:rtl w:val="true"/>
              </w:rPr>
              <w:tab/>
            </w:r>
            <w:r>
              <w:rPr>
                <w:rStyle w:val="IndexLink"/>
              </w:rPr>
              <w:t>30</w:t>
            </w:r>
          </w:hyperlink>
        </w:p>
        <w:p>
          <w:pPr>
            <w:pStyle w:val="Contents4"/>
            <w:tabs>
              <w:tab w:val="clear" w:pos="8176"/>
              <w:tab w:val="right" w:pos="9026" w:leader="dot"/>
            </w:tabs>
            <w:rPr/>
          </w:pPr>
          <w:hyperlink w:anchor="__RefHeading___Toc1981876_105122903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981878_1051229030">
            <w:r>
              <w:rPr>
                <w:webHidden/>
                <w:rStyle w:val="IndexLink"/>
                <w:rtl w:val="true"/>
              </w:rPr>
              <w:t>الراوون عنه</w:t>
            </w:r>
            <w:r>
              <w:rPr>
                <w:rStyle w:val="IndexLink"/>
                <w:rtl w:val="true"/>
              </w:rPr>
              <w:tab/>
            </w:r>
            <w:r>
              <w:rPr>
                <w:rStyle w:val="IndexLink"/>
              </w:rPr>
              <w:t>32</w:t>
            </w:r>
          </w:hyperlink>
        </w:p>
        <w:p>
          <w:pPr>
            <w:pStyle w:val="Contents4"/>
            <w:tabs>
              <w:tab w:val="clear" w:pos="8176"/>
              <w:tab w:val="right" w:pos="9026" w:leader="dot"/>
            </w:tabs>
            <w:rPr/>
          </w:pPr>
          <w:hyperlink w:anchor="__RefHeading___Toc1981880_1051229030">
            <w:r>
              <w:rPr>
                <w:webHidden/>
                <w:rStyle w:val="IndexLink"/>
                <w:rtl w:val="true"/>
              </w:rPr>
              <w:t>بعض تلامذته البارزين</w:t>
            </w:r>
            <w:r>
              <w:rPr>
                <w:rStyle w:val="IndexLink"/>
                <w:rtl w:val="true"/>
              </w:rPr>
              <w:tab/>
            </w:r>
            <w:r>
              <w:rPr>
                <w:rStyle w:val="IndexLink"/>
              </w:rPr>
              <w:t>33</w:t>
            </w:r>
          </w:hyperlink>
        </w:p>
        <w:p>
          <w:pPr>
            <w:pStyle w:val="Contents4"/>
            <w:tabs>
              <w:tab w:val="clear" w:pos="8176"/>
              <w:tab w:val="right" w:pos="9026" w:leader="dot"/>
            </w:tabs>
            <w:rPr/>
          </w:pPr>
          <w:hyperlink w:anchor="__RefHeading___Toc1981882_1051229030">
            <w:r>
              <w:rPr>
                <w:webHidden/>
                <w:rStyle w:val="IndexLink"/>
                <w:rtl w:val="true"/>
              </w:rPr>
              <w:t>آثاره العمرانية الخالدة</w:t>
            </w:r>
            <w:r>
              <w:rPr>
                <w:rStyle w:val="IndexLink"/>
                <w:rtl w:val="true"/>
              </w:rPr>
              <w:tab/>
            </w:r>
            <w:r>
              <w:rPr>
                <w:rStyle w:val="IndexLink"/>
              </w:rPr>
              <w:t>35</w:t>
            </w:r>
          </w:hyperlink>
        </w:p>
        <w:p>
          <w:pPr>
            <w:pStyle w:val="Contents4"/>
            <w:tabs>
              <w:tab w:val="clear" w:pos="8176"/>
              <w:tab w:val="right" w:pos="9026" w:leader="dot"/>
            </w:tabs>
            <w:rPr/>
          </w:pPr>
          <w:hyperlink w:anchor="__RefHeading___Toc1981884_1051229030">
            <w:r>
              <w:rPr>
                <w:webHidden/>
                <w:rStyle w:val="IndexLink"/>
                <w:rtl w:val="true"/>
              </w:rPr>
              <w:t>آثاره العلميّة</w:t>
            </w:r>
            <w:r>
              <w:rPr>
                <w:rStyle w:val="IndexLink"/>
                <w:rtl w:val="true"/>
              </w:rPr>
              <w:tab/>
            </w:r>
            <w:r>
              <w:rPr>
                <w:rStyle w:val="IndexLink"/>
              </w:rPr>
              <w:t>37</w:t>
            </w:r>
          </w:hyperlink>
        </w:p>
        <w:p>
          <w:pPr>
            <w:pStyle w:val="Contents4"/>
            <w:tabs>
              <w:tab w:val="clear" w:pos="8176"/>
              <w:tab w:val="right" w:pos="9026" w:leader="dot"/>
            </w:tabs>
            <w:rPr/>
          </w:pPr>
          <w:hyperlink w:anchor="__RefHeading___Toc1981886_1051229030">
            <w:r>
              <w:rPr>
                <w:webHidden/>
                <w:rStyle w:val="IndexLink"/>
                <w:rtl w:val="true"/>
              </w:rPr>
              <w:t xml:space="preserve">« </w:t>
            </w:r>
            <w:r>
              <w:rPr>
                <w:rStyle w:val="IndexLink"/>
                <w:rtl w:val="true"/>
              </w:rPr>
              <w:t xml:space="preserve">الكتب والرسائل الفقهيّة </w:t>
            </w:r>
            <w:r>
              <w:rPr>
                <w:rStyle w:val="IndexLink"/>
                <w:rtl w:val="true"/>
              </w:rPr>
              <w:t>»</w:t>
              <w:tab/>
            </w:r>
            <w:r>
              <w:rPr>
                <w:rStyle w:val="IndexLink"/>
              </w:rPr>
              <w:t>37</w:t>
            </w:r>
          </w:hyperlink>
        </w:p>
        <w:p>
          <w:pPr>
            <w:pStyle w:val="Contents5"/>
            <w:tabs>
              <w:tab w:val="clear" w:pos="7892"/>
              <w:tab w:val="right" w:pos="9026" w:leader="dot"/>
            </w:tabs>
            <w:rPr/>
          </w:pPr>
          <w:hyperlink w:anchor="__RefHeading___Toc1981888_1051229030">
            <w:r>
              <w:rPr>
                <w:webHidden/>
                <w:rStyle w:val="IndexLink"/>
              </w:rPr>
              <w:t>1</w:t>
            </w:r>
            <w:r>
              <w:rPr>
                <w:rStyle w:val="IndexLink"/>
                <w:rtl w:val="true"/>
              </w:rPr>
              <w:t xml:space="preserve"> - </w:t>
            </w:r>
            <w:r>
              <w:rPr>
                <w:rStyle w:val="IndexLink"/>
                <w:rtl w:val="true"/>
              </w:rPr>
              <w:t>شرح شرائع الإسلام</w:t>
            </w:r>
            <w:r>
              <w:rPr>
                <w:rStyle w:val="IndexLink"/>
                <w:rtl w:val="true"/>
              </w:rPr>
              <w:tab/>
            </w:r>
            <w:r>
              <w:rPr>
                <w:rStyle w:val="IndexLink"/>
              </w:rPr>
              <w:t>37</w:t>
            </w:r>
          </w:hyperlink>
        </w:p>
        <w:p>
          <w:pPr>
            <w:pStyle w:val="Contents5"/>
            <w:tabs>
              <w:tab w:val="clear" w:pos="7892"/>
              <w:tab w:val="right" w:pos="9026" w:leader="dot"/>
            </w:tabs>
            <w:rPr/>
          </w:pPr>
          <w:hyperlink w:anchor="__RefHeading___Toc1981890_1051229030">
            <w:r>
              <w:rPr>
                <w:webHidden/>
                <w:rStyle w:val="IndexLink"/>
              </w:rPr>
              <w:t>2</w:t>
            </w:r>
            <w:r>
              <w:rPr>
                <w:rStyle w:val="IndexLink"/>
                <w:rtl w:val="true"/>
              </w:rPr>
              <w:t xml:space="preserve"> - </w:t>
            </w:r>
            <w:r>
              <w:rPr>
                <w:rStyle w:val="IndexLink"/>
                <w:rtl w:val="true"/>
              </w:rPr>
              <w:t>العصيريّة</w:t>
            </w:r>
            <w:r>
              <w:rPr>
                <w:rStyle w:val="IndexLink"/>
                <w:rtl w:val="true"/>
              </w:rPr>
              <w:tab/>
            </w:r>
            <w:r>
              <w:rPr>
                <w:rStyle w:val="IndexLink"/>
              </w:rPr>
              <w:t>37</w:t>
            </w:r>
          </w:hyperlink>
        </w:p>
        <w:p>
          <w:pPr>
            <w:pStyle w:val="Contents5"/>
            <w:tabs>
              <w:tab w:val="clear" w:pos="7892"/>
              <w:tab w:val="right" w:pos="9026" w:leader="dot"/>
            </w:tabs>
            <w:rPr/>
          </w:pPr>
          <w:hyperlink w:anchor="__RefHeading___Toc1981892_1051229030">
            <w:r>
              <w:rPr>
                <w:webHidden/>
                <w:rStyle w:val="IndexLink"/>
              </w:rPr>
              <w:t>3</w:t>
            </w:r>
            <w:r>
              <w:rPr>
                <w:rStyle w:val="IndexLink"/>
                <w:rtl w:val="true"/>
              </w:rPr>
              <w:t xml:space="preserve"> - </w:t>
            </w:r>
            <w:r>
              <w:rPr>
                <w:rStyle w:val="IndexLink"/>
                <w:rtl w:val="true"/>
              </w:rPr>
              <w:t>رسالة في تبرئ المريض بماله</w:t>
            </w:r>
            <w:r>
              <w:rPr>
                <w:rStyle w:val="IndexLink"/>
                <w:rtl w:val="true"/>
              </w:rPr>
              <w:tab/>
            </w:r>
            <w:r>
              <w:rPr>
                <w:rStyle w:val="IndexLink"/>
              </w:rPr>
              <w:t>38</w:t>
            </w:r>
          </w:hyperlink>
        </w:p>
        <w:p>
          <w:pPr>
            <w:pStyle w:val="Contents5"/>
            <w:tabs>
              <w:tab w:val="clear" w:pos="7892"/>
              <w:tab w:val="right" w:pos="9026" w:leader="dot"/>
            </w:tabs>
            <w:rPr/>
          </w:pPr>
          <w:hyperlink w:anchor="__RefHeading___Toc1981894_1051229030">
            <w:r>
              <w:rPr>
                <w:webHidden/>
                <w:rStyle w:val="IndexLink"/>
              </w:rPr>
              <w:t>4</w:t>
            </w:r>
            <w:r>
              <w:rPr>
                <w:rStyle w:val="IndexLink"/>
                <w:rtl w:val="true"/>
              </w:rPr>
              <w:t xml:space="preserve"> - </w:t>
            </w:r>
            <w:r>
              <w:rPr>
                <w:rStyle w:val="IndexLink"/>
                <w:rtl w:val="true"/>
              </w:rPr>
              <w:t>رسالة في الموالاة في الوضوء</w:t>
            </w:r>
            <w:r>
              <w:rPr>
                <w:rStyle w:val="IndexLink"/>
                <w:rtl w:val="true"/>
              </w:rPr>
              <w:tab/>
            </w:r>
            <w:r>
              <w:rPr>
                <w:rStyle w:val="IndexLink"/>
              </w:rPr>
              <w:t>38</w:t>
            </w:r>
          </w:hyperlink>
        </w:p>
        <w:p>
          <w:pPr>
            <w:pStyle w:val="Contents5"/>
            <w:tabs>
              <w:tab w:val="clear" w:pos="7892"/>
              <w:tab w:val="right" w:pos="9026" w:leader="dot"/>
            </w:tabs>
            <w:rPr/>
          </w:pPr>
          <w:hyperlink w:anchor="__RefHeading___Toc1981896_1051229030">
            <w:r>
              <w:rPr>
                <w:webHidden/>
                <w:rStyle w:val="IndexLink"/>
              </w:rPr>
              <w:t>5</w:t>
            </w:r>
            <w:r>
              <w:rPr>
                <w:rStyle w:val="IndexLink"/>
                <w:rtl w:val="true"/>
              </w:rPr>
              <w:t xml:space="preserve"> - </w:t>
            </w:r>
            <w:r>
              <w:rPr>
                <w:rStyle w:val="IndexLink"/>
                <w:rtl w:val="true"/>
              </w:rPr>
              <w:t>رسالة في نكاح الجدّ الصغيرة مع فقد الأب</w:t>
            </w:r>
            <w:r>
              <w:rPr>
                <w:rStyle w:val="IndexLink"/>
                <w:rtl w:val="true"/>
              </w:rPr>
              <w:tab/>
            </w:r>
            <w:r>
              <w:rPr>
                <w:rStyle w:val="IndexLink"/>
              </w:rPr>
              <w:t>38</w:t>
            </w:r>
          </w:hyperlink>
        </w:p>
        <w:p>
          <w:pPr>
            <w:pStyle w:val="Contents5"/>
            <w:tabs>
              <w:tab w:val="clear" w:pos="7892"/>
              <w:tab w:val="right" w:pos="9026" w:leader="dot"/>
            </w:tabs>
            <w:rPr/>
          </w:pPr>
          <w:hyperlink w:anchor="__RefHeading___Toc1981898_1051229030">
            <w:r>
              <w:rPr>
                <w:webHidden/>
                <w:rStyle w:val="IndexLink"/>
              </w:rPr>
              <w:t>6</w:t>
            </w:r>
            <w:r>
              <w:rPr>
                <w:rStyle w:val="IndexLink"/>
                <w:rtl w:val="true"/>
              </w:rPr>
              <w:t xml:space="preserve">- </w:t>
            </w:r>
            <w:r>
              <w:rPr>
                <w:rStyle w:val="IndexLink"/>
                <w:rtl w:val="true"/>
              </w:rPr>
              <w:t>رسالة في البيع</w:t>
            </w:r>
            <w:r>
              <w:rPr>
                <w:rStyle w:val="IndexLink"/>
                <w:rtl w:val="true"/>
              </w:rPr>
              <w:tab/>
            </w:r>
            <w:r>
              <w:rPr>
                <w:rStyle w:val="IndexLink"/>
              </w:rPr>
              <w:t>39</w:t>
            </w:r>
          </w:hyperlink>
        </w:p>
        <w:p>
          <w:pPr>
            <w:pStyle w:val="Contents5"/>
            <w:tabs>
              <w:tab w:val="clear" w:pos="7892"/>
              <w:tab w:val="right" w:pos="9026" w:leader="dot"/>
            </w:tabs>
            <w:rPr/>
          </w:pPr>
          <w:hyperlink w:anchor="__RefHeading___Toc1981900_1051229030">
            <w:r>
              <w:rPr>
                <w:webHidden/>
                <w:rStyle w:val="IndexLink"/>
              </w:rPr>
              <w:t>7</w:t>
            </w:r>
            <w:r>
              <w:rPr>
                <w:rStyle w:val="IndexLink"/>
                <w:rtl w:val="true"/>
              </w:rPr>
              <w:t xml:space="preserve"> - </w:t>
            </w:r>
            <w:r>
              <w:rPr>
                <w:rStyle w:val="IndexLink"/>
                <w:rtl w:val="true"/>
              </w:rPr>
              <w:t>رسالة في الأراضي الخراجيّة</w:t>
            </w:r>
            <w:r>
              <w:rPr>
                <w:rStyle w:val="IndexLink"/>
                <w:rtl w:val="true"/>
              </w:rPr>
              <w:tab/>
            </w:r>
            <w:r>
              <w:rPr>
                <w:rStyle w:val="IndexLink"/>
              </w:rPr>
              <w:t>39</w:t>
            </w:r>
          </w:hyperlink>
        </w:p>
        <w:p>
          <w:pPr>
            <w:pStyle w:val="Contents5"/>
            <w:tabs>
              <w:tab w:val="clear" w:pos="7892"/>
              <w:tab w:val="right" w:pos="9026" w:leader="dot"/>
            </w:tabs>
            <w:rPr/>
          </w:pPr>
          <w:hyperlink w:anchor="__RefHeading___Toc1981902_1051229030">
            <w:r>
              <w:rPr>
                <w:webHidden/>
                <w:rStyle w:val="IndexLink"/>
              </w:rPr>
              <w:t>8</w:t>
            </w:r>
            <w:r>
              <w:rPr>
                <w:rStyle w:val="IndexLink"/>
                <w:rtl w:val="true"/>
              </w:rPr>
              <w:t xml:space="preserve"> - </w:t>
            </w:r>
            <w:r>
              <w:rPr>
                <w:rStyle w:val="IndexLink"/>
                <w:rtl w:val="true"/>
              </w:rPr>
              <w:t>رسالة في الوضوء في المكان المغصوب</w:t>
            </w:r>
            <w:r>
              <w:rPr>
                <w:rStyle w:val="IndexLink"/>
                <w:rtl w:val="true"/>
              </w:rPr>
              <w:tab/>
            </w:r>
            <w:r>
              <w:rPr>
                <w:rStyle w:val="IndexLink"/>
              </w:rPr>
              <w:t>39</w:t>
            </w:r>
          </w:hyperlink>
        </w:p>
        <w:p>
          <w:pPr>
            <w:pStyle w:val="Contents5"/>
            <w:tabs>
              <w:tab w:val="clear" w:pos="7892"/>
              <w:tab w:val="right" w:pos="9026" w:leader="dot"/>
            </w:tabs>
            <w:rPr/>
          </w:pPr>
          <w:hyperlink w:anchor="__RefHeading___Toc1981904_1051229030">
            <w:r>
              <w:rPr>
                <w:webHidden/>
                <w:rStyle w:val="IndexLink"/>
              </w:rPr>
              <w:t>9</w:t>
            </w:r>
            <w:r>
              <w:rPr>
                <w:rStyle w:val="IndexLink"/>
                <w:rtl w:val="true"/>
              </w:rPr>
              <w:t xml:space="preserve"> - </w:t>
            </w:r>
            <w:r>
              <w:rPr>
                <w:rStyle w:val="IndexLink"/>
                <w:rtl w:val="true"/>
              </w:rPr>
              <w:t>رسالة في تزويج الوليّ البنت مطلقًا بأقلّ من مهر المثل</w:t>
            </w:r>
            <w:r>
              <w:rPr>
                <w:rStyle w:val="IndexLink"/>
                <w:rtl w:val="true"/>
              </w:rPr>
              <w:tab/>
            </w:r>
            <w:r>
              <w:rPr>
                <w:rStyle w:val="IndexLink"/>
              </w:rPr>
              <w:t>39</w:t>
            </w:r>
          </w:hyperlink>
        </w:p>
        <w:p>
          <w:pPr>
            <w:pStyle w:val="Contents5"/>
            <w:tabs>
              <w:tab w:val="clear" w:pos="7892"/>
              <w:tab w:val="right" w:pos="9026" w:leader="dot"/>
            </w:tabs>
            <w:rPr/>
          </w:pPr>
          <w:hyperlink w:anchor="__RefHeading___Toc1981906_1051229030">
            <w:r>
              <w:rPr>
                <w:webHidden/>
                <w:rStyle w:val="IndexLink"/>
              </w:rPr>
              <w:t>10</w:t>
            </w:r>
            <w:r>
              <w:rPr>
                <w:rStyle w:val="IndexLink"/>
                <w:rtl w:val="true"/>
              </w:rPr>
              <w:t xml:space="preserve"> - </w:t>
            </w:r>
            <w:r>
              <w:rPr>
                <w:rStyle w:val="IndexLink"/>
                <w:rtl w:val="true"/>
              </w:rPr>
              <w:t>رسالة في صلح حقّ القصاص واستيفاء القصاص عن الصغير</w:t>
            </w:r>
            <w:r>
              <w:rPr>
                <w:rStyle w:val="IndexLink"/>
                <w:rtl w:val="true"/>
              </w:rPr>
              <w:tab/>
            </w:r>
            <w:r>
              <w:rPr>
                <w:rStyle w:val="IndexLink"/>
              </w:rPr>
              <w:t>40</w:t>
            </w:r>
          </w:hyperlink>
        </w:p>
        <w:p>
          <w:pPr>
            <w:pStyle w:val="Contents5"/>
            <w:tabs>
              <w:tab w:val="clear" w:pos="7892"/>
              <w:tab w:val="right" w:pos="9026" w:leader="dot"/>
            </w:tabs>
            <w:rPr/>
          </w:pPr>
          <w:hyperlink w:anchor="__RefHeading___Toc1981908_1051229030">
            <w:r>
              <w:rPr>
                <w:webHidden/>
                <w:rStyle w:val="IndexLink"/>
              </w:rPr>
              <w:t>11</w:t>
            </w:r>
            <w:r>
              <w:rPr>
                <w:rStyle w:val="IndexLink"/>
                <w:rtl w:val="true"/>
              </w:rPr>
              <w:t xml:space="preserve"> - </w:t>
            </w:r>
            <w:r>
              <w:rPr>
                <w:rStyle w:val="IndexLink"/>
                <w:rtl w:val="true"/>
              </w:rPr>
              <w:t>الرسالة العمليّة</w:t>
            </w:r>
            <w:r>
              <w:rPr>
                <w:rStyle w:val="IndexLink"/>
                <w:rtl w:val="true"/>
              </w:rPr>
              <w:tab/>
            </w:r>
            <w:r>
              <w:rPr>
                <w:rStyle w:val="IndexLink"/>
              </w:rPr>
              <w:t>40</w:t>
            </w:r>
          </w:hyperlink>
        </w:p>
        <w:p>
          <w:pPr>
            <w:pStyle w:val="Contents5"/>
            <w:tabs>
              <w:tab w:val="clear" w:pos="7892"/>
              <w:tab w:val="right" w:pos="9026" w:leader="dot"/>
            </w:tabs>
            <w:rPr/>
          </w:pPr>
          <w:hyperlink w:anchor="__RefHeading___Toc1981910_1051229030">
            <w:r>
              <w:rPr>
                <w:webHidden/>
                <w:rStyle w:val="IndexLink"/>
              </w:rPr>
              <w:t>12</w:t>
            </w:r>
            <w:r>
              <w:rPr>
                <w:rStyle w:val="IndexLink"/>
                <w:rtl w:val="true"/>
              </w:rPr>
              <w:t xml:space="preserve"> - </w:t>
            </w:r>
            <w:r>
              <w:rPr>
                <w:rStyle w:val="IndexLink"/>
                <w:rtl w:val="true"/>
              </w:rPr>
              <w:t>مناسك الحجّ و العمرة</w:t>
            </w:r>
            <w:r>
              <w:rPr>
                <w:rStyle w:val="IndexLink"/>
                <w:rtl w:val="true"/>
              </w:rPr>
              <w:tab/>
            </w:r>
            <w:r>
              <w:rPr>
                <w:rStyle w:val="IndexLink"/>
              </w:rPr>
              <w:t>40</w:t>
            </w:r>
          </w:hyperlink>
        </w:p>
        <w:p>
          <w:pPr>
            <w:pStyle w:val="Contents5"/>
            <w:tabs>
              <w:tab w:val="clear" w:pos="7892"/>
              <w:tab w:val="right" w:pos="9026" w:leader="dot"/>
            </w:tabs>
            <w:rPr/>
          </w:pPr>
          <w:hyperlink w:anchor="__RefHeading___Toc1981912_1051229030">
            <w:r>
              <w:rPr>
                <w:webHidden/>
                <w:rStyle w:val="IndexLink"/>
              </w:rPr>
              <w:t>13</w:t>
            </w:r>
            <w:r>
              <w:rPr>
                <w:rStyle w:val="IndexLink"/>
                <w:rtl w:val="true"/>
              </w:rPr>
              <w:t xml:space="preserve"> - </w:t>
            </w:r>
            <w:r>
              <w:rPr>
                <w:rStyle w:val="IndexLink"/>
                <w:rtl w:val="true"/>
              </w:rPr>
              <w:t>رسالة في التقليد</w:t>
            </w:r>
            <w:r>
              <w:rPr>
                <w:rStyle w:val="IndexLink"/>
                <w:rtl w:val="true"/>
              </w:rPr>
              <w:tab/>
            </w:r>
            <w:r>
              <w:rPr>
                <w:rStyle w:val="IndexLink"/>
              </w:rPr>
              <w:t>40</w:t>
            </w:r>
          </w:hyperlink>
        </w:p>
        <w:p>
          <w:pPr>
            <w:pStyle w:val="Contents5"/>
            <w:tabs>
              <w:tab w:val="clear" w:pos="7892"/>
              <w:tab w:val="right" w:pos="9026" w:leader="dot"/>
            </w:tabs>
            <w:rPr/>
          </w:pPr>
          <w:hyperlink w:anchor="__RefHeading___Toc1981914_1051229030">
            <w:r>
              <w:rPr>
                <w:webHidden/>
                <w:rStyle w:val="IndexLink"/>
              </w:rPr>
              <w:t>14</w:t>
            </w:r>
            <w:r>
              <w:rPr>
                <w:rStyle w:val="IndexLink"/>
                <w:rtl w:val="true"/>
              </w:rPr>
              <w:t xml:space="preserve"> - </w:t>
            </w:r>
            <w:r>
              <w:rPr>
                <w:rStyle w:val="IndexLink"/>
                <w:rtl w:val="true"/>
              </w:rPr>
              <w:t>رسالة في كيفيّة زيارة عاشوراء</w:t>
            </w:r>
            <w:r>
              <w:rPr>
                <w:rStyle w:val="IndexLink"/>
                <w:rtl w:val="true"/>
              </w:rPr>
              <w:tab/>
            </w:r>
            <w:r>
              <w:rPr>
                <w:rStyle w:val="IndexLink"/>
              </w:rPr>
              <w:t>41</w:t>
            </w:r>
          </w:hyperlink>
        </w:p>
        <w:p>
          <w:pPr>
            <w:pStyle w:val="Contents5"/>
            <w:tabs>
              <w:tab w:val="clear" w:pos="7892"/>
              <w:tab w:val="right" w:pos="9026" w:leader="dot"/>
            </w:tabs>
            <w:rPr/>
          </w:pPr>
          <w:hyperlink w:anchor="__RefHeading___Toc1981916_1051229030">
            <w:r>
              <w:rPr>
                <w:webHidden/>
                <w:rStyle w:val="IndexLink"/>
              </w:rPr>
              <w:t>15</w:t>
            </w:r>
            <w:r>
              <w:rPr>
                <w:rStyle w:val="IndexLink"/>
                <w:rtl w:val="true"/>
              </w:rPr>
              <w:t xml:space="preserve"> - </w:t>
            </w:r>
            <w:r>
              <w:rPr>
                <w:rStyle w:val="IndexLink"/>
                <w:rtl w:val="true"/>
              </w:rPr>
              <w:t>رسالة في المعاطاة</w:t>
            </w:r>
            <w:r>
              <w:rPr>
                <w:rStyle w:val="IndexLink"/>
                <w:rtl w:val="true"/>
              </w:rPr>
              <w:tab/>
            </w:r>
            <w:r>
              <w:rPr>
                <w:rStyle w:val="IndexLink"/>
              </w:rPr>
              <w:t>41</w:t>
            </w:r>
          </w:hyperlink>
        </w:p>
        <w:p>
          <w:pPr>
            <w:pStyle w:val="Contents5"/>
            <w:tabs>
              <w:tab w:val="clear" w:pos="7892"/>
              <w:tab w:val="right" w:pos="9026" w:leader="dot"/>
            </w:tabs>
            <w:rPr/>
          </w:pPr>
          <w:hyperlink w:anchor="__RefHeading___Toc1981918_1051229030">
            <w:r>
              <w:rPr>
                <w:webHidden/>
                <w:rStyle w:val="IndexLink"/>
              </w:rPr>
              <w:t>16</w:t>
            </w:r>
            <w:r>
              <w:rPr>
                <w:rStyle w:val="IndexLink"/>
                <w:rtl w:val="true"/>
              </w:rPr>
              <w:t xml:space="preserve"> - </w:t>
            </w:r>
            <w:r>
              <w:rPr>
                <w:rStyle w:val="IndexLink"/>
                <w:rtl w:val="true"/>
              </w:rPr>
              <w:t>رسالة في معرفة التكاليف</w:t>
            </w:r>
            <w:r>
              <w:rPr>
                <w:rStyle w:val="IndexLink"/>
                <w:rtl w:val="true"/>
              </w:rPr>
              <w:tab/>
            </w:r>
            <w:r>
              <w:rPr>
                <w:rStyle w:val="IndexLink"/>
              </w:rPr>
              <w:t>41</w:t>
            </w:r>
          </w:hyperlink>
        </w:p>
        <w:p>
          <w:pPr>
            <w:pStyle w:val="Contents5"/>
            <w:tabs>
              <w:tab w:val="clear" w:pos="7892"/>
              <w:tab w:val="right" w:pos="9026" w:leader="dot"/>
            </w:tabs>
            <w:rPr/>
          </w:pPr>
          <w:hyperlink w:anchor="__RefHeading___Toc1981920_1051229030">
            <w:r>
              <w:rPr>
                <w:webHidden/>
                <w:rStyle w:val="IndexLink"/>
              </w:rPr>
              <w:t>17</w:t>
            </w:r>
            <w:r>
              <w:rPr>
                <w:rStyle w:val="IndexLink"/>
                <w:rtl w:val="true"/>
              </w:rPr>
              <w:t xml:space="preserve">- </w:t>
            </w:r>
            <w:r>
              <w:rPr>
                <w:rStyle w:val="IndexLink"/>
                <w:rtl w:val="true"/>
              </w:rPr>
              <w:t>رسالة في منجّزات المريض</w:t>
            </w:r>
            <w:r>
              <w:rPr>
                <w:rStyle w:val="IndexLink"/>
                <w:rtl w:val="true"/>
              </w:rPr>
              <w:tab/>
            </w:r>
            <w:r>
              <w:rPr>
                <w:rStyle w:val="IndexLink"/>
              </w:rPr>
              <w:t>42</w:t>
            </w:r>
          </w:hyperlink>
        </w:p>
        <w:p>
          <w:pPr>
            <w:pStyle w:val="Contents5"/>
            <w:tabs>
              <w:tab w:val="clear" w:pos="7892"/>
              <w:tab w:val="right" w:pos="9026" w:leader="dot"/>
            </w:tabs>
            <w:rPr/>
          </w:pPr>
          <w:hyperlink w:anchor="__RefHeading___Toc1981922_1051229030">
            <w:r>
              <w:rPr>
                <w:webHidden/>
                <w:rStyle w:val="IndexLink"/>
              </w:rPr>
              <w:t>18</w:t>
            </w:r>
            <w:r>
              <w:rPr>
                <w:rStyle w:val="IndexLink"/>
                <w:rtl w:val="true"/>
              </w:rPr>
              <w:t xml:space="preserve"> - </w:t>
            </w:r>
            <w:r>
              <w:rPr>
                <w:rStyle w:val="IndexLink"/>
                <w:rtl w:val="true"/>
              </w:rPr>
              <w:t>رسالة في تقليد الميّت</w:t>
            </w:r>
            <w:r>
              <w:rPr>
                <w:rStyle w:val="IndexLink"/>
                <w:rtl w:val="true"/>
              </w:rPr>
              <w:tab/>
            </w:r>
            <w:r>
              <w:rPr>
                <w:rStyle w:val="IndexLink"/>
              </w:rPr>
              <w:t>42</w:t>
            </w:r>
          </w:hyperlink>
        </w:p>
        <w:p>
          <w:pPr>
            <w:pStyle w:val="Contents5"/>
            <w:tabs>
              <w:tab w:val="clear" w:pos="7892"/>
              <w:tab w:val="right" w:pos="9026" w:leader="dot"/>
            </w:tabs>
            <w:rPr/>
          </w:pPr>
          <w:hyperlink w:anchor="__RefHeading___Toc1981924_1051229030">
            <w:r>
              <w:rPr>
                <w:webHidden/>
                <w:rStyle w:val="IndexLink"/>
              </w:rPr>
              <w:t>19</w:t>
            </w:r>
            <w:r>
              <w:rPr>
                <w:rStyle w:val="IndexLink"/>
                <w:rtl w:val="true"/>
              </w:rPr>
              <w:t xml:space="preserve"> - </w:t>
            </w:r>
            <w:r>
              <w:rPr>
                <w:rStyle w:val="IndexLink"/>
                <w:rtl w:val="true"/>
              </w:rPr>
              <w:t>رسالة في الحبوة</w:t>
            </w:r>
            <w:r>
              <w:rPr>
                <w:rStyle w:val="IndexLink"/>
                <w:rtl w:val="true"/>
              </w:rPr>
              <w:tab/>
            </w:r>
            <w:r>
              <w:rPr>
                <w:rStyle w:val="IndexLink"/>
              </w:rPr>
              <w:t>42</w:t>
            </w:r>
          </w:hyperlink>
        </w:p>
        <w:p>
          <w:pPr>
            <w:pStyle w:val="Contents5"/>
            <w:tabs>
              <w:tab w:val="clear" w:pos="7892"/>
              <w:tab w:val="right" w:pos="9026" w:leader="dot"/>
            </w:tabs>
            <w:rPr/>
          </w:pPr>
          <w:hyperlink w:anchor="__RefHeading___Toc1981926_1051229030">
            <w:r>
              <w:rPr>
                <w:webHidden/>
                <w:rStyle w:val="IndexLink"/>
              </w:rPr>
              <w:t>20</w:t>
            </w:r>
            <w:r>
              <w:rPr>
                <w:rStyle w:val="IndexLink"/>
                <w:rtl w:val="true"/>
              </w:rPr>
              <w:t xml:space="preserve"> - </w:t>
            </w:r>
            <w:r>
              <w:rPr>
                <w:rStyle w:val="IndexLink"/>
                <w:rtl w:val="true"/>
              </w:rPr>
              <w:t>الحاشية على تحفة الأبرار</w:t>
            </w:r>
            <w:r>
              <w:rPr>
                <w:rStyle w:val="IndexLink"/>
                <w:rtl w:val="true"/>
              </w:rPr>
              <w:tab/>
            </w:r>
            <w:r>
              <w:rPr>
                <w:rStyle w:val="IndexLink"/>
              </w:rPr>
              <w:t>42</w:t>
            </w:r>
          </w:hyperlink>
        </w:p>
        <w:p>
          <w:pPr>
            <w:pStyle w:val="Contents5"/>
            <w:tabs>
              <w:tab w:val="clear" w:pos="7892"/>
              <w:tab w:val="right" w:pos="9026" w:leader="dot"/>
            </w:tabs>
            <w:rPr/>
          </w:pPr>
          <w:hyperlink w:anchor="__RefHeading___Toc1981928_1051229030">
            <w:r>
              <w:rPr>
                <w:webHidden/>
                <w:rStyle w:val="IndexLink"/>
              </w:rPr>
              <w:t>21</w:t>
            </w:r>
            <w:r>
              <w:rPr>
                <w:rStyle w:val="IndexLink"/>
                <w:rtl w:val="true"/>
              </w:rPr>
              <w:t xml:space="preserve"> - </w:t>
            </w:r>
            <w:r>
              <w:rPr>
                <w:rStyle w:val="IndexLink"/>
                <w:rtl w:val="true"/>
              </w:rPr>
              <w:t>الحاشية على جامع عبّاسي</w:t>
            </w:r>
            <w:r>
              <w:rPr>
                <w:rStyle w:val="IndexLink"/>
                <w:rtl w:val="true"/>
              </w:rPr>
              <w:tab/>
            </w:r>
            <w:r>
              <w:rPr>
                <w:rStyle w:val="IndexLink"/>
              </w:rPr>
              <w:t>42</w:t>
            </w:r>
          </w:hyperlink>
        </w:p>
        <w:p>
          <w:pPr>
            <w:pStyle w:val="Contents5"/>
            <w:tabs>
              <w:tab w:val="clear" w:pos="7892"/>
              <w:tab w:val="right" w:pos="9026" w:leader="dot"/>
            </w:tabs>
            <w:rPr/>
          </w:pPr>
          <w:hyperlink w:anchor="__RefHeading___Toc1981930_1051229030">
            <w:r>
              <w:rPr>
                <w:webHidden/>
                <w:rStyle w:val="IndexLink"/>
              </w:rPr>
              <w:t>22</w:t>
            </w:r>
            <w:r>
              <w:rPr>
                <w:rStyle w:val="IndexLink"/>
                <w:rtl w:val="true"/>
              </w:rPr>
              <w:t xml:space="preserve">- </w:t>
            </w:r>
            <w:r>
              <w:rPr>
                <w:rStyle w:val="IndexLink"/>
                <w:rtl w:val="true"/>
              </w:rPr>
              <w:t>الحاشية على مناسك والده قدس‌سره</w:t>
            </w:r>
            <w:r>
              <w:rPr>
                <w:rStyle w:val="IndexLink"/>
                <w:rtl w:val="true"/>
              </w:rPr>
              <w:tab/>
            </w:r>
            <w:r>
              <w:rPr>
                <w:rStyle w:val="IndexLink"/>
              </w:rPr>
              <w:t>43</w:t>
            </w:r>
          </w:hyperlink>
        </w:p>
        <w:p>
          <w:pPr>
            <w:pStyle w:val="Contents5"/>
            <w:tabs>
              <w:tab w:val="clear" w:pos="7892"/>
              <w:tab w:val="right" w:pos="9026" w:leader="dot"/>
            </w:tabs>
            <w:rPr/>
          </w:pPr>
          <w:hyperlink w:anchor="__RefHeading___Toc1981932_1051229030">
            <w:r>
              <w:rPr>
                <w:webHidden/>
                <w:rStyle w:val="IndexLink"/>
              </w:rPr>
              <w:t>23</w:t>
            </w:r>
            <w:r>
              <w:rPr>
                <w:rStyle w:val="IndexLink"/>
                <w:rtl w:val="true"/>
              </w:rPr>
              <w:t xml:space="preserve"> - </w:t>
            </w:r>
            <w:r>
              <w:rPr>
                <w:rStyle w:val="IndexLink"/>
                <w:rtl w:val="true"/>
              </w:rPr>
              <w:t>الحاشية على النخبة في العبادات</w:t>
            </w:r>
            <w:r>
              <w:rPr>
                <w:rStyle w:val="IndexLink"/>
                <w:rtl w:val="true"/>
              </w:rPr>
              <w:tab/>
            </w:r>
            <w:r>
              <w:rPr>
                <w:rStyle w:val="IndexLink"/>
              </w:rPr>
              <w:t>43</w:t>
            </w:r>
          </w:hyperlink>
        </w:p>
        <w:p>
          <w:pPr>
            <w:pStyle w:val="Contents5"/>
            <w:tabs>
              <w:tab w:val="clear" w:pos="7892"/>
              <w:tab w:val="right" w:pos="9026" w:leader="dot"/>
            </w:tabs>
            <w:rPr/>
          </w:pPr>
          <w:hyperlink w:anchor="__RefHeading___Toc1981934_1051229030">
            <w:r>
              <w:rPr>
                <w:webHidden/>
                <w:rStyle w:val="IndexLink"/>
              </w:rPr>
              <w:t>24</w:t>
            </w:r>
            <w:r>
              <w:rPr>
                <w:rStyle w:val="IndexLink"/>
                <w:rtl w:val="true"/>
              </w:rPr>
              <w:t xml:space="preserve"> - </w:t>
            </w:r>
            <w:r>
              <w:rPr>
                <w:rStyle w:val="IndexLink"/>
                <w:rtl w:val="true"/>
              </w:rPr>
              <w:t>كتاب الغِيبة في حكم الإغتياب</w:t>
            </w:r>
            <w:r>
              <w:rPr>
                <w:rStyle w:val="IndexLink"/>
                <w:rtl w:val="true"/>
              </w:rPr>
              <w:tab/>
            </w:r>
            <w:r>
              <w:rPr>
                <w:rStyle w:val="IndexLink"/>
              </w:rPr>
              <w:t>43</w:t>
            </w:r>
          </w:hyperlink>
        </w:p>
        <w:p>
          <w:pPr>
            <w:pStyle w:val="Contents6"/>
            <w:tabs>
              <w:tab w:val="clear" w:pos="7609"/>
              <w:tab w:val="right" w:pos="9026" w:leader="dot"/>
            </w:tabs>
            <w:rPr/>
          </w:pPr>
          <w:hyperlink w:anchor="__RefHeading___Toc1981936_1051229030">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981938_1051229030">
            <w:r>
              <w:rPr>
                <w:webHidden/>
                <w:rStyle w:val="IndexLink"/>
                <w:rtl w:val="true"/>
              </w:rPr>
              <w:t xml:space="preserve">« </w:t>
            </w:r>
            <w:r>
              <w:rPr>
                <w:rStyle w:val="IndexLink"/>
                <w:rtl w:val="true"/>
              </w:rPr>
              <w:t xml:space="preserve">الكتب والرسائل الأصوليّة </w:t>
            </w:r>
            <w:r>
              <w:rPr>
                <w:rStyle w:val="IndexLink"/>
                <w:rtl w:val="true"/>
              </w:rPr>
              <w:t>»</w:t>
              <w:tab/>
            </w:r>
            <w:r>
              <w:rPr>
                <w:rStyle w:val="IndexLink"/>
              </w:rPr>
              <w:t>44</w:t>
            </w:r>
          </w:hyperlink>
        </w:p>
        <w:p>
          <w:pPr>
            <w:pStyle w:val="Contents5"/>
            <w:tabs>
              <w:tab w:val="clear" w:pos="7892"/>
              <w:tab w:val="right" w:pos="9026" w:leader="dot"/>
            </w:tabs>
            <w:rPr/>
          </w:pPr>
          <w:hyperlink w:anchor="__RefHeading___Toc1981940_1051229030">
            <w:r>
              <w:rPr>
                <w:webHidden/>
                <w:rStyle w:val="IndexLink"/>
              </w:rPr>
              <w:t>25</w:t>
            </w:r>
            <w:r>
              <w:rPr>
                <w:rStyle w:val="IndexLink"/>
                <w:rtl w:val="true"/>
              </w:rPr>
              <w:t xml:space="preserve"> - </w:t>
            </w:r>
            <w:r>
              <w:rPr>
                <w:rStyle w:val="IndexLink"/>
                <w:rtl w:val="true"/>
              </w:rPr>
              <w:t>الاستصحاب</w:t>
            </w:r>
            <w:r>
              <w:rPr>
                <w:rStyle w:val="IndexLink"/>
                <w:rtl w:val="true"/>
              </w:rPr>
              <w:tab/>
            </w:r>
            <w:r>
              <w:rPr>
                <w:rStyle w:val="IndexLink"/>
              </w:rPr>
              <w:t>44</w:t>
            </w:r>
          </w:hyperlink>
        </w:p>
        <w:p>
          <w:pPr>
            <w:pStyle w:val="Contents5"/>
            <w:tabs>
              <w:tab w:val="clear" w:pos="7892"/>
              <w:tab w:val="right" w:pos="9026" w:leader="dot"/>
            </w:tabs>
            <w:rPr/>
          </w:pPr>
          <w:hyperlink w:anchor="__RefHeading___Toc1981942_1051229030">
            <w:r>
              <w:rPr>
                <w:webHidden/>
                <w:rStyle w:val="IndexLink"/>
              </w:rPr>
              <w:t>26</w:t>
            </w:r>
            <w:r>
              <w:rPr>
                <w:rStyle w:val="IndexLink"/>
                <w:rtl w:val="true"/>
              </w:rPr>
              <w:t xml:space="preserve"> - </w:t>
            </w:r>
            <w:r>
              <w:rPr>
                <w:rStyle w:val="IndexLink"/>
                <w:rtl w:val="true"/>
              </w:rPr>
              <w:t>الرسائل الأصوليّة</w:t>
            </w:r>
            <w:r>
              <w:rPr>
                <w:rStyle w:val="IndexLink"/>
                <w:rtl w:val="true"/>
              </w:rPr>
              <w:tab/>
            </w:r>
            <w:r>
              <w:rPr>
                <w:rStyle w:val="IndexLink"/>
              </w:rPr>
              <w:t>44</w:t>
            </w:r>
          </w:hyperlink>
        </w:p>
        <w:p>
          <w:pPr>
            <w:pStyle w:val="Contents5"/>
            <w:tabs>
              <w:tab w:val="clear" w:pos="7892"/>
              <w:tab w:val="right" w:pos="9026" w:leader="dot"/>
            </w:tabs>
            <w:rPr/>
          </w:pPr>
          <w:hyperlink w:anchor="__RefHeading___Toc1981944_1051229030">
            <w:r>
              <w:rPr>
                <w:webHidden/>
                <w:rStyle w:val="IndexLink"/>
              </w:rPr>
              <w:t>27</w:t>
            </w:r>
            <w:r>
              <w:rPr>
                <w:rStyle w:val="IndexLink"/>
                <w:rtl w:val="true"/>
              </w:rPr>
              <w:t xml:space="preserve"> - </w:t>
            </w:r>
            <w:r>
              <w:rPr>
                <w:rStyle w:val="IndexLink"/>
                <w:rtl w:val="true"/>
              </w:rPr>
              <w:t>رسالة في الحقيقة الشرعيّة</w:t>
            </w:r>
            <w:r>
              <w:rPr>
                <w:rStyle w:val="IndexLink"/>
                <w:rtl w:val="true"/>
              </w:rPr>
              <w:tab/>
            </w:r>
            <w:r>
              <w:rPr>
                <w:rStyle w:val="IndexLink"/>
              </w:rPr>
              <w:t>44</w:t>
            </w:r>
          </w:hyperlink>
        </w:p>
        <w:p>
          <w:pPr>
            <w:pStyle w:val="Contents5"/>
            <w:tabs>
              <w:tab w:val="clear" w:pos="7892"/>
              <w:tab w:val="right" w:pos="9026" w:leader="dot"/>
            </w:tabs>
            <w:rPr/>
          </w:pPr>
          <w:hyperlink w:anchor="__RefHeading___Toc1981946_1051229030">
            <w:r>
              <w:rPr>
                <w:webHidden/>
                <w:rStyle w:val="IndexLink"/>
              </w:rPr>
              <w:t>28</w:t>
            </w:r>
            <w:r>
              <w:rPr>
                <w:rStyle w:val="IndexLink"/>
                <w:rtl w:val="true"/>
              </w:rPr>
              <w:t xml:space="preserve"> - </w:t>
            </w:r>
            <w:r>
              <w:rPr>
                <w:rStyle w:val="IndexLink"/>
                <w:rtl w:val="true"/>
              </w:rPr>
              <w:t>رسالة في الأوامر والنواهي</w:t>
            </w:r>
            <w:r>
              <w:rPr>
                <w:rStyle w:val="IndexLink"/>
                <w:rtl w:val="true"/>
              </w:rPr>
              <w:tab/>
            </w:r>
            <w:r>
              <w:rPr>
                <w:rStyle w:val="IndexLink"/>
              </w:rPr>
              <w:t>45</w:t>
            </w:r>
          </w:hyperlink>
        </w:p>
        <w:p>
          <w:pPr>
            <w:pStyle w:val="Contents5"/>
            <w:tabs>
              <w:tab w:val="clear" w:pos="7892"/>
              <w:tab w:val="right" w:pos="9026" w:leader="dot"/>
            </w:tabs>
            <w:rPr/>
          </w:pPr>
          <w:hyperlink w:anchor="__RefHeading___Toc1981948_1051229030">
            <w:r>
              <w:rPr>
                <w:webHidden/>
                <w:rStyle w:val="IndexLink"/>
              </w:rPr>
              <w:t>29</w:t>
            </w:r>
            <w:r>
              <w:rPr>
                <w:rStyle w:val="IndexLink"/>
                <w:rtl w:val="true"/>
              </w:rPr>
              <w:t xml:space="preserve"> - </w:t>
            </w:r>
            <w:r>
              <w:rPr>
                <w:rStyle w:val="IndexLink"/>
                <w:rtl w:val="true"/>
              </w:rPr>
              <w:t>كتاب في الرجال</w:t>
            </w:r>
            <w:r>
              <w:rPr>
                <w:rStyle w:val="IndexLink"/>
                <w:rtl w:val="true"/>
              </w:rPr>
              <w:tab/>
            </w:r>
            <w:r>
              <w:rPr>
                <w:rStyle w:val="IndexLink"/>
              </w:rPr>
              <w:t>45</w:t>
            </w:r>
          </w:hyperlink>
        </w:p>
        <w:p>
          <w:pPr>
            <w:pStyle w:val="Contents5"/>
            <w:tabs>
              <w:tab w:val="clear" w:pos="7892"/>
              <w:tab w:val="right" w:pos="9026" w:leader="dot"/>
            </w:tabs>
            <w:rPr/>
          </w:pPr>
          <w:hyperlink w:anchor="__RefHeading___Toc1981950_1051229030">
            <w:r>
              <w:rPr>
                <w:webHidden/>
                <w:rStyle w:val="IndexLink"/>
              </w:rPr>
              <w:t>30</w:t>
            </w:r>
            <w:r>
              <w:rPr>
                <w:rStyle w:val="IndexLink"/>
                <w:rtl w:val="true"/>
              </w:rPr>
              <w:t xml:space="preserve"> - </w:t>
            </w:r>
            <w:r>
              <w:rPr>
                <w:rStyle w:val="IndexLink"/>
                <w:rtl w:val="true"/>
              </w:rPr>
              <w:t>رسالة في إبراهيم بن أبي بكر بن أبي سماك</w:t>
            </w:r>
            <w:r>
              <w:rPr>
                <w:rStyle w:val="IndexLink"/>
                <w:rtl w:val="true"/>
              </w:rPr>
              <w:tab/>
            </w:r>
            <w:r>
              <w:rPr>
                <w:rStyle w:val="IndexLink"/>
              </w:rPr>
              <w:t>45</w:t>
            </w:r>
          </w:hyperlink>
        </w:p>
        <w:p>
          <w:pPr>
            <w:pStyle w:val="Contents5"/>
            <w:tabs>
              <w:tab w:val="clear" w:pos="7892"/>
              <w:tab w:val="right" w:pos="9026" w:leader="dot"/>
            </w:tabs>
            <w:rPr/>
          </w:pPr>
          <w:hyperlink w:anchor="__RefHeading___Toc1981952_1051229030">
            <w:r>
              <w:rPr>
                <w:webHidden/>
                <w:rStyle w:val="IndexLink"/>
              </w:rPr>
              <w:t>31</w:t>
            </w:r>
            <w:r>
              <w:rPr>
                <w:rStyle w:val="IndexLink"/>
                <w:rtl w:val="true"/>
              </w:rPr>
              <w:t xml:space="preserve"> - </w:t>
            </w:r>
            <w:r>
              <w:rPr>
                <w:rStyle w:val="IndexLink"/>
                <w:rtl w:val="true"/>
              </w:rPr>
              <w:t>رسالة في إبراهيم بن هاشم</w:t>
            </w:r>
            <w:r>
              <w:rPr>
                <w:rStyle w:val="IndexLink"/>
                <w:rtl w:val="true"/>
              </w:rPr>
              <w:tab/>
            </w:r>
            <w:r>
              <w:rPr>
                <w:rStyle w:val="IndexLink"/>
              </w:rPr>
              <w:t>46</w:t>
            </w:r>
          </w:hyperlink>
        </w:p>
        <w:p>
          <w:pPr>
            <w:pStyle w:val="Contents5"/>
            <w:tabs>
              <w:tab w:val="clear" w:pos="7892"/>
              <w:tab w:val="right" w:pos="9026" w:leader="dot"/>
            </w:tabs>
            <w:rPr/>
          </w:pPr>
          <w:hyperlink w:anchor="__RefHeading___Toc1981954_1051229030">
            <w:r>
              <w:rPr>
                <w:webHidden/>
                <w:rStyle w:val="IndexLink"/>
              </w:rPr>
              <w:t>32</w:t>
            </w:r>
            <w:r>
              <w:rPr>
                <w:rStyle w:val="IndexLink"/>
                <w:rtl w:val="true"/>
              </w:rPr>
              <w:t xml:space="preserve"> - </w:t>
            </w:r>
            <w:r>
              <w:rPr>
                <w:rStyle w:val="IndexLink"/>
                <w:rtl w:val="true"/>
              </w:rPr>
              <w:t>رسالة في أبي بصير</w:t>
            </w:r>
            <w:r>
              <w:rPr>
                <w:rStyle w:val="IndexLink"/>
                <w:rtl w:val="true"/>
              </w:rPr>
              <w:tab/>
            </w:r>
            <w:r>
              <w:rPr>
                <w:rStyle w:val="IndexLink"/>
              </w:rPr>
              <w:t>46</w:t>
            </w:r>
          </w:hyperlink>
        </w:p>
        <w:p>
          <w:pPr>
            <w:pStyle w:val="Contents5"/>
            <w:tabs>
              <w:tab w:val="clear" w:pos="7892"/>
              <w:tab w:val="right" w:pos="9026" w:leader="dot"/>
            </w:tabs>
            <w:rPr/>
          </w:pPr>
          <w:hyperlink w:anchor="__RefHeading___Toc1981956_1051229030">
            <w:r>
              <w:rPr>
                <w:webHidden/>
                <w:rStyle w:val="IndexLink"/>
              </w:rPr>
              <w:t>33</w:t>
            </w:r>
            <w:r>
              <w:rPr>
                <w:rStyle w:val="IndexLink"/>
                <w:rtl w:val="true"/>
              </w:rPr>
              <w:t xml:space="preserve"> - </w:t>
            </w:r>
            <w:r>
              <w:rPr>
                <w:rStyle w:val="IndexLink"/>
                <w:rtl w:val="true"/>
              </w:rPr>
              <w:t>رسالة في أحوال زيد بن عليّ عليه‌السلام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1981958_1051229030">
            <w:r>
              <w:rPr>
                <w:webHidden/>
                <w:rStyle w:val="IndexLink"/>
              </w:rPr>
              <w:t>34</w:t>
            </w:r>
            <w:r>
              <w:rPr>
                <w:rStyle w:val="IndexLink"/>
                <w:rtl w:val="true"/>
              </w:rPr>
              <w:t xml:space="preserve"> - </w:t>
            </w:r>
            <w:r>
              <w:rPr>
                <w:rStyle w:val="IndexLink"/>
                <w:rtl w:val="true"/>
              </w:rPr>
              <w:t>رسالة في إبراهيم بن أبي زياد الكرخيّ</w:t>
            </w:r>
            <w:r>
              <w:rPr>
                <w:rStyle w:val="IndexLink"/>
                <w:rtl w:val="true"/>
              </w:rPr>
              <w:tab/>
            </w:r>
            <w:r>
              <w:rPr>
                <w:rStyle w:val="IndexLink"/>
              </w:rPr>
              <w:t>46</w:t>
            </w:r>
          </w:hyperlink>
        </w:p>
        <w:p>
          <w:pPr>
            <w:pStyle w:val="Contents5"/>
            <w:tabs>
              <w:tab w:val="clear" w:pos="7892"/>
              <w:tab w:val="right" w:pos="9026" w:leader="dot"/>
            </w:tabs>
            <w:rPr/>
          </w:pPr>
          <w:hyperlink w:anchor="__RefHeading___Toc1981960_1051229030">
            <w:r>
              <w:rPr>
                <w:webHidden/>
                <w:rStyle w:val="IndexLink"/>
              </w:rPr>
              <w:t>35</w:t>
            </w:r>
            <w:r>
              <w:rPr>
                <w:rStyle w:val="IndexLink"/>
                <w:rtl w:val="true"/>
              </w:rPr>
              <w:t xml:space="preserve"> - </w:t>
            </w:r>
            <w:r>
              <w:rPr>
                <w:rStyle w:val="IndexLink"/>
                <w:rtl w:val="true"/>
              </w:rPr>
              <w:t>رسالة في سالم بن مكرم</w:t>
            </w:r>
            <w:r>
              <w:rPr>
                <w:rStyle w:val="IndexLink"/>
                <w:rtl w:val="true"/>
              </w:rPr>
              <w:tab/>
            </w:r>
            <w:r>
              <w:rPr>
                <w:rStyle w:val="IndexLink"/>
              </w:rPr>
              <w:t>46</w:t>
            </w:r>
          </w:hyperlink>
        </w:p>
        <w:p>
          <w:pPr>
            <w:pStyle w:val="Contents6"/>
            <w:tabs>
              <w:tab w:val="clear" w:pos="7609"/>
              <w:tab w:val="right" w:pos="9026" w:leader="dot"/>
            </w:tabs>
            <w:rPr/>
          </w:pPr>
          <w:hyperlink w:anchor="__RefHeading___Toc1981962_105122903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981964_1051229030">
            <w:r>
              <w:rPr>
                <w:webHidden/>
                <w:rStyle w:val="IndexLink"/>
                <w:rtl w:val="true"/>
              </w:rPr>
              <w:t xml:space="preserve">« </w:t>
            </w:r>
            <w:r>
              <w:rPr>
                <w:rStyle w:val="IndexLink"/>
                <w:rtl w:val="true"/>
              </w:rPr>
              <w:t xml:space="preserve">الكتب والرسائل الاعتقاديّة </w:t>
            </w:r>
            <w:r>
              <w:rPr>
                <w:rStyle w:val="IndexLink"/>
                <w:rtl w:val="true"/>
              </w:rPr>
              <w:t>»</w:t>
              <w:tab/>
            </w:r>
            <w:r>
              <w:rPr>
                <w:rStyle w:val="IndexLink"/>
              </w:rPr>
              <w:t>47</w:t>
            </w:r>
          </w:hyperlink>
        </w:p>
        <w:p>
          <w:pPr>
            <w:pStyle w:val="Contents5"/>
            <w:tabs>
              <w:tab w:val="clear" w:pos="7892"/>
              <w:tab w:val="right" w:pos="9026" w:leader="dot"/>
            </w:tabs>
            <w:rPr/>
          </w:pPr>
          <w:hyperlink w:anchor="__RefHeading___Toc1981966_1051229030">
            <w:r>
              <w:rPr>
                <w:webHidden/>
                <w:rStyle w:val="IndexLink"/>
              </w:rPr>
              <w:t>36</w:t>
            </w:r>
            <w:r>
              <w:rPr>
                <w:rStyle w:val="IndexLink"/>
                <w:rtl w:val="true"/>
              </w:rPr>
              <w:t xml:space="preserve"> - </w:t>
            </w:r>
            <w:r>
              <w:rPr>
                <w:rStyle w:val="IndexLink"/>
                <w:rtl w:val="true"/>
              </w:rPr>
              <w:t>كتاب الإمامة</w:t>
            </w:r>
            <w:r>
              <w:rPr>
                <w:rStyle w:val="IndexLink"/>
                <w:rtl w:val="true"/>
              </w:rPr>
              <w:tab/>
            </w:r>
            <w:r>
              <w:rPr>
                <w:rStyle w:val="IndexLink"/>
              </w:rPr>
              <w:t>47</w:t>
            </w:r>
          </w:hyperlink>
        </w:p>
        <w:p>
          <w:pPr>
            <w:pStyle w:val="Contents5"/>
            <w:tabs>
              <w:tab w:val="clear" w:pos="7892"/>
              <w:tab w:val="right" w:pos="9026" w:leader="dot"/>
            </w:tabs>
            <w:rPr/>
          </w:pPr>
          <w:hyperlink w:anchor="__RefHeading___Toc1981968_1051229030">
            <w:r>
              <w:rPr>
                <w:webHidden/>
                <w:rStyle w:val="IndexLink"/>
              </w:rPr>
              <w:t>37</w:t>
            </w:r>
            <w:r>
              <w:rPr>
                <w:rStyle w:val="IndexLink"/>
                <w:rtl w:val="true"/>
              </w:rPr>
              <w:t xml:space="preserve"> - </w:t>
            </w:r>
            <w:r>
              <w:rPr>
                <w:rStyle w:val="IndexLink"/>
                <w:rtl w:val="true"/>
              </w:rPr>
              <w:t xml:space="preserve">أصول الدين </w:t>
            </w:r>
            <w:r>
              <w:rPr>
                <w:rStyle w:val="IndexLink"/>
                <w:rtl w:val="true"/>
              </w:rPr>
              <w:t xml:space="preserve">( </w:t>
            </w:r>
            <w:r>
              <w:rPr>
                <w:rStyle w:val="IndexLink"/>
                <w:rtl w:val="true"/>
              </w:rPr>
              <w:t xml:space="preserve">عربي </w:t>
            </w:r>
            <w:r>
              <w:rPr>
                <w:rStyle w:val="IndexLink"/>
                <w:rtl w:val="true"/>
              </w:rPr>
              <w:t>)</w:t>
              <w:tab/>
            </w:r>
            <w:r>
              <w:rPr>
                <w:rStyle w:val="IndexLink"/>
              </w:rPr>
              <w:t>47</w:t>
            </w:r>
          </w:hyperlink>
        </w:p>
        <w:p>
          <w:pPr>
            <w:pStyle w:val="Contents5"/>
            <w:tabs>
              <w:tab w:val="clear" w:pos="7892"/>
              <w:tab w:val="right" w:pos="9026" w:leader="dot"/>
            </w:tabs>
            <w:rPr/>
          </w:pPr>
          <w:hyperlink w:anchor="__RefHeading___Toc1981970_1051229030">
            <w:r>
              <w:rPr>
                <w:webHidden/>
                <w:rStyle w:val="IndexLink"/>
              </w:rPr>
              <w:t>38</w:t>
            </w:r>
            <w:r>
              <w:rPr>
                <w:rStyle w:val="IndexLink"/>
                <w:rtl w:val="true"/>
              </w:rPr>
              <w:t xml:space="preserve"> - </w:t>
            </w:r>
            <w:r>
              <w:rPr>
                <w:rStyle w:val="IndexLink"/>
                <w:rtl w:val="true"/>
              </w:rPr>
              <w:t>كتاب في إثبات الإمامة</w:t>
            </w:r>
            <w:r>
              <w:rPr>
                <w:rStyle w:val="IndexLink"/>
                <w:rtl w:val="true"/>
              </w:rPr>
              <w:tab/>
            </w:r>
            <w:r>
              <w:rPr>
                <w:rStyle w:val="IndexLink"/>
              </w:rPr>
              <w:t>47</w:t>
            </w:r>
          </w:hyperlink>
        </w:p>
        <w:p>
          <w:pPr>
            <w:pStyle w:val="Contents5"/>
            <w:tabs>
              <w:tab w:val="clear" w:pos="7892"/>
              <w:tab w:val="right" w:pos="9026" w:leader="dot"/>
            </w:tabs>
            <w:rPr/>
          </w:pPr>
          <w:hyperlink w:anchor="__RefHeading___Toc1981972_1051229030">
            <w:r>
              <w:rPr>
                <w:webHidden/>
                <w:rStyle w:val="IndexLink"/>
              </w:rPr>
              <w:t>39</w:t>
            </w:r>
            <w:r>
              <w:rPr>
                <w:rStyle w:val="IndexLink"/>
                <w:rtl w:val="true"/>
              </w:rPr>
              <w:t xml:space="preserve"> - </w:t>
            </w:r>
            <w:r>
              <w:rPr>
                <w:rStyle w:val="IndexLink"/>
                <w:rtl w:val="true"/>
              </w:rPr>
              <w:t>منتخب الصحاح</w:t>
            </w:r>
            <w:r>
              <w:rPr>
                <w:rStyle w:val="IndexLink"/>
                <w:rtl w:val="true"/>
              </w:rPr>
              <w:tab/>
            </w:r>
            <w:r>
              <w:rPr>
                <w:rStyle w:val="IndexLink"/>
              </w:rPr>
              <w:t>48</w:t>
            </w:r>
          </w:hyperlink>
        </w:p>
        <w:p>
          <w:pPr>
            <w:pStyle w:val="Contents5"/>
            <w:tabs>
              <w:tab w:val="clear" w:pos="7892"/>
              <w:tab w:val="right" w:pos="9026" w:leader="dot"/>
            </w:tabs>
            <w:rPr/>
          </w:pPr>
          <w:hyperlink w:anchor="__RefHeading___Toc1981974_1051229030">
            <w:r>
              <w:rPr>
                <w:webHidden/>
                <w:rStyle w:val="IndexLink"/>
              </w:rPr>
              <w:t>40</w:t>
            </w:r>
            <w:r>
              <w:rPr>
                <w:rStyle w:val="IndexLink"/>
                <w:rtl w:val="true"/>
              </w:rPr>
              <w:t xml:space="preserve"> - </w:t>
            </w:r>
            <w:r>
              <w:rPr>
                <w:rStyle w:val="IndexLink"/>
                <w:rtl w:val="true"/>
              </w:rPr>
              <w:t>كتاب الغَيبة</w:t>
            </w:r>
            <w:r>
              <w:rPr>
                <w:rStyle w:val="IndexLink"/>
                <w:rtl w:val="true"/>
              </w:rPr>
              <w:tab/>
            </w:r>
            <w:r>
              <w:rPr>
                <w:rStyle w:val="IndexLink"/>
              </w:rPr>
              <w:t>48</w:t>
            </w:r>
          </w:hyperlink>
        </w:p>
        <w:p>
          <w:pPr>
            <w:pStyle w:val="Contents5"/>
            <w:tabs>
              <w:tab w:val="clear" w:pos="7892"/>
              <w:tab w:val="right" w:pos="9026" w:leader="dot"/>
            </w:tabs>
            <w:rPr/>
          </w:pPr>
          <w:hyperlink w:anchor="__RefHeading___Toc1981976_1051229030">
            <w:r>
              <w:rPr>
                <w:webHidden/>
                <w:rStyle w:val="IndexLink"/>
              </w:rPr>
              <w:t>41</w:t>
            </w:r>
            <w:r>
              <w:rPr>
                <w:rStyle w:val="IndexLink"/>
                <w:rtl w:val="true"/>
              </w:rPr>
              <w:t xml:space="preserve"> - </w:t>
            </w:r>
            <w:r>
              <w:rPr>
                <w:rStyle w:val="IndexLink"/>
                <w:rtl w:val="true"/>
              </w:rPr>
              <w:t>رسالة في الرجعة</w:t>
            </w:r>
            <w:r>
              <w:rPr>
                <w:rStyle w:val="IndexLink"/>
                <w:rtl w:val="true"/>
              </w:rPr>
              <w:tab/>
            </w:r>
            <w:r>
              <w:rPr>
                <w:rStyle w:val="IndexLink"/>
              </w:rPr>
              <w:t>48</w:t>
            </w:r>
          </w:hyperlink>
        </w:p>
        <w:p>
          <w:pPr>
            <w:pStyle w:val="Contents6"/>
            <w:tabs>
              <w:tab w:val="clear" w:pos="7609"/>
              <w:tab w:val="right" w:pos="9026" w:leader="dot"/>
            </w:tabs>
            <w:rPr/>
          </w:pPr>
          <w:hyperlink w:anchor="__RefHeading___Toc1981978_1051229030">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1981980_1051229030">
            <w:r>
              <w:rPr>
                <w:webHidden/>
                <w:rStyle w:val="IndexLink"/>
                <w:rtl w:val="true"/>
              </w:rPr>
              <w:t xml:space="preserve">« </w:t>
            </w:r>
            <w:r>
              <w:rPr>
                <w:rStyle w:val="IndexLink"/>
                <w:rtl w:val="true"/>
              </w:rPr>
              <w:t xml:space="preserve">الكتب والرسائل المتفرّقة </w:t>
            </w:r>
            <w:r>
              <w:rPr>
                <w:rStyle w:val="IndexLink"/>
                <w:rtl w:val="true"/>
              </w:rPr>
              <w:t>»</w:t>
              <w:tab/>
            </w:r>
            <w:r>
              <w:rPr>
                <w:rStyle w:val="IndexLink"/>
              </w:rPr>
              <w:t>49</w:t>
            </w:r>
          </w:hyperlink>
        </w:p>
        <w:p>
          <w:pPr>
            <w:pStyle w:val="Contents5"/>
            <w:tabs>
              <w:tab w:val="clear" w:pos="7892"/>
              <w:tab w:val="right" w:pos="9026" w:leader="dot"/>
            </w:tabs>
            <w:rPr/>
          </w:pPr>
          <w:hyperlink w:anchor="__RefHeading___Toc1981982_1051229030">
            <w:r>
              <w:rPr>
                <w:webHidden/>
                <w:rStyle w:val="IndexLink"/>
              </w:rPr>
              <w:t>42</w:t>
            </w:r>
            <w:r>
              <w:rPr>
                <w:rStyle w:val="IndexLink"/>
                <w:rtl w:val="true"/>
              </w:rPr>
              <w:t xml:space="preserve"> - </w:t>
            </w:r>
            <w:r>
              <w:rPr>
                <w:rStyle w:val="IndexLink"/>
                <w:rtl w:val="true"/>
              </w:rPr>
              <w:t>الحاشية على البهجة المرضيّة في شرح الألفيّة</w:t>
            </w:r>
            <w:r>
              <w:rPr>
                <w:rStyle w:val="IndexLink"/>
                <w:rtl w:val="true"/>
              </w:rPr>
              <w:tab/>
            </w:r>
            <w:r>
              <w:rPr>
                <w:rStyle w:val="IndexLink"/>
              </w:rPr>
              <w:t>49</w:t>
            </w:r>
          </w:hyperlink>
        </w:p>
        <w:p>
          <w:pPr>
            <w:pStyle w:val="Contents5"/>
            <w:tabs>
              <w:tab w:val="clear" w:pos="7892"/>
              <w:tab w:val="right" w:pos="9026" w:leader="dot"/>
            </w:tabs>
            <w:rPr/>
          </w:pPr>
          <w:hyperlink w:anchor="__RefHeading___Toc1981984_1051229030">
            <w:r>
              <w:rPr>
                <w:webHidden/>
                <w:rStyle w:val="IndexLink"/>
              </w:rPr>
              <w:t>43</w:t>
            </w:r>
            <w:r>
              <w:rPr>
                <w:rStyle w:val="IndexLink"/>
                <w:rtl w:val="true"/>
              </w:rPr>
              <w:t xml:space="preserve"> - </w:t>
            </w:r>
            <w:r>
              <w:rPr>
                <w:rStyle w:val="IndexLink"/>
                <w:rtl w:val="true"/>
              </w:rPr>
              <w:t>رسالة في التجويد</w:t>
            </w:r>
            <w:r>
              <w:rPr>
                <w:rStyle w:val="IndexLink"/>
                <w:rtl w:val="true"/>
              </w:rPr>
              <w:tab/>
            </w:r>
            <w:r>
              <w:rPr>
                <w:rStyle w:val="IndexLink"/>
              </w:rPr>
              <w:t>49</w:t>
            </w:r>
          </w:hyperlink>
        </w:p>
        <w:p>
          <w:pPr>
            <w:pStyle w:val="Contents5"/>
            <w:tabs>
              <w:tab w:val="clear" w:pos="7892"/>
              <w:tab w:val="right" w:pos="9026" w:leader="dot"/>
            </w:tabs>
            <w:rPr/>
          </w:pPr>
          <w:hyperlink w:anchor="__RefHeading___Toc1981986_1051229030">
            <w:r>
              <w:rPr>
                <w:webHidden/>
                <w:rStyle w:val="IndexLink"/>
              </w:rPr>
              <w:t>44</w:t>
            </w:r>
            <w:r>
              <w:rPr>
                <w:rStyle w:val="IndexLink"/>
                <w:rtl w:val="true"/>
              </w:rPr>
              <w:t xml:space="preserve"> - </w:t>
            </w:r>
            <w:r>
              <w:rPr>
                <w:rStyle w:val="IndexLink"/>
                <w:rtl w:val="true"/>
              </w:rPr>
              <w:t>رسالة في المنطق</w:t>
            </w:r>
            <w:r>
              <w:rPr>
                <w:rStyle w:val="IndexLink"/>
                <w:rtl w:val="true"/>
              </w:rPr>
              <w:tab/>
            </w:r>
            <w:r>
              <w:rPr>
                <w:rStyle w:val="IndexLink"/>
              </w:rPr>
              <w:t>49</w:t>
            </w:r>
          </w:hyperlink>
        </w:p>
        <w:p>
          <w:pPr>
            <w:pStyle w:val="Contents5"/>
            <w:tabs>
              <w:tab w:val="clear" w:pos="7892"/>
              <w:tab w:val="right" w:pos="9026" w:leader="dot"/>
            </w:tabs>
            <w:rPr/>
          </w:pPr>
          <w:hyperlink w:anchor="__RefHeading___Toc1981988_1051229030">
            <w:r>
              <w:rPr>
                <w:webHidden/>
                <w:rStyle w:val="IndexLink"/>
              </w:rPr>
              <w:t>45</w:t>
            </w:r>
            <w:r>
              <w:rPr>
                <w:rStyle w:val="IndexLink"/>
                <w:rtl w:val="true"/>
              </w:rPr>
              <w:t xml:space="preserve"> - </w:t>
            </w:r>
            <w:r>
              <w:rPr>
                <w:rStyle w:val="IndexLink"/>
                <w:rtl w:val="true"/>
              </w:rPr>
              <w:t>رسالة في صلاة الليل</w:t>
            </w:r>
            <w:r>
              <w:rPr>
                <w:rStyle w:val="IndexLink"/>
                <w:rtl w:val="true"/>
              </w:rPr>
              <w:tab/>
            </w:r>
            <w:r>
              <w:rPr>
                <w:rStyle w:val="IndexLink"/>
              </w:rPr>
              <w:t>49</w:t>
            </w:r>
          </w:hyperlink>
        </w:p>
        <w:p>
          <w:pPr>
            <w:pStyle w:val="Contents4"/>
            <w:tabs>
              <w:tab w:val="clear" w:pos="8176"/>
              <w:tab w:val="right" w:pos="9026" w:leader="dot"/>
            </w:tabs>
            <w:rPr/>
          </w:pPr>
          <w:hyperlink w:anchor="__RefHeading___Toc1981990_1051229030">
            <w:r>
              <w:rPr>
                <w:webHidden/>
                <w:rStyle w:val="IndexLink"/>
                <w:rtl w:val="true"/>
              </w:rPr>
              <w:t>وفاته</w:t>
            </w:r>
            <w:r>
              <w:rPr>
                <w:rStyle w:val="IndexLink"/>
                <w:rtl w:val="true"/>
              </w:rPr>
              <w:tab/>
            </w:r>
            <w:r>
              <w:rPr>
                <w:rStyle w:val="IndexLink"/>
              </w:rPr>
              <w:t>50</w:t>
            </w:r>
          </w:hyperlink>
        </w:p>
        <w:p>
          <w:pPr>
            <w:pStyle w:val="Contents4"/>
            <w:tabs>
              <w:tab w:val="clear" w:pos="8176"/>
              <w:tab w:val="right" w:pos="9026" w:leader="dot"/>
            </w:tabs>
            <w:rPr/>
          </w:pPr>
          <w:hyperlink w:anchor="__RefHeading___Toc1981992_1051229030">
            <w:r>
              <w:rPr>
                <w:webHidden/>
                <w:rStyle w:val="IndexLink"/>
                <w:rtl w:val="true"/>
              </w:rPr>
              <w:t>مدفنه</w:t>
            </w:r>
            <w:r>
              <w:rPr>
                <w:rStyle w:val="IndexLink"/>
                <w:rtl w:val="true"/>
              </w:rPr>
              <w:tab/>
            </w:r>
            <w:r>
              <w:rPr>
                <w:rStyle w:val="IndexLink"/>
              </w:rPr>
              <w:t>50</w:t>
            </w:r>
          </w:hyperlink>
        </w:p>
        <w:p>
          <w:pPr>
            <w:pStyle w:val="Contents4"/>
            <w:tabs>
              <w:tab w:val="clear" w:pos="8176"/>
              <w:tab w:val="right" w:pos="9026" w:leader="dot"/>
            </w:tabs>
            <w:rPr/>
          </w:pPr>
          <w:hyperlink w:anchor="__RefHeading___Toc1981994_1051229030">
            <w:r>
              <w:rPr>
                <w:webHidden/>
                <w:rStyle w:val="IndexLink"/>
                <w:rtl w:val="true"/>
              </w:rPr>
              <w:t>مراثيه</w:t>
            </w:r>
            <w:r>
              <w:rPr>
                <w:rStyle w:val="IndexLink"/>
                <w:rtl w:val="true"/>
              </w:rPr>
              <w:tab/>
            </w:r>
            <w:r>
              <w:rPr>
                <w:rStyle w:val="IndexLink"/>
              </w:rPr>
              <w:t>51</w:t>
            </w:r>
          </w:hyperlink>
        </w:p>
        <w:p>
          <w:pPr>
            <w:pStyle w:val="Contents3"/>
            <w:tabs>
              <w:tab w:val="clear" w:pos="8459"/>
              <w:tab w:val="right" w:pos="9026" w:leader="dot"/>
            </w:tabs>
            <w:rPr/>
          </w:pPr>
          <w:hyperlink w:anchor="__RefHeading___Toc1981996_1051229030">
            <w:r>
              <w:rPr>
                <w:webHidden/>
                <w:rStyle w:val="IndexLink"/>
                <w:rtl w:val="true"/>
              </w:rPr>
              <w:t>الفصل الثاني</w:t>
            </w:r>
            <w:r>
              <w:rPr>
                <w:rStyle w:val="IndexLink"/>
                <w:rtl w:val="true"/>
              </w:rPr>
              <w:t>:</w:t>
            </w:r>
            <w:r>
              <w:rPr>
                <w:rStyle w:val="IndexLink"/>
                <w:rtl w:val="true"/>
              </w:rPr>
              <w:t>ما يتعلّق بالرسالة</w:t>
            </w:r>
            <w:r>
              <w:rPr>
                <w:rStyle w:val="IndexLink"/>
                <w:rtl w:val="true"/>
              </w:rPr>
              <w:tab/>
            </w:r>
            <w:r>
              <w:rPr>
                <w:rStyle w:val="IndexLink"/>
              </w:rPr>
              <w:t>55</w:t>
            </w:r>
          </w:hyperlink>
        </w:p>
        <w:p>
          <w:pPr>
            <w:pStyle w:val="Contents3"/>
            <w:tabs>
              <w:tab w:val="clear" w:pos="8459"/>
              <w:tab w:val="right" w:pos="9026" w:leader="dot"/>
            </w:tabs>
            <w:rPr/>
          </w:pPr>
          <w:hyperlink w:anchor="__RefHeading___Toc1981998_1051229030">
            <w:r>
              <w:rPr>
                <w:webHidden/>
                <w:rStyle w:val="IndexLink"/>
                <w:rtl w:val="true"/>
              </w:rPr>
              <w:t xml:space="preserve">الفصل الثالث </w:t>
            </w:r>
            <w:r>
              <w:rPr>
                <w:rStyle w:val="IndexLink"/>
                <w:rtl w:val="true"/>
              </w:rPr>
              <w:t>:</w:t>
            </w:r>
            <w:r>
              <w:rPr>
                <w:rStyle w:val="IndexLink"/>
                <w:rtl w:val="true"/>
              </w:rPr>
              <w:t>منهج التحقيق</w:t>
            </w:r>
            <w:r>
              <w:rPr>
                <w:rStyle w:val="IndexLink"/>
                <w:rtl w:val="true"/>
              </w:rPr>
              <w:tab/>
            </w:r>
            <w:r>
              <w:rPr>
                <w:rStyle w:val="IndexLink"/>
              </w:rPr>
              <w:t>57</w:t>
            </w:r>
          </w:hyperlink>
        </w:p>
        <w:p>
          <w:pPr>
            <w:pStyle w:val="Contents2"/>
            <w:tabs>
              <w:tab w:val="clear" w:pos="8743"/>
              <w:tab w:val="right" w:pos="9026" w:leader="dot"/>
            </w:tabs>
            <w:rPr/>
          </w:pPr>
          <w:hyperlink w:anchor="__RefHeading___Toc1982000_1051229030">
            <w:r>
              <w:rPr>
                <w:webHidden/>
                <w:rStyle w:val="IndexLink"/>
                <w:rtl w:val="true"/>
              </w:rPr>
              <w:t>رسالة شريفة في الحَبوَة</w:t>
            </w:r>
            <w:r>
              <w:rPr>
                <w:rStyle w:val="IndexLink"/>
                <w:rtl w:val="true"/>
              </w:rPr>
              <w:tab/>
            </w:r>
            <w:r>
              <w:rPr>
                <w:rStyle w:val="IndexLink"/>
              </w:rPr>
              <w:t>61</w:t>
            </w:r>
          </w:hyperlink>
        </w:p>
        <w:p>
          <w:pPr>
            <w:pStyle w:val="Contents2"/>
            <w:tabs>
              <w:tab w:val="clear" w:pos="8743"/>
              <w:tab w:val="right" w:pos="9026" w:leader="dot"/>
            </w:tabs>
            <w:rPr/>
          </w:pPr>
          <w:hyperlink w:anchor="__RefHeading___Toc1982002_1051229030">
            <w:r>
              <w:rPr>
                <w:webHidden/>
                <w:rStyle w:val="IndexLink"/>
                <w:rtl w:val="true"/>
              </w:rPr>
              <w:t>المقام الأوّل</w:t>
            </w:r>
            <w:r>
              <w:rPr>
                <w:rStyle w:val="IndexLink"/>
                <w:rtl w:val="true"/>
              </w:rPr>
              <w:t>:</w:t>
            </w:r>
            <w:r>
              <w:rPr>
                <w:rStyle w:val="IndexLink"/>
                <w:rtl w:val="true"/>
              </w:rPr>
              <w:t>في أصل الحكم</w:t>
            </w:r>
            <w:r>
              <w:rPr>
                <w:rStyle w:val="IndexLink"/>
                <w:rtl w:val="true"/>
              </w:rPr>
              <w:tab/>
            </w:r>
            <w:r>
              <w:rPr>
                <w:rStyle w:val="IndexLink"/>
              </w:rPr>
              <w:t>64</w:t>
            </w:r>
          </w:hyperlink>
        </w:p>
        <w:p>
          <w:pPr>
            <w:pStyle w:val="Contents2"/>
            <w:tabs>
              <w:tab w:val="clear" w:pos="8743"/>
              <w:tab w:val="right" w:pos="9026" w:leader="dot"/>
            </w:tabs>
            <w:rPr/>
          </w:pPr>
          <w:hyperlink w:anchor="__RefHeading___Toc1982004_1051229030">
            <w:r>
              <w:rPr>
                <w:webHidden/>
                <w:rStyle w:val="IndexLink"/>
                <w:rtl w:val="true"/>
              </w:rPr>
              <w:t>المقام الثاني في أنّ الحبوة المذكورة هل تعطى الولد الذكر مجّانًا أو يحتسب عليه من إرثه ؟</w:t>
            </w:r>
            <w:r>
              <w:rPr>
                <w:rStyle w:val="IndexLink"/>
                <w:rtl w:val="true"/>
              </w:rPr>
              <w:tab/>
            </w:r>
            <w:r>
              <w:rPr>
                <w:rStyle w:val="IndexLink"/>
              </w:rPr>
              <w:t>75</w:t>
            </w:r>
          </w:hyperlink>
        </w:p>
        <w:p>
          <w:pPr>
            <w:pStyle w:val="Contents2"/>
            <w:tabs>
              <w:tab w:val="clear" w:pos="8743"/>
              <w:tab w:val="right" w:pos="9026" w:leader="dot"/>
            </w:tabs>
            <w:rPr/>
          </w:pPr>
          <w:hyperlink w:anchor="__RefHeading___Toc1982006_1051229030">
            <w:r>
              <w:rPr>
                <w:webHidden/>
                <w:rStyle w:val="IndexLink"/>
                <w:rtl w:val="true"/>
              </w:rPr>
              <w:t xml:space="preserve">المقام الثالث </w:t>
            </w:r>
            <w:r>
              <w:rPr>
                <w:rStyle w:val="IndexLink"/>
                <w:rtl w:val="true"/>
              </w:rPr>
              <w:t xml:space="preserve">: </w:t>
            </w:r>
            <w:r>
              <w:rPr>
                <w:rStyle w:val="IndexLink"/>
                <w:rtl w:val="true"/>
              </w:rPr>
              <w:t>في أنّ تخصيص الولد الأكبر الذكر بالأشياء المعروفة هل هو واجب، أو مستحبّ ؟</w:t>
            </w:r>
            <w:r>
              <w:rPr>
                <w:rStyle w:val="IndexLink"/>
                <w:rtl w:val="true"/>
              </w:rPr>
              <w:tab/>
            </w:r>
            <w:r>
              <w:rPr>
                <w:rStyle w:val="IndexLink"/>
              </w:rPr>
              <w:t>81</w:t>
            </w:r>
          </w:hyperlink>
        </w:p>
        <w:p>
          <w:pPr>
            <w:pStyle w:val="Contents2"/>
            <w:tabs>
              <w:tab w:val="clear" w:pos="8743"/>
              <w:tab w:val="right" w:pos="9026" w:leader="dot"/>
            </w:tabs>
            <w:rPr/>
          </w:pPr>
          <w:hyperlink w:anchor="__RefHeading___Toc1982008_1051229030">
            <w:r>
              <w:rPr>
                <w:webHidden/>
                <w:rStyle w:val="IndexLink"/>
                <w:rtl w:val="true"/>
              </w:rPr>
              <w:t xml:space="preserve">المقام الرابع </w:t>
            </w:r>
            <w:r>
              <w:rPr>
                <w:rStyle w:val="IndexLink"/>
                <w:rtl w:val="true"/>
              </w:rPr>
              <w:t xml:space="preserve">: </w:t>
            </w:r>
            <w:r>
              <w:rPr>
                <w:rStyle w:val="IndexLink"/>
                <w:rtl w:val="true"/>
              </w:rPr>
              <w:t>في أنّ المحبوبة ما هو ؟</w:t>
            </w:r>
            <w:r>
              <w:rPr>
                <w:rStyle w:val="IndexLink"/>
                <w:rtl w:val="true"/>
              </w:rPr>
              <w:tab/>
            </w:r>
            <w:r>
              <w:rPr>
                <w:rStyle w:val="IndexLink"/>
              </w:rPr>
              <w:t>87</w:t>
            </w:r>
          </w:hyperlink>
        </w:p>
        <w:p>
          <w:pPr>
            <w:pStyle w:val="Contents3"/>
            <w:tabs>
              <w:tab w:val="clear" w:pos="8459"/>
              <w:tab w:val="right" w:pos="9026" w:leader="dot"/>
            </w:tabs>
            <w:rPr/>
          </w:pPr>
          <w:hyperlink w:anchor="__RefHeading___Toc1982010_105122903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982012_1051229030">
            <w:r>
              <w:rPr>
                <w:webHidden/>
                <w:rStyle w:val="IndexLink"/>
                <w:rtl w:val="true"/>
              </w:rPr>
              <w:t>بيان و تنبيه</w:t>
            </w:r>
            <w:r>
              <w:rPr>
                <w:rStyle w:val="IndexLink"/>
                <w:rtl w:val="true"/>
              </w:rPr>
              <w:tab/>
            </w:r>
            <w:r>
              <w:rPr>
                <w:rStyle w:val="IndexLink"/>
              </w:rPr>
              <w:t>90</w:t>
            </w:r>
          </w:hyperlink>
        </w:p>
        <w:p>
          <w:pPr>
            <w:pStyle w:val="Contents2"/>
            <w:tabs>
              <w:tab w:val="clear" w:pos="8743"/>
              <w:tab w:val="right" w:pos="9026" w:leader="dot"/>
            </w:tabs>
            <w:rPr/>
          </w:pPr>
          <w:hyperlink w:anchor="__RefHeading___Toc1982014_1051229030">
            <w:r>
              <w:rPr>
                <w:webHidden/>
                <w:rStyle w:val="IndexLink"/>
                <w:rtl w:val="true"/>
              </w:rPr>
              <w:t>فهرس مصادر التحقيق</w:t>
            </w:r>
            <w:r>
              <w:rPr>
                <w:rStyle w:val="IndexLink"/>
                <w:rtl w:val="true"/>
              </w:rPr>
              <w:tab/>
            </w:r>
            <w:r>
              <w:rPr>
                <w:rStyle w:val="IndexLink"/>
              </w:rPr>
              <w:t>97</w:t>
            </w:r>
          </w:hyperlink>
        </w:p>
        <w:p>
          <w:pPr>
            <w:pStyle w:val="Contents2"/>
            <w:tabs>
              <w:tab w:val="clear" w:pos="8743"/>
              <w:tab w:val="right" w:pos="9026" w:leader="dot"/>
            </w:tabs>
            <w:rPr/>
          </w:pPr>
          <w:hyperlink w:anchor="__RefHeading___Toc1982016_1051229030">
            <w:r>
              <w:rPr>
                <w:webHidden/>
                <w:rStyle w:val="IndexLink"/>
                <w:rtl w:val="true"/>
              </w:rPr>
              <w:t>فهرس المحتوى</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53_121631"/>
      <w:bookmarkStart w:id="1" w:name="pg7453_121631"/>
      <w:bookmarkEnd w:id="1"/>
    </w:p>
    <w:p>
      <w:pPr>
        <w:pStyle w:val="Heading2"/>
        <w:numPr>
          <w:ilvl w:val="1"/>
          <w:numId w:val="1"/>
        </w:numPr>
        <w:rPr/>
      </w:pPr>
      <w:bookmarkStart w:id="2" w:name="pg7453_121631"/>
      <w:bookmarkStart w:id="3" w:name="__RefHeading___Toc1981846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رسالة في الحبوَة</w:t>
      </w:r>
    </w:p>
    <w:p>
      <w:pPr>
        <w:pStyle w:val="BookText"/>
        <w:rPr/>
      </w:pPr>
      <w:r>
        <w:rPr>
          <w:rFonts w:ascii="Amiri" w:hAnsi="Amiri" w:eastAsia="Amiri" w:cs="Amiri"/>
          <w:color w:val="111111"/>
          <w:sz w:val="28"/>
          <w:sz w:val="28"/>
          <w:szCs w:val="28"/>
          <w:rtl w:val="true"/>
          <w:lang w:bidi="ar-SA"/>
        </w:rPr>
        <w:t>تأليف العلاّمة الفقيه المحقّق السيّد أسد اللّه بن محمّد باقر الشفتيّ الاصفهانيّ قدس‌سره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مسجد السيّد حجّة الإسلام رحمه‌الله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184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53_121635"/>
      <w:bookmarkStart w:id="8" w:name="pg7453_121635"/>
      <w:bookmarkEnd w:id="8"/>
    </w:p>
    <w:p>
      <w:pPr>
        <w:pStyle w:val="Heading2"/>
        <w:numPr>
          <w:ilvl w:val="1"/>
          <w:numId w:val="1"/>
        </w:numPr>
        <w:rPr/>
      </w:pPr>
      <w:bookmarkStart w:id="9" w:name="pg7453_121635"/>
      <w:bookmarkStart w:id="10" w:name="__RefHeading___Toc1981850_1051229030"/>
      <w:bookmarkStart w:id="11" w:name="_Toc3"/>
      <w:bookmarkEnd w:id="9"/>
      <w:bookmarkEnd w:id="10"/>
      <w:r>
        <w:rPr>
          <w:rtl w:val="true"/>
        </w:rPr>
        <w:t>مقدّمة التحقيق</w:t>
      </w:r>
      <w:bookmarkEnd w:id="11"/>
    </w:p>
    <w:p>
      <w:pPr>
        <w:pStyle w:val="Heading3"/>
        <w:numPr>
          <w:ilvl w:val="2"/>
          <w:numId w:val="1"/>
        </w:numPr>
        <w:rPr/>
      </w:pPr>
      <w:bookmarkStart w:id="12" w:name="__RefHeading___Toc1981852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 تتضمّن ثلاثة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ترجمة المؤلّف</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بالرسالة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التحقيق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7453_121639"/>
      <w:bookmarkStart w:id="15" w:name="pg7453_121639"/>
      <w:bookmarkEnd w:id="15"/>
    </w:p>
    <w:p>
      <w:pPr>
        <w:pStyle w:val="Heading3"/>
        <w:numPr>
          <w:ilvl w:val="2"/>
          <w:numId w:val="1"/>
        </w:numPr>
        <w:rPr/>
      </w:pPr>
      <w:bookmarkStart w:id="16" w:name="pg7453_121639"/>
      <w:bookmarkStart w:id="17" w:name="__RefHeading___Toc1981854_1051229030"/>
      <w:bookmarkStart w:id="18" w:name="_Toc5"/>
      <w:bookmarkEnd w:id="16"/>
      <w:bookmarkEnd w:id="17"/>
      <w:r>
        <w:rPr>
          <w:rtl w:val="true"/>
        </w:rPr>
        <w:t>مقدّمة التحقيق</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على جزيل إفضاله و عظيم إنعامه، والصلاة والسلام على خاتم رسله وأنبيائه محمّد و آله الطيّبين الطاهرين، سيّما مهديّ الأمّة و هاديها وملاذها و منجيها الحجّة الثاني عشر عجّل اللّه تعالى فرجه الشريف ؛ و لعنة اللّه على معانديهم و منكري فضائلهم من الآن إلى قيام يوم الدين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فهذه مقدّمة وجيزة مشتملة على ثلاثة فصول </w:t>
      </w:r>
      <w:r>
        <w:rPr>
          <w:rFonts w:eastAsia="Amiri" w:cs="Amiri" w:ascii="Amiri" w:hAnsi="Amiri"/>
          <w:color w:val="111111"/>
          <w:sz w:val="28"/>
          <w:szCs w:val="28"/>
          <w:rtl w:val="true"/>
          <w:lang w:bidi="ar-SA"/>
        </w:rPr>
        <w:t xml:space="preserve">: </w:t>
      </w:r>
      <w:bookmarkStart w:id="19" w:name="pg7453_121641"/>
    </w:p>
    <w:p>
      <w:pPr>
        <w:pStyle w:val="Heading3"/>
        <w:numPr>
          <w:ilvl w:val="2"/>
          <w:numId w:val="1"/>
        </w:numPr>
        <w:rPr/>
      </w:pPr>
      <w:bookmarkStart w:id="20" w:name="__RefHeading___Toc1981856_1051229030"/>
      <w:bookmarkStart w:id="21" w:name="_Toc6"/>
      <w:bookmarkEnd w:id="19"/>
      <w:bookmarkEnd w:id="20"/>
      <w:r>
        <w:rPr>
          <w:rtl w:val="true"/>
        </w:rPr>
        <w:t xml:space="preserve">الفصل الأوّل </w:t>
      </w:r>
      <w:r>
        <w:rPr>
          <w:rtl w:val="true"/>
        </w:rPr>
        <w:t>:</w:t>
      </w:r>
      <w:r>
        <w:rPr>
          <w:rtl w:val="true"/>
        </w:rPr>
        <w:t>ترجمة المؤلّف قدس‌سره</w:t>
      </w:r>
      <w:bookmarkEnd w:id="21"/>
    </w:p>
    <w:p>
      <w:pPr>
        <w:pStyle w:val="Heading4"/>
        <w:numPr>
          <w:ilvl w:val="3"/>
          <w:numId w:val="1"/>
        </w:numPr>
        <w:rPr/>
      </w:pPr>
      <w:bookmarkStart w:id="22" w:name="__RefHeading___Toc1981858_1051229030"/>
      <w:bookmarkStart w:id="23" w:name="_Toc7"/>
      <w:bookmarkEnd w:id="22"/>
      <w:r>
        <w:rPr>
          <w:rtl w:val="true"/>
        </w:rPr>
        <w:t>اسمه و نسبه</w:t>
      </w:r>
      <w:bookmarkEnd w:id="23"/>
    </w:p>
    <w:p>
      <w:pPr>
        <w:pStyle w:val="BookText"/>
        <w:rPr/>
      </w:pPr>
      <w:r>
        <w:rPr>
          <w:rFonts w:ascii="Amiri" w:hAnsi="Amiri" w:eastAsia="Amiri" w:cs="Amiri"/>
          <w:color w:val="111111"/>
          <w:sz w:val="28"/>
          <w:sz w:val="28"/>
          <w:szCs w:val="28"/>
          <w:rtl w:val="true"/>
          <w:lang w:bidi="ar-SA"/>
        </w:rPr>
        <w:t xml:space="preserve">هو السيّد السند والمولى المعظّم والمتتبّع الخبير العلاّمة الفقيه السيّد أسد اللّه ابن محمّد باقر بن محمّد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الجيلانيّ الشفتيّ الاصفهانيّ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نسبه الشريف هكذا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 اللّه بن محمّد باقر بن محمّد نقي بن محمّد زكي بن محمّد تقي بن شاه قاسم بن مير أشرف بن شاه قاسم بن شاه هدايت بن الأمير هاشم بن السلطان السيّد عليّ قاضي بن السيّد عليّ بن السيّد محمّد بن السيّد علي بن السيّد محمّد بن السيّد موسى بن السيّد جعفر بن السيّد إسماعيل بن السيّد أحمد بن السيّد محمّد بن السيّد أحمد بن السيّد محمّد بن السيّد أبي القاسم بن السيّد حمزة بن الإمام موسى الكاظم عليه‌السلام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4" w:name="pg7453_121643"/>
    </w:p>
    <w:p>
      <w:pPr>
        <w:pStyle w:val="Heading4"/>
        <w:numPr>
          <w:ilvl w:val="3"/>
          <w:numId w:val="1"/>
        </w:numPr>
        <w:rPr/>
      </w:pPr>
      <w:bookmarkStart w:id="25" w:name="__RefHeading___Toc1981860_1051229030"/>
      <w:bookmarkStart w:id="26" w:name="_Toc8"/>
      <w:bookmarkEnd w:id="24"/>
      <w:bookmarkEnd w:id="25"/>
      <w:r>
        <w:rPr>
          <w:rtl w:val="true"/>
        </w:rPr>
        <w:t>مولده و نشأته</w:t>
      </w:r>
      <w:bookmarkEnd w:id="26"/>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مدينة اصفهان </w:t>
      </w:r>
      <w:r>
        <w:rPr>
          <w:rStyle w:val="FootnoteAnchor"/>
          <w:rtl w:val="true"/>
        </w:rPr>
        <w:footnoteReference w:id="3"/>
      </w:r>
      <w:r>
        <w:rPr>
          <w:rFonts w:ascii="Amiri" w:hAnsi="Amiri" w:eastAsia="Amiri" w:cs="Amiri"/>
          <w:color w:val="111111"/>
          <w:sz w:val="28"/>
          <w:sz w:val="28"/>
          <w:szCs w:val="28"/>
          <w:rtl w:val="true"/>
          <w:lang w:bidi="ar-SA"/>
        </w:rPr>
        <w:t xml:space="preserve">، و نشأ بها على أبيه العلاّمة الفقيه الورع المحقّق المدقّق الباذل السيّد محمّد باقر الشفتيّ، المعروف بحجّة الإسلام على الإطلاق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981862_1051229030"/>
      <w:bookmarkStart w:id="28" w:name="_Toc9"/>
      <w:bookmarkEnd w:id="27"/>
      <w:r>
        <w:rPr>
          <w:rtl w:val="true"/>
        </w:rPr>
        <w:t>والده قدس‌سره</w:t>
      </w:r>
      <w:bookmarkEnd w:id="2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الجليل والعالم النبيل الحاجّ السيّد محمّد باقر الموسوي الشفتي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أمره في العلم و التحقيق والتدقيق والديانة والجلالة و مكارم الأخلاق أشهر من أن يذكر و أجلّ من أن يسطر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جمع اللّه فيه من الخصال النفسانيّة من العلم والفضل والتقوى والخشية والقوّة في الدين والسخاء، والاهتمام بأمور المسلمين، والجاه العظيم، ونشر الشرائع والأحكام، و تعظيم شعائر الإسلام، وإجراء الحدود الإلهيّة في الأنام، والهيبة في قلوب السلاطين والحكّام، ما لم يجتمع في أحد من أقرانه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حدود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وانتقل إلى العراق سنة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له سبع عشرة سنة، فحضر في كربلاء على الأستاذ الأكبر العلاّمة البهبهاني والسيّد علي صاحب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رحل إلى النجف و تلمّذ على السيّد الطباطبائي بحر العلوم، والشيخ الأكبر كاشف الغطاء، ثمّ رجع إلى الكاظميّة و قرأ القضاء والشهادات على المقدّس الأعرجي مدّة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حلّت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تمّ بها على السيّد حجّة الإسلام في العراق ثمان سنين بلغ فيها درجة سامية و مكانة عالية، رجع إلى ديار العجم </w:t>
      </w:r>
      <w:r>
        <w:rPr>
          <w:rStyle w:val="FootnoteAnchor"/>
          <w:rtl w:val="true"/>
        </w:rPr>
        <w:footnoteReference w:id="5"/>
      </w:r>
      <w:r>
        <w:rPr>
          <w:rFonts w:ascii="Amiri" w:hAnsi="Amiri" w:eastAsia="Amiri" w:cs="Amiri"/>
          <w:color w:val="111111"/>
          <w:sz w:val="28"/>
          <w:sz w:val="28"/>
          <w:szCs w:val="28"/>
          <w:rtl w:val="true"/>
          <w:lang w:bidi="ar-SA"/>
        </w:rPr>
        <w:t xml:space="preserve">، و توطن في </w:t>
      </w:r>
    </w:p>
    <w:p>
      <w:pPr>
        <w:pStyle w:val="BookText"/>
        <w:rPr/>
      </w:pPr>
      <w:r>
        <w:rPr>
          <w:rFonts w:ascii="IRNazanin" w:hAnsi="IRNazanin" w:eastAsia="IRNazanin"/>
          <w:color w:val="111111"/>
          <w:sz w:val="28"/>
          <w:sz w:val="28"/>
          <w:szCs w:val="28"/>
          <w:rtl w:val="true"/>
          <w:lang w:bidi="fa-IR"/>
        </w:rPr>
        <w:t xml:space="preserve">أصفهان </w:t>
      </w:r>
      <w:r>
        <w:rPr>
          <w:rStyle w:val="FootnoteAnchor"/>
          <w:rtl w:val="true"/>
        </w:rPr>
        <w:footnoteReference w:id="6"/>
      </w:r>
      <w:r>
        <w:rPr>
          <w:rFonts w:ascii="Amiri" w:hAnsi="Amiri" w:eastAsia="Amiri" w:cs="Amiri"/>
          <w:color w:val="111111"/>
          <w:sz w:val="28"/>
          <w:sz w:val="28"/>
          <w:szCs w:val="28"/>
          <w:rtl w:val="true"/>
          <w:lang w:bidi="ar-SA"/>
        </w:rPr>
        <w:t xml:space="preserve">مع الحاجّ محمّد إبراهيم الكلباسي قدس‌سره، و كانا صديقين رفيقين شفيقين، فاجتمع عليه أهل العلم والمحصّلون، وانتقلت إليه رياسة الإماميّة في أغلب الأقطار بعد ذهاب المشايخ رحمهم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له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الارتحال من أصفهان إلى قم أيّام زعامة المحقّق القمّي رحمه‌الله، فحضر مجلسه بما ينيف على ستّة أشهر </w:t>
      </w:r>
      <w:r>
        <w:rPr>
          <w:rStyle w:val="FootnoteAnchor"/>
          <w:rtl w:val="true"/>
        </w:rPr>
        <w:footnoteReference w:id="7"/>
      </w:r>
      <w:r>
        <w:rPr>
          <w:rFonts w:ascii="Amiri" w:hAnsi="Amiri" w:eastAsia="Amiri" w:cs="Amiri"/>
          <w:color w:val="111111"/>
          <w:sz w:val="28"/>
          <w:sz w:val="28"/>
          <w:szCs w:val="28"/>
          <w:rtl w:val="true"/>
          <w:lang w:bidi="ar-SA"/>
        </w:rPr>
        <w:t xml:space="preserve">، و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لنفسي الترقّي الكامل في هذه المدّة القليلة بقدر تمام ما حصل لي في مدّة مقامي بالعتبات العاليات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له الميرزا قدس‌سره إجازة مبسوطة مضبوطة كان يغتنم بها من ذلك السفر المبارك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حدود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أخذ في بناء المسجد الأعظم باصبهان، و أنفق عليه مالاً جزيلاً، و جعل له مدارس و حجرات للطلبة، و أسّس أساسًا لم يعهد مثله من </w:t>
      </w:r>
      <w:bookmarkStart w:id="29" w:name="pg7453_121649"/>
    </w:p>
    <w:p>
      <w:pPr>
        <w:pStyle w:val="BookText"/>
        <w:rPr/>
      </w:pPr>
      <w:bookmarkEnd w:id="29"/>
      <w:r>
        <w:rPr>
          <w:rFonts w:ascii="Amiri" w:hAnsi="Amiri" w:eastAsia="Amiri" w:cs="Amiri"/>
          <w:color w:val="111111"/>
          <w:sz w:val="28"/>
          <w:sz w:val="28"/>
          <w:szCs w:val="28"/>
          <w:rtl w:val="true"/>
          <w:lang w:bidi="ar-SA"/>
        </w:rPr>
        <w:t xml:space="preserve">أحد من العلماء والمجتهدين، و بنى فيه قبّة لمدفن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حسنة نافعة تنبئ عن طول باعه، و رسائل عديدة في مطالب رجاليّة تظهر منها دقّة اطّلاعه، كمطالع الأنوار في شرح شرائع الإسلام ؛ و تحفة</w:t>
      </w:r>
    </w:p>
    <w:p>
      <w:pPr>
        <w:pStyle w:val="BookText"/>
        <w:rPr/>
      </w:pPr>
      <w:r>
        <w:rPr>
          <w:rFonts w:ascii="Amiri" w:hAnsi="Amiri" w:eastAsia="Amiri" w:cs="Amiri"/>
          <w:color w:val="111111"/>
          <w:sz w:val="28"/>
          <w:sz w:val="28"/>
          <w:szCs w:val="28"/>
          <w:rtl w:val="true"/>
          <w:lang w:bidi="ar-SA"/>
        </w:rPr>
        <w:t xml:space="preserve">الأبرار في الصلاة ؛ والقضاء والشهادات ؛ والزهرة البارقة في المجاز والحقيقة ؛ وكتاب السؤال والجواب،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رحمه‌الله بمرض الاستسقاء في يوم الأحد، ثاني شهر ربيع الثاني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بعد ثلاثة أيّام من وفاته في البقعة الّتي بناها لنفسه في جانب مسجده الكبير باصبهان، و هي الآن مشهد معروف و مزار متبرّك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981864_1051229030"/>
      <w:bookmarkStart w:id="31" w:name="_Toc10"/>
      <w:bookmarkEnd w:id="30"/>
      <w:r>
        <w:rPr>
          <w:rtl w:val="true"/>
        </w:rPr>
        <w:t>أولاده</w:t>
      </w:r>
      <w:bookmarkEnd w:id="31"/>
    </w:p>
    <w:p>
      <w:pPr>
        <w:pStyle w:val="BookText"/>
        <w:rPr/>
      </w:pPr>
      <w:r>
        <w:rPr>
          <w:rFonts w:ascii="Amiri" w:hAnsi="Amiri" w:eastAsia="Amiri" w:cs="Amiri"/>
          <w:color w:val="111111"/>
          <w:sz w:val="28"/>
          <w:sz w:val="28"/>
          <w:szCs w:val="28"/>
          <w:rtl w:val="true"/>
          <w:lang w:bidi="ar-SA"/>
        </w:rPr>
        <w:t xml:space="preserve">لم يخلّف سيّدنا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أربع بنات، و ولدًا هو العالم الفاضل الأديب السيّد محمّد باقر، المعروف بحاج آقا، من كريمة العالم الزاهد الشيخ ملاّ علي الخليلي النجفيّ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من اصفهان إلى بلد الهجرة النجف الأشرف بعد وفاة والده لدراسة العلوم الدينيّة والمعارف الإسلاميّة والأدب، و حصل على علم جمّ و فضل جزيل وأدب واسع جميل، و حضر على جملة من علماء النجف، كما و حضر عند الشيخ محمّد حرز الدين النجفي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والأصول والكلام عدّة سنين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وجهًا من وجوه النجف، و داره حافلة بالعلماء والأدباء والشعراء، وصار </w:t>
      </w:r>
    </w:p>
    <w:p>
      <w:pPr>
        <w:pStyle w:val="BookText"/>
        <w:rPr/>
      </w:pPr>
      <w:r>
        <w:rPr>
          <w:rFonts w:ascii="Amiri" w:hAnsi="Amiri" w:eastAsia="Amiri" w:cs="Amiri"/>
          <w:color w:val="111111"/>
          <w:sz w:val="28"/>
          <w:sz w:val="28"/>
          <w:szCs w:val="28"/>
          <w:rtl w:val="true"/>
          <w:lang w:bidi="ar-SA"/>
        </w:rPr>
        <w:t xml:space="preserve">له ولع في نظم الشعر و كان ينظم الشعر الفارسي والعربي الجيّد في بعض المناسبات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مقاطيع و مداعبات مع أدباء عصره في النجف خصوصًا السيّد جعفر الحلّي رحمه‌الله صديقه، و مدحه شعرائها بما هو مذكور في دواوينهم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في الأئمّة عليهم‌السلام شعر كثير، فمنه قوله في مدح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عمّ النبيّ أيّ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أرفع المدائح تذكرْ</w:t>
      </w:r>
    </w:p>
    <w:p>
      <w:pPr>
        <w:pStyle w:val="BookText"/>
        <w:rPr/>
      </w:pPr>
      <w:r>
        <w:rPr>
          <w:rFonts w:ascii="Amiri" w:hAnsi="Amiri" w:eastAsia="Amiri" w:cs="Amiri"/>
          <w:color w:val="111111"/>
          <w:sz w:val="28"/>
          <w:sz w:val="28"/>
          <w:szCs w:val="28"/>
          <w:rtl w:val="true"/>
          <w:lang w:bidi="ar-SA"/>
        </w:rPr>
        <w:t xml:space="preserve">بعد ما أنزل الإله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لا يستطاع للقوم ينكر</w:t>
      </w:r>
    </w:p>
    <w:p>
      <w:pPr>
        <w:pStyle w:val="BookText"/>
        <w:rPr/>
      </w:pPr>
      <w:r>
        <w:rPr>
          <w:rFonts w:ascii="Amiri" w:hAnsi="Amiri" w:eastAsia="Amiri" w:cs="Amiri"/>
          <w:color w:val="111111"/>
          <w:sz w:val="28"/>
          <w:sz w:val="28"/>
          <w:szCs w:val="28"/>
          <w:rtl w:val="true"/>
          <w:lang w:bidi="ar-SA"/>
        </w:rPr>
        <w:t xml:space="preserve">و ثناء النبيّ فيك فأبدى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 ثنا أناب وبكّر</w:t>
      </w:r>
    </w:p>
    <w:p>
      <w:pPr>
        <w:pStyle w:val="BookText"/>
        <w:rPr/>
      </w:pPr>
      <w:r>
        <w:rPr>
          <w:rFonts w:ascii="Amiri" w:hAnsi="Amiri" w:eastAsia="Amiri" w:cs="Amiri"/>
          <w:color w:val="111111"/>
          <w:sz w:val="28"/>
          <w:sz w:val="28"/>
          <w:szCs w:val="28"/>
          <w:rtl w:val="true"/>
          <w:lang w:bidi="ar-SA"/>
        </w:rPr>
        <w:t xml:space="preserve">هو في مطعم المعادين 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مطعم الموالين سُكّر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أيّ فضل يزويه عنك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تزوى شمس الضحى لو تفكّر</w:t>
      </w:r>
    </w:p>
    <w:p>
      <w:pPr>
        <w:pStyle w:val="BookText"/>
        <w:rPr/>
      </w:pPr>
      <w:r>
        <w:rPr>
          <w:rFonts w:ascii="Amiri" w:hAnsi="Amiri" w:eastAsia="Amiri" w:cs="Amiri"/>
          <w:color w:val="111111"/>
          <w:sz w:val="28"/>
          <w:sz w:val="28"/>
          <w:szCs w:val="28"/>
          <w:rtl w:val="true"/>
          <w:lang w:bidi="ar-SA"/>
        </w:rPr>
        <w:t xml:space="preserve">كذب العاذلون فيك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زور بهم يحاط و يمكر</w:t>
      </w:r>
    </w:p>
    <w:p>
      <w:pPr>
        <w:pStyle w:val="BookText"/>
        <w:rPr/>
      </w:pPr>
      <w:r>
        <w:rPr>
          <w:rFonts w:ascii="Amiri" w:hAnsi="Amiri" w:eastAsia="Amiri" w:cs="Amiri"/>
          <w:color w:val="111111"/>
          <w:sz w:val="28"/>
          <w:sz w:val="28"/>
          <w:szCs w:val="28"/>
          <w:rtl w:val="true"/>
          <w:lang w:bidi="ar-SA"/>
        </w:rPr>
        <w:t xml:space="preserve">قد أتوا منكرًا فحسبهم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يوم المعاد و منكر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قال الشيخ محمّد السماوي رحمه‌الله بعد نقل هذه الأبيات في الطليعة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الأبيات أنشدنيها في الكاظميّين عليهماالسلام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مراثٍ محفوظة بالنجف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2" w:name="pg7453_121653"/>
    </w:p>
    <w:p>
      <w:pPr>
        <w:pStyle w:val="BookText"/>
        <w:rPr/>
      </w:pPr>
      <w:bookmarkEnd w:id="32"/>
      <w:r>
        <w:rPr>
          <w:rFonts w:ascii="Amiri" w:hAnsi="Amiri" w:eastAsia="Amiri" w:cs="Amiri"/>
          <w:color w:val="111111"/>
          <w:sz w:val="28"/>
          <w:sz w:val="28"/>
          <w:szCs w:val="28"/>
          <w:rtl w:val="true"/>
          <w:lang w:bidi="ar-SA"/>
        </w:rPr>
        <w:t xml:space="preserve">و من آثاره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عدّة مسائل من الفقه، كالرضاع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رجع إلى اصفهان بعياله أبان حركة حزب المشروطة في إيران، فكان هناك مطاعًا مبجلاً إمامًا، و لمّا قوى واشتدّ النضال بين المشروطة والمستبّدة في اصفهان بل في إيران عامّة، عاد إلى دار الهجرة النجف الأشرف، فمكث فيها قليلاً، ثمّ عاد إلى وطنه الأصليّ اصفهان، و بقي بها إلى أن توفّى إلى رحمة اللّه تعالى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دفن في مقبرة جدّه حجّة الإسلام قدس‌سره في محلّة بيد آباد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981866_1051229030"/>
      <w:bookmarkStart w:id="34" w:name="_Toc11"/>
      <w:bookmarkEnd w:id="33"/>
      <w:r>
        <w:rPr>
          <w:rtl w:val="true"/>
        </w:rPr>
        <w:t>كلمات العلماء في حقّه</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عنه صاحب الروضات رحمه‌الله في ترجمة والده قدس‌سره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فصلّى عليه قدس‌سره ولده الأفضل، و خلفه الأسعد الأرشد، والفقيه الأوحد، والحبر المؤيّد، والنور المجرّد، والعماد الأعمد، النفس القدسيّ، والملك الإنسيّ، الجليل الأوّاه، و محبوب الأفئدة، وممدوح الأفواه، مولانا و سيّدنا السيّد أسداللّه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أجلاّء تلامذة شيخنا الأفقه الأعلم القمقام قطب أرحية هذهالأيّام الشيخ محمّد حسن النجفي ، صاحب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عن عوائق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منصوصًا على اجتهاده وفقاهته بلفظه و كتابته، بل محثوثًا على الرجوع إلى ما أفتى به وحكم في جميع ديار 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اللّه ترحّمه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كثيرًا و يحبّ الناس على متابعته و إجلاله، و قد يرجّحه في قوّة النظر على فخر المحقّقين ابن العلاّمة في جواب بعض من سأله عن 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متّفقون على جلالته، متشاحون على جماعته، مطبقون على إرادته، مادحون جميل طريقته، حامدون جليل حقّه و منّه، بل مقدّمون إيّاه على والده الأكرم في أغلب مكارم أخلاقه ومحامد أوصافه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عنه العلاّمة السيّد شفيع الجابلقي قدس‌سره في الروضة البهيّة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الأعظم، والمولى المكرّم، الفاضل العالم العامل الزاهد الورع التقيّ المجتهد البصير، والعالم الخبير الحاج ميرزا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عمره الشريف وأطال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مثله في الزهد والورع والتقوى، بلغ مبلغ والده في الزهد والمقبوليّة عند العامّة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هكذا وصفه العلاّمة السيّد علي اصغر البروجرديّ قدس‌سره في طرائف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كلّ لساني عن توصيفه، هو الثقة الجليل، مرجع الخاصّ والعامّ من العرب والعجم، كان السلطان مشفقًا إليه و هو يتبرّأ منه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السيّد عبدالحسين شرف الدين في ترجمة والده قدس‌سره ما هذا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وخَلَفَه ولده الأبرّ الأغرّ، الفقيه الأصولي، المحقّق البحّاثة، العلاّمة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رحمه‌الله على شاكلة أبيه في العلم والعمل والجهاد لنفسه والمراقبة عليها آناء الليل و أطراف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انتهت إليه رئاسة الدين في إيران، وانقادت لأمره عامّة الناس وخاصّتها حتّى السلطان ناصر الدين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أنفق هذا الجاه العظيم في خدمة الدين الإسلامي، و تأييد المذهب الإمامي، ونشر علوم آل محمّد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عنه آية اللّه الشيخ عبّاس بن الشيخ حسن كاشف الغطاء قدس‌سره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بعض العلماء الّذين عاصرهم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ذو آبة بني هاشم صاحب المزايا الحميدة المشهور له بالفضلوالصلاح الحاج سيّد أسد اللّه، نجل حجّة الإسلام الحاج سيّد محمّد </w:t>
      </w:r>
    </w:p>
    <w:p>
      <w:pPr>
        <w:pStyle w:val="BookText"/>
        <w:rPr/>
      </w:pPr>
      <w:r>
        <w:rPr>
          <w:rFonts w:ascii="Amiri" w:hAnsi="Amiri" w:eastAsia="Amiri" w:cs="Amiri"/>
          <w:color w:val="111111"/>
          <w:sz w:val="28"/>
          <w:sz w:val="28"/>
          <w:szCs w:val="28"/>
          <w:rtl w:val="true"/>
          <w:lang w:bidi="ar-SA"/>
        </w:rPr>
        <w:t xml:space="preserve">باقر الرشتي، من أجلّ العلماء قدرًا و أعلاهم ذكرًا، اجتهد في إحياء الشريعة في اصبهان حتّى ملك قلوب الشيعة، و رجعت العامّة إليه في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اجتمعت به زمانًا في النجف فألفيته جامعًا لما تعسر على غيره، باذلاً نفسه في مرضاة اللّه، يحبّ الخير، و كثيرًا ما جرى على يده من الأمور الخيريّة، سخيّ الطبع، مغيثًا للفقراء، مسموع الكلمة عند حكّام إيران، فلق الحجر الصلد بعزيمته، و جاء بالماء العذب الفرات إلى النجف الأشرف، فاستقوا و دوابهم منه واستراخوا به بعد ما نالهم العطش، و بنى عليه مكانًا لتغسيل الموتى لا يعفو رسمه غير انّه لما قضى نحبه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سيّد الكلّ غابا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الماء لعدم من يقوم بتنقية قناته، نسأل اللّه تعالى أن يوفّق ولده لأن يصلح 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الولد الصالح والصدقة الجارية ممّا لا ينقطع عمل ابن آدم عنه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العلاّمة السيّد حسن الصدر رحمه‌الله في ترجمته في التكملة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عمّنا في يتيمته </w:t>
      </w:r>
      <w:r>
        <w:rPr>
          <w:rStyle w:val="FootnoteAnchor"/>
          <w:rtl w:val="true"/>
        </w:rPr>
        <w:footnoteReference w:id="19"/>
      </w:r>
      <w:r>
        <w:rPr>
          <w:rFonts w:ascii="Amiri" w:hAnsi="Amiri" w:eastAsia="Amiri" w:cs="Amiri"/>
          <w:color w:val="111111"/>
          <w:sz w:val="28"/>
          <w:sz w:val="28"/>
          <w:szCs w:val="28"/>
          <w:rtl w:val="true"/>
          <w:lang w:bidi="ar-SA"/>
        </w:rPr>
        <w:t xml:space="preserve">في ذيل ترجمة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الآقا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قام مقام أبيه و زيادة، و سلك لنيل الفضل خير جادة </w:t>
      </w:r>
      <w:r>
        <w:rPr>
          <w:rFonts w:eastAsia="Amiri" w:cs="Amiri" w:ascii="Amiri" w:hAnsi="Amiri"/>
          <w:color w:val="111111"/>
          <w:sz w:val="28"/>
          <w:szCs w:val="28"/>
          <w:rtl w:val="true"/>
          <w:lang w:bidi="ar-SA"/>
        </w:rPr>
        <w:t xml:space="preserve">. </w:t>
      </w:r>
      <w:bookmarkStart w:id="35" w:name="pg7453_121661"/>
    </w:p>
    <w:p>
      <w:pPr>
        <w:pStyle w:val="BookText"/>
        <w:rPr/>
      </w:pPr>
      <w:bookmarkEnd w:id="35"/>
      <w:r>
        <w:rPr>
          <w:rFonts w:ascii="Amiri" w:hAnsi="Amiri" w:eastAsia="Amiri" w:cs="Amiri"/>
          <w:color w:val="111111"/>
          <w:sz w:val="28"/>
          <w:sz w:val="28"/>
          <w:szCs w:val="28"/>
          <w:rtl w:val="true"/>
          <w:lang w:bidi="ar-SA"/>
        </w:rPr>
        <w:t xml:space="preserve">أقام في النجف أحيانًا مدرّسًا في العلم، مباحثًا به، معتزلاً عن الناس، سادًّا للباب على نفسه، راقيًا مدارج أعلى مرتقاها، ومراتب ما أحد سواه رقاها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وجد نفسه منفردًا في فنون العلوم، متوحّدًا في الورع والتقى والحلم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أطرى عليه الشيخ محمّد حرز الدين النجفي قدس‌سره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سيّد معظّم و عالم جليل مقدّم، صاحب مناقب و مآثر، و مكارمه لاتحصى، وآثاره التاريخيّة لا تنحصر، عالي الهمّة، ممدوح بين سائر طبقات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علوّ همّته أنّه لمّا توفّي والده الحجّة قسّم ميراثه على ورثته و جعل حصّته أداءًا لِدَيْن والده المقدّس و كان دَيْنُه جسيمًا، حدّثنا بذلك بعض أصهاره من آل الميرزا خليل الطهراني النجفيّ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981868_1051229030"/>
      <w:bookmarkStart w:id="37" w:name="_Toc12"/>
      <w:bookmarkEnd w:id="36"/>
      <w:r>
        <w:rPr>
          <w:rtl w:val="true"/>
        </w:rPr>
        <w:t>كراماته</w:t>
      </w:r>
      <w:bookmarkEnd w:id="37"/>
    </w:p>
    <w:p>
      <w:pPr>
        <w:pStyle w:val="BookText"/>
        <w:rPr/>
      </w:pPr>
      <w:r>
        <w:rPr>
          <w:rFonts w:ascii="Amiri" w:hAnsi="Amiri" w:eastAsia="Amiri" w:cs="Amiri"/>
          <w:color w:val="111111"/>
          <w:sz w:val="28"/>
          <w:sz w:val="28"/>
          <w:szCs w:val="28"/>
          <w:rtl w:val="true"/>
          <w:lang w:bidi="ar-SA"/>
        </w:rPr>
        <w:t xml:space="preserve">هو قدس‌سره من الّذين تواترت عنه الكرامات ؛ قال الإمام السيّد حسن الصدر رحمه‌اللهفي التكلمة ما هذا لفظه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الحاج علي محمّد الكتبي النجفيّ، ابن الحاج مولى محمّد </w:t>
      </w:r>
    </w:p>
    <w:p>
      <w:pPr>
        <w:pStyle w:val="BookText"/>
        <w:rPr/>
      </w:pPr>
      <w:r>
        <w:rPr>
          <w:rFonts w:ascii="Amiri" w:hAnsi="Amiri" w:eastAsia="Amiri" w:cs="Amiri"/>
          <w:color w:val="111111"/>
          <w:sz w:val="28"/>
          <w:sz w:val="28"/>
          <w:szCs w:val="28"/>
          <w:rtl w:val="true"/>
          <w:lang w:bidi="ar-SA"/>
        </w:rPr>
        <w:t xml:space="preserve">باقر صاحب الدمعة الساكبة عن أبيه العبد الصالح، انّه استجار في مسجد السهلة ليلة من الليالي و كان هناك بعض إخوانه، ممّن كان مشغولاً بتعمير بستان في أراضي السهلة المتّصلة بالفرات،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اشتريت أرضًا كما اشتريت، و عمّرتها بستانًا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أتمكّن من ثمنها، فإنّه كان ذكر له أنّ ثمنها خمسون دينارًا على الأقلّ، و إذا برجل بزيّ الأعراب وقف على رأسي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بستانًا تكون بيدك، و أنا أدفع لك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غاب عنّي، فتعجّبت ورجعت إلى النجف، و لمّا كانت ليلة الجمعة طرق الباب طارق عند السحر، فخرجت إليه و إذا به السيّد الجليل الحاجّ سيّد أسد اللّه، فدفع إليّ خمسين دينارًا إيرانيًّا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ثمن البستان الّتي أمرت أن تشتريها، و أخذ عليّ العهد بالكتمان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فاشتراها و عمّرها و تعرف إلى اليوم ببستان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يقسّم ثمرتها على المؤمنين مادام حيًّا، و كذا أولاده من بعده إلى اليوم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8" w:name="pg7453_121665"/>
    </w:p>
    <w:p>
      <w:pPr>
        <w:pStyle w:val="Heading4"/>
        <w:numPr>
          <w:ilvl w:val="3"/>
          <w:numId w:val="1"/>
        </w:numPr>
        <w:rPr/>
      </w:pPr>
      <w:bookmarkStart w:id="39" w:name="__RefHeading___Toc1981870_1051229030"/>
      <w:bookmarkStart w:id="40" w:name="_Toc13"/>
      <w:bookmarkEnd w:id="38"/>
      <w:bookmarkEnd w:id="39"/>
      <w:r>
        <w:rPr>
          <w:rtl w:val="true"/>
        </w:rPr>
        <w:t>أساتذته</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السيّد محمّد باقر بن محمّد نقي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أحمد بن علي أكبر التربتي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حسن بن باقر النجفي،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إبراهيم بن محمّد باقر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إبراهيم بن محمّد حسن الكلباسي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نوح بن قاسم القرشي الجعفري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981872_1051229030"/>
      <w:bookmarkStart w:id="42" w:name="_Toc14"/>
      <w:bookmarkEnd w:id="41"/>
      <w:r>
        <w:rPr>
          <w:rtl w:val="true"/>
        </w:rPr>
        <w:t>حياته العلميّة والاجتماعيّة</w:t>
      </w:r>
      <w:bookmarkEnd w:id="42"/>
    </w:p>
    <w:p>
      <w:pPr>
        <w:pStyle w:val="BookText"/>
        <w:rPr/>
      </w:pPr>
      <w:r>
        <w:rPr>
          <w:rFonts w:ascii="Amiri" w:hAnsi="Amiri" w:eastAsia="Amiri" w:cs="Amiri"/>
          <w:color w:val="111111"/>
          <w:sz w:val="28"/>
          <w:sz w:val="28"/>
          <w:szCs w:val="28"/>
          <w:rtl w:val="true"/>
          <w:lang w:bidi="ar-SA"/>
        </w:rPr>
        <w:t xml:space="preserve">ولد باصفهان سنة ثمان و عشرين و مائتين و 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اعتنى به أبوه الفقيه السيّد محمّد باقر الشهير بحجّة الإسلام، و قام على تربيته و تعليمه، وعيّن له</w:t>
      </w:r>
    </w:p>
    <w:p>
      <w:pPr>
        <w:pStyle w:val="BookText"/>
        <w:rPr/>
      </w:pPr>
      <w:r>
        <w:rPr>
          <w:rFonts w:ascii="Amiri" w:hAnsi="Amiri" w:eastAsia="Amiri" w:cs="Amiri"/>
          <w:color w:val="111111"/>
          <w:sz w:val="28"/>
          <w:sz w:val="28"/>
          <w:szCs w:val="28"/>
          <w:rtl w:val="true"/>
          <w:lang w:bidi="ar-SA"/>
        </w:rPr>
        <w:t xml:space="preserve">المدرّسين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وارتحل بعد إنهاء المقدّمات إلى العراق، فحضر في كربلاء على السيّد إبراهيم بن محمّد باقر القزويني الحائري ؛ و في النجف على الشيخ نوح بن قاسم ابن محمّد بن مسعود الجعفري القرشي النجفي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لازم الفقيه محمّد حسن بن باقر النجفيّ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 </w:t>
      </w:r>
    </w:p>
    <w:p>
      <w:pPr>
        <w:pStyle w:val="BookText"/>
        <w:rPr/>
      </w:pPr>
      <w:r>
        <w:rPr>
          <w:rFonts w:ascii="Amiri" w:hAnsi="Amiri" w:eastAsia="Amiri" w:cs="Amiri"/>
          <w:color w:val="111111"/>
          <w:sz w:val="28"/>
          <w:sz w:val="28"/>
          <w:szCs w:val="28"/>
          <w:rtl w:val="true"/>
          <w:lang w:bidi="ar-SA"/>
        </w:rPr>
        <w:t xml:space="preserve">به، و تخرّج عليه، و نال مرتبة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إلى اصفهان في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ثمّ مات أبوه في نفس السنة، فقام مقامه وصار المرجع العامّ في بلاد إيران، و نهض بأعباء بعض المشاريع الخيريّة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تلميذ والده قدس‌سره الملاّ أحمد التربتي رحمه‌الله في إجازته الكبيرة له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المكرّم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مع حداثة سنّه وابتلائه بمصائب ترتبت على وفاة والده، تحمل أمور المسلمين، واشتغل بالتدريس لأفاضل الطلاّب و المحصّلين، و صرف أوقاته في تحقيق المسائل بالاستدلال، والردّ إلى الأخبار والأقوال على طريقة سليمة و رويّة مستقيمة ، و مع ذلك الشواغل لم يغفل عمّا اعتاده من المناجات والعبادة، و لم يذهل عمّا اختاره من التواضع والزهادة، و مهما تيسّر له حضر مسجد والده لإقامة صلاة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ساعيًا في قضاء حوائج المسلمين بحسن الخلق و البشاشة، وفي القضاء بين المترافعين بالتروي بل المصالحة، فاستأنس الناس به لما شاهدوا منه جلالة القدر، و علوّ المنزلة، والتوجّه إلى أمورهم بحسن السيرة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هم في رغد من العيش و أمن في الوطن، إذ هبت رياح الفتن، </w:t>
      </w:r>
    </w:p>
    <w:p>
      <w:pPr>
        <w:pStyle w:val="BookText"/>
        <w:rPr/>
      </w:pPr>
      <w:r>
        <w:rPr>
          <w:rFonts w:ascii="Amiri" w:hAnsi="Amiri" w:eastAsia="Amiri" w:cs="Amiri"/>
          <w:color w:val="111111"/>
          <w:sz w:val="28"/>
          <w:sz w:val="28"/>
          <w:szCs w:val="28"/>
          <w:rtl w:val="true"/>
          <w:lang w:bidi="ar-SA"/>
        </w:rPr>
        <w:t xml:space="preserve">وأذهبت فراغ النفس و راحة البدن، و فتحت أبواب الشدائد والمحن، بأن وصل الخبر أن مات محمّد شاه في طهران، و جلس مكانه ولده مع صغره ناصر الدّين شاه ؛ و لقلّة سنّه و عدم وصوله مرتبة الرشد والسياسة ظهر الفتور في أمر السلطنة، فطمع في الملك غير واحد من كلّ قبيلة، فحينئذٍ ظهر الفساد في كثير من البلدان، ولا سيّما خراسان و اصفهان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خراسان فبخروج سالار بن آصف الدولة وادّعائه الملك والسلطنة، و ليس ذكر تفاصيله هنا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اصفهان فبتعدّي الأشرار والمترفين و الظلمة، فلم يعتنوا بالسلطان و أمناء الدولة، فآل الأمر إلى أن أرسلوا من طهران واليًا إلى اصفهان، فلم يطيعوه، بل أهانوه وضيّعوه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أرسلوا من طهران واليًا إلى اصفهان أمير الجنود غلام حسين خان مع العسكر والنظام، فلم يعتنوا به و بمقامه و لا بجيشه و نظامه، فأبرموا في المنازعة والجدال، و أضرموا نار المحاربة والقتال، واجتمعوا في محلّة بيد آباد، و أجمعوا على الفتنة والفساد، وأصرّوا على النزاع، و تمسّكوا بشبهة الدفاع، و قتل من الطرفين جماعة كثيرة، و نهب أموال خطيرة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فتوهّم أتباع السلطان، بل كثير من أهل اصفهان أنّ سيّدنا آقا سيّد أسد اللّه رضي بأفعالهم، و يصغي بأقوالهم، مع أنّه لم يتمكّن من </w:t>
      </w:r>
    </w:p>
    <w:p>
      <w:pPr>
        <w:pStyle w:val="BookText"/>
        <w:rPr/>
      </w:pPr>
      <w:r>
        <w:rPr>
          <w:rFonts w:ascii="Amiri" w:hAnsi="Amiri" w:eastAsia="Amiri" w:cs="Amiri"/>
          <w:color w:val="111111"/>
          <w:sz w:val="28"/>
          <w:sz w:val="28"/>
          <w:szCs w:val="28"/>
          <w:rtl w:val="true"/>
          <w:lang w:bidi="ar-SA"/>
        </w:rPr>
        <w:t xml:space="preserve">دفعهم، و ما دخل مواعظه في سمعهم لسبب لم يناسب ذكره فلم نهتك 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متفكّرًا متحيّرًا إن خرج من البلد و لو خفاءًا استولى عسكر السلطان على بيدآباد و بعض محلاّت أخر، و نهبوا الأموال، و قتلوا الرجال، و سفكت الدماء، و سبيت النساء مع مفاسد أخرى، وإن بقي بحاله و جلس في مكانه صار متّهمًا بالداعية و مخالفته للسلطان وأمناء الدولة، مع ما يترتّب عليها من المفاسد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فجزم عزمه إلى أن سافر إلى طهران لملاقاة أمناء الدولة بعد لقاء السلطان، و توسّط عندهم، واستشفع لديهم في أمر الأشرار والمقصّرين، و إن لم تقبل شفاعته و لم يثمر وساطته فلا أقلّ من أن ترفع الغائلة عن أهل اصفهان، و تدفع البليّة عن كثير من أهل الإيمان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إلى خارج البلد لنقل المكان بعد استمالة قلوب المقصّرين وتهيئة الأسباب اللازمة للمسافرين في يوم الثلثاء غرّة شهر ربيع الأوّل من شهور سنة ستّ و ستّين و مائتين بعد الألف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أخرج معه جميع الأشرار والمقصّرين، و خرج معه كثير من الطلاّب والمحصّلين، و صاحبه جماعة من العلماء والأشراف والعلويّين، و تبعه بعض إخوانه و أقاربه و جيرانه، وخرج جمع كثير من الرجال والنساء عازمين للزيارة لمّا سمعوا بنق </w:t>
      </w:r>
    </w:p>
    <w:p>
      <w:pPr>
        <w:pStyle w:val="BookText"/>
        <w:rPr/>
      </w:pPr>
      <w:r>
        <w:rPr>
          <w:rFonts w:ascii="Amiri" w:hAnsi="Amiri" w:eastAsia="Amiri" w:cs="Amiri"/>
          <w:color w:val="111111"/>
          <w:sz w:val="28"/>
          <w:sz w:val="28"/>
          <w:szCs w:val="28"/>
          <w:rtl w:val="true"/>
          <w:lang w:bidi="ar-SA"/>
        </w:rPr>
        <w:t xml:space="preserve">مكانه، و صحب معه جمّ غفير مع مال خطير للتجارة إلى كاشان و قم و طهران و غيرها من البلدان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فخرجوا بأجمعهم و ذهبوا حتّى وصلوا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تسع فراسخ من اصفهان، فأرسل الأمير سپهدار جيشًا من الرجال والركبان، وأمرهم أن يتعاقبوهم، و يلحقوا بهم، ويحاربوا معهم، ويستأصلوا الأشرار والمقصّرين، و أمر عليهم الغافل المتجبّر والظالم المتكبّر قيقاوس ميرزا، فتعاقبوهم و لحقوا بهم أوّل النهار يوم الأحد سادس الشهر المذكور بعد خروجهم من مورچه خوار بقرب آب أنبار، في صحراء خالية و فضاء صافية لا فيها حصن و لا جدار و لا ماء و لا أشجار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أحسّوا بمجيء الجيش و وروده والظالم و جنوده، توحّش المقصّرون، و دهش الأشرار، فاحترزوا عن التوقّف والقرار وافترضوا التخلّف و الفرار، فذهب كلّ إلى قطر من الأقطار، وبقي من لا جرم له ولا جناية، و ما صدر منه تقصير و لا خيانة، فأحاطوا بهم كالكلاب العادية، و هجموا عليهم كالذئاب الضارية، فشرعوا في شتمهم، وأسرعوا إلى زجرهم و لطمهم، و بادروا إلى نهبهم، وبالغوا في سلبهم، فنهبوا أموالهم، وأذهبوا رحالهم، و غصبوا دوابهم، وسلبوا ثيابهم، وأصرّوا في إيذائهم، و لم يقصروا في جفائهم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رجع إلى اصفهان مع قليل من أصحابه و من بقي من </w:t>
      </w:r>
    </w:p>
    <w:p>
      <w:pPr>
        <w:pStyle w:val="BookText"/>
        <w:rPr/>
      </w:pPr>
      <w:r>
        <w:rPr>
          <w:rFonts w:ascii="Amiri" w:hAnsi="Amiri" w:eastAsia="Amiri" w:cs="Amiri"/>
          <w:color w:val="111111"/>
          <w:sz w:val="28"/>
          <w:sz w:val="28"/>
          <w:szCs w:val="28"/>
          <w:rtl w:val="true"/>
          <w:lang w:bidi="ar-SA"/>
        </w:rPr>
        <w:t xml:space="preserve">أحزابه، واشتدّ كربه و غمّه و حزنه و همّه، و صعبت بليّته، حتّى أسرعت إليه في سنّ الشباب شيبته، و ضعفت بنيته، فعرضت له النقاهة و بعض الأمراض، و ظهرت في مزاجه كثير من العلل والأمراض، و لم يجد أحدًا يشكو عمّا ورد عليه إليه، و لا من يعرض ما وصل إليه عليه، فعزم على أن يسافر إلى خدمة أجداده الطاهرين عليهم‌السلام، و يلازم عتبة آبائه الطيّبين، و يشكو غمّه إليهم، ويفوح همّه لديهم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فهجم الخواصّ وازدحم عموم الناس و سألوا منه أن لا يفارقهم واستدعوا منه المقام عندهم، فاضطرّ إلى إجابتهم ولجأ إلى قبول مسألتهم، فقبل منهم لأجل صبرتهم لما أصابهم من الضرّ والضرر في خدمته، و تحمّلهم الأذي في جنبه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مضيّ مدّة تغيّر مزاجه و عسر علاجه، فاشتغل بالدواء، و خرج إلى بعض القُرى لتبديل الماء والهواء، كما هو المتعارف عند المعالجين والأطبّاء، ثمّ سافر من هناك إلى العتبات العاليات على سبيل الخفاء، فتشرّف إلى خدمة أجداده الطاهرين، و فاز بزيارة آبائه المعصومين، واشتغل بما كان يأمله من العبادة، وأقبل على ما يرجوه من التوجّه والزيارة، و بعدهما على التصنيف والتأليف والتدريس لأفاضل الطلبة، و رزقه اللّه هناك حجّ بيته الحرام و زيارة جدّه و جدّته و أئمّة البقيع عليهم الصلاة والسلام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رجع بعد الحجّ والزيارة إلى العتبة الغرويّة، واشتغل بما كان شأنه الاشتغال به، و أقبل على ما كان دأبه الإقبال عليه، مع الإعزاز والإجلال على الوجه الأتمّ عند مشايخ العرب و أشراف 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هاجر عن الأوطان، صعب الأمر على أهل اصفهان، وعزّ فراقه على أهل الإيمان، فلم يجدوا بدًّا إلاّ التوسّل بالرّحيم الرّحمن، والتوكّل على الرئوف الحنّان، فمنّ اللّه عليهم بأن أهلك الوزير الملقّب بالأمير في دار المؤمنين كاشان، و تصدّى أمر الوزارة الخان العظيم الشأن المدعوّ بلشكر نويس ميرزا آقاخان، فأخذ في إصلاح ما فسد، و شرع في ترويج ما كسد بأمر السلطان بن السلطان والخاقان بن الخاقان ناصر الدين شاه، فأرسل رسولاً مع عرائضه ومراسلات من السلطان و من تبعه إلى خدمته، معتذرًا عمّا مضى من هتك حرمته، مستدعيًا منه العود إلى محلّ توطّن والده و مجاورة تربته، و حراسة أهله و عشيرته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أرسل عرائض من اصفهان إلى جنابه من أقاربه و إخوته وأصدقائه و أحبّته، بل سافر جمع إلى العتبات و وصلوا إلى خدمته وسألوا منه العود إلى موطنه فلم يقبل، إذ كلّما أدبر شيء فأقبل، فاعتكفوا في جواره، واكتنفوا عتبة داره، واستشفعوا بآبائه وأصرّوا ولم يقنعوا بآبائه واستقروا، و أقبلوا على الدعاء، و سألوا عن ربّهم كشف البلاء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فاستجاب اللّه دعوتهم، و أعطاهم مسألتهم، و كشف كربتهم، وتفضّل عليهم بأن فسخ عزيمته، و نقض همّته، و بدل شكيمته، و قلب حيلته، و غيّر نيّته، فقضى بمراجعته، فرضى بمعاودته، فترك المجاورة واختار المسافرة، فرجع و في خدمته جمع كثير من المؤمنين وأفاضل المحصّلين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اصفهان يوم الجمعة ثامن شهر رمضان لمّا مضى من الهجرة بعد الألف من السنين إحدى و سبعون و مأتان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الناس بقدومه و إقباله أجمعوا على إجلاله، و أسرعوا إلى استقباله، فخرج من البلد من الرجال والنسوان عدّة آلاف، فتلقّاه بالقبول العامّة والخاصّة، بل الأمراء و أمناء الدولة، بل العلماء وأماثل المجتهدين أظهروا وثاقته و فضيلته، واللّه أعلم حيث يجعل رسالته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فاشتغل بالتدريس والتصنيف والتأليف والإفتاء والحكم والقضاء و تبليغ الأحكام الشرعيّة و ترويج الشريعة النبويّة، فحقّق المسائل الأصوليّة، و دقّق في المسائل الفروعيّة، و فرّع تفريعات جديدة، وصنّف تصنيفات حسنة، و ألّف تأليفات مستحسنة، فاجتمع فيه خلال العلم والفضيلة، و عرج إلى أعلى مراتب الاجتهاد والفقاهة، ولم يخل بشيء من ضوابط العلم والدراية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3" w:name="pg7453_121681"/>
    </w:p>
    <w:p>
      <w:pPr>
        <w:pStyle w:val="Heading3"/>
        <w:numPr>
          <w:ilvl w:val="2"/>
          <w:numId w:val="1"/>
        </w:numPr>
        <w:rPr/>
      </w:pPr>
      <w:bookmarkStart w:id="44" w:name="__RefHeading___Toc1981874_1051229030"/>
      <w:bookmarkStart w:id="45" w:name="_Toc15"/>
      <w:bookmarkEnd w:id="43"/>
      <w:bookmarkEnd w:id="44"/>
      <w:r>
        <w:rPr>
          <w:rtl w:val="true"/>
        </w:rPr>
        <w:t>مشايخه في الإجازة</w:t>
      </w:r>
      <w:bookmarkEnd w:id="45"/>
    </w:p>
    <w:p>
      <w:pPr>
        <w:pStyle w:val="Heading4"/>
        <w:numPr>
          <w:ilvl w:val="3"/>
          <w:numId w:val="1"/>
        </w:numPr>
        <w:rPr/>
      </w:pPr>
      <w:bookmarkStart w:id="46" w:name="__RefHeading___Toc1981876_1051229030"/>
      <w:bookmarkStart w:id="47" w:name="_Toc16"/>
      <w:bookmarkEnd w:id="46"/>
      <w:r>
        <w:rPr>
          <w:rtl w:val="true"/>
        </w:rPr>
        <w:t>اشارة</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أحمد بن علي أكبر التربتي رحمه‌الله</w:t>
      </w:r>
    </w:p>
    <w:p>
      <w:pPr>
        <w:pStyle w:val="BookText"/>
        <w:rPr/>
      </w:pPr>
      <w:r>
        <w:rPr>
          <w:rFonts w:ascii="Amiri" w:hAnsi="Amiri" w:eastAsia="Amiri" w:cs="Amiri"/>
          <w:color w:val="111111"/>
          <w:sz w:val="28"/>
          <w:sz w:val="28"/>
          <w:szCs w:val="28"/>
          <w:rtl w:val="true"/>
          <w:lang w:bidi="ar-SA"/>
        </w:rPr>
        <w:t>يروي المترجم له عن والده العلاّمة السيّد محمّد باقر حجّة الإسلام قدس‌سره بواسطة تلميذه الشيخ أحمد بن علي أكبر التربتي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المذكور في إجازته الكبيرة له ما صورته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والمبرور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أذن له في الحكم والفتوى، بل صرّح بكونه أفضل مِن بعض مَن تقدّم من فحول الفقهاء، لكنّه لم يتّفق له الاستجازة عن والده، لشدّة الحياء مع ما يترجى له من طول البقاء، إذ سنح سوانح في ذلك الأثناء، كما أومأنا سابقًا إليها ؛ فمرض رحمه‌الله مرضًا مزمنًا، و في ذلك المرض توفّى ولم يتيسّر له دام عمره ما يتمنّى، فمع ابتلائه بمصيبة والده وردت عليه الواردات العظيمة الّتي أشرنا إليها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زماننا هذا لم يكن بصدد الاستجازة لأسباب هو أعلم بها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أجلّة العلماء وأعمدة الفقهاء وإن كتب لجنابه الإجازة، لكنّه لما كان بدون استجازته، لما حصل له الوثوق والطمأنينة، و بقي ذلك الأمر في عهدة التعويق والعطلة، حتّى لم يبق من أصحاب المبرور </w:t>
      </w:r>
    </w:p>
    <w:p>
      <w:pPr>
        <w:pStyle w:val="BookText"/>
        <w:rPr/>
      </w:pPr>
      <w:r>
        <w:rPr>
          <w:rFonts w:ascii="Amiri" w:hAnsi="Amiri" w:eastAsia="Amiri" w:cs="Amiri"/>
          <w:color w:val="111111"/>
          <w:sz w:val="28"/>
          <w:sz w:val="28"/>
          <w:szCs w:val="28"/>
          <w:rtl w:val="true"/>
          <w:lang w:bidi="ar-SA"/>
        </w:rPr>
        <w:t xml:space="preserve">حجّة الإسلام و لا سيّما أرباب الإجازات غير قليلهم، و مضى أكثرهم لسبيلهم، فتفطّن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البقاء لم يتيسّر لأحد، وفقد الواحد بعد الواحد يفني الجمع والعدد، فأشار إليّ أن أجيز له إجازة كانت وديعة عن والده عندنا، و أمانة أمر اللّه تعالى أن تؤدّي إلى أهلها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محمّد حسن النجفي قدس‌سره صاحب الجواهر</w:t>
      </w:r>
    </w:p>
    <w:p>
      <w:pPr>
        <w:pStyle w:val="BookText"/>
        <w:rPr/>
      </w:pPr>
      <w:r>
        <w:rPr>
          <w:rFonts w:ascii="Amiri" w:hAnsi="Amiri" w:eastAsia="Amiri" w:cs="Amiri"/>
          <w:color w:val="111111"/>
          <w:sz w:val="28"/>
          <w:sz w:val="28"/>
          <w:szCs w:val="28"/>
          <w:rtl w:val="true"/>
          <w:lang w:bidi="ar-SA"/>
        </w:rPr>
        <w:t xml:space="preserve">و يروي سيّدنا المترجم أيضًا عن صاحب الجواهر رحمه‌الله قراءة و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صاحب الجواهر في إجازته الّتي كتبها له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ولدنا و قرّة أعيننا التقيّ النقيّ والمهذّب الصفيّ، العالم العامل والفاضل الكامل الأديب الأريب، ذو الفطنة الوقّادة، والقريحة النقّادة، والأخلاق الكريمة، والفطرة المستقيمة، العظيم الحليم الأوّاه الميرزا أسد اللّه نجل حجّة الإسلام و ملجأ الأنام ذي النور الظاهر والفضل الباهر السيّد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سلّمهما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على كافّة المتديّنين إنفاذ حكمه، وامتثال أوامره </w:t>
      </w:r>
      <w:bookmarkStart w:id="48" w:name="pg7453_121685"/>
    </w:p>
    <w:p>
      <w:pPr>
        <w:pStyle w:val="BookText"/>
        <w:rPr/>
      </w:pPr>
      <w:bookmarkEnd w:id="48"/>
      <w:r>
        <w:rPr>
          <w:rFonts w:ascii="Amiri" w:hAnsi="Amiri" w:eastAsia="Amiri" w:cs="Amiri"/>
          <w:color w:val="111111"/>
          <w:sz w:val="28"/>
          <w:sz w:val="28"/>
          <w:szCs w:val="28"/>
          <w:rtl w:val="true"/>
          <w:lang w:bidi="ar-SA"/>
        </w:rPr>
        <w:t xml:space="preserve">ونواهيه، و قبول فتواه، والاهتداء بنوره و هداه، فإنّه نعم الكفيل لأيتام الشيعة، و نعم الركن للشريعة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تعالى شأنه في أيّامه وزاد في تأييده و تسديده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محمّد باقر الجهارسوقي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روضات الجنّات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لصاحب الترجمة إجازة الرواية عن صاحب الروضات، و قد أجازه هو أيضًا، فالإجازة بينهما مدبّجة </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981878_1051229030"/>
      <w:bookmarkStart w:id="50" w:name="_Toc17"/>
      <w:bookmarkEnd w:id="49"/>
      <w:r>
        <w:rPr>
          <w:rtl w:val="true"/>
        </w:rPr>
        <w:t>الراوون عنه</w:t>
      </w:r>
      <w:bookmarkEnd w:id="50"/>
    </w:p>
    <w:p>
      <w:pPr>
        <w:pStyle w:val="BookText"/>
        <w:rPr/>
      </w:pPr>
      <w:r>
        <w:rPr>
          <w:rFonts w:ascii="Amiri" w:hAnsi="Amiri" w:eastAsia="Amiri" w:cs="Amiri"/>
          <w:color w:val="111111"/>
          <w:sz w:val="28"/>
          <w:sz w:val="28"/>
          <w:szCs w:val="28"/>
          <w:rtl w:val="true"/>
          <w:lang w:bidi="ar-SA"/>
        </w:rPr>
        <w:t xml:space="preserve">و يروي عنه جمع من العلماء الأعلام،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بن محمّد صادق الجرفادقاني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ميرزا حسين بن خليل الرازي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8"/>
      </w:r>
      <w:bookmarkStart w:id="51" w:name="pg7453_121687"/>
    </w:p>
    <w:p>
      <w:pPr>
        <w:pStyle w:val="BookText"/>
        <w:rPr/>
      </w:pPr>
      <w:bookmarkEnd w:id="5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عماد الدين محمود المرعشي اللاهوري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محمّد بن عبدالوهّاب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محمّد بن محمّد رسول الكاشاني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محمّد رضا بن محمّد علي الكاشاني، المعروف بگلهري </w:t>
      </w:r>
      <w:r>
        <w:rPr>
          <w:rStyle w:val="FootnoteAnchor"/>
          <w:rtl w:val="true"/>
        </w:rPr>
        <w:footnoteReference w:id="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الخوانساري صاحب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إسماعيل الموسوي الساروي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هاشم الخوانساريّ الجهارسوقي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مرتضى بن مهدي الكشميري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4"/>
        <w:numPr>
          <w:ilvl w:val="3"/>
          <w:numId w:val="1"/>
        </w:numPr>
        <w:rPr/>
      </w:pPr>
      <w:bookmarkStart w:id="52" w:name="__RefHeading___Toc1981880_1051229030"/>
      <w:bookmarkStart w:id="53" w:name="_Toc18"/>
      <w:bookmarkEnd w:id="52"/>
      <w:r>
        <w:rPr>
          <w:rtl w:val="true"/>
        </w:rPr>
        <w:t>بعض تلامذته البارزين</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جعفر بن أحمد الفقيه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صهره السيّد أبو جعفر بن صدر الدين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الملقّب بصدر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حسن بن محمّد الحسينيّ الخاتون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حسين بن ميرزا خليل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زين العابدين بن محمّد علي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عبدالحميد بن محمّد حسين الخواجوئي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عبدالرحيم الحسيني المعروف بقاضي عسكري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عبدالرزاق بن ميرزا كاظم اللكرودي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عبدالعظيم بن حسن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عبدالكريم الطباطبائي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علي بن قربانعلي الكني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علي ميرزا اللنجاني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بن علينقي الزنجاني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54" w:name="pg7453_121691"/>
    </w:p>
    <w:p>
      <w:pPr>
        <w:pStyle w:val="BookText"/>
        <w:rPr/>
      </w:pPr>
      <w:bookmarkEnd w:id="54"/>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محمّد بن علي النخعي الكلبايكاني، المشهور بآقا محمّد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تقي بن محمّد حسن الموسوي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أخوه السيّد محمّد جعفر بن محمّد باقر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جواد الحسينيّ المعروف بكتاب فروش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مهدي بن محمّد حسن الموسوي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بن حسين الحسيني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981882_1051229030"/>
      <w:bookmarkStart w:id="56" w:name="_Toc19"/>
      <w:bookmarkEnd w:id="55"/>
      <w:r>
        <w:rPr>
          <w:rtl w:val="true"/>
        </w:rPr>
        <w:t>آثاره العمرانية الخالدة</w:t>
      </w:r>
      <w:bookmarkEnd w:id="56"/>
    </w:p>
    <w:p>
      <w:pPr>
        <w:pStyle w:val="BookText"/>
        <w:rPr/>
      </w:pPr>
      <w:r>
        <w:rPr>
          <w:rFonts w:ascii="Amiri" w:hAnsi="Amiri" w:eastAsia="Amiri" w:cs="Amiri"/>
          <w:color w:val="111111"/>
          <w:sz w:val="28"/>
          <w:sz w:val="28"/>
          <w:szCs w:val="28"/>
          <w:rtl w:val="true"/>
          <w:lang w:bidi="ar-SA"/>
        </w:rPr>
        <w:t xml:space="preserve">له آثار عمرانيّة و إصلاحيّة،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المسجد الجامع في اصفهان في محلّته بيدآباد الّذي شرع في بنائه والده قدس‌سره، و لم يكمله حيث عاجله الموت، وأكمل بناءه المترجم له على أحسن ما يرام و يراد في 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ماء الفرات إلى النجف الأشرف، فإنّه رحمه‌الله بعد ما زار النجف ورجع إلى بلاد إيران، عزم على إتمام ما شرع به أستاذه الشيخ محمّد حسن صاحب الجواهر قدس‌سره و إيصال ماء الفرات إلى النجف، واستحصل المال من ثلث تركة السردار محمّد إسماعيل خان النوري وكيل الملك كما في المآثر والآثار، و في مجموعة الشبيبي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ثلث مال إسماعيل خان والي كرمان ؛ و هو ثلاثون ألف تومان، وأرسل المهندسين و شرعوا في العمل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تمّ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فحفرت آبار بين المكان الّذي وصل إليه في عهد صاحب الجواهر وبين النجف </w:t>
      </w:r>
    </w:p>
    <w:p>
      <w:pPr>
        <w:pStyle w:val="BookText"/>
        <w:rPr/>
      </w:pPr>
      <w:r>
        <w:rPr>
          <w:rFonts w:ascii="Amiri" w:hAnsi="Amiri" w:eastAsia="Amiri" w:cs="Amiri"/>
          <w:color w:val="111111"/>
          <w:sz w:val="28"/>
          <w:sz w:val="28"/>
          <w:szCs w:val="28"/>
          <w:rtl w:val="true"/>
          <w:lang w:bidi="ar-SA"/>
        </w:rPr>
        <w:t xml:space="preserve">في وسط النهر الّذي كان حفره صاحب الجواهر، و مرّ بها من قبلي النجف إلى جهة المغرب، و ذلك لأنّ حفر النهر إلى عمق يجرى فيه الماء غير متيسّر و لا ممكن، وكان العزم عليه في زمن صاحب الجواهر غير مبنيّ على فنّ و هندسة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حفر هذه الآبار وصل بينها بقناة تحت الأرض، ثمّ ظهر أنّ تلك الآبار كان عمقها زائدًا عن اللازم، فاحتاجوا إلى طم الزائد، و أجرى الماء في تلك القناة، و جعل يصب في المكان المنخفض غربيّ النجف، و عملت عليه رحى اصدر ريعها لإصلاح القناة، و بنيت هناك بركة يستقى منها السقاؤون، و بقيت الناس تنتفع بهذا الماء إلى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ذلك نحو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أرّخ الشعراء ذلك، فقال الشيخ محمّد بن كاظم الجزائريّ النجفيّ من قصيدة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شربوا الماء زلالاً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شرب الآجنات</w:t>
      </w:r>
    </w:p>
    <w:p>
      <w:pPr>
        <w:pStyle w:val="BookText"/>
        <w:rPr/>
      </w:pPr>
      <w:r>
        <w:rPr>
          <w:rFonts w:ascii="IRNazanin" w:hAnsi="IRNazanin" w:eastAsia="IRNazanin"/>
          <w:color w:val="111111"/>
          <w:sz w:val="28"/>
          <w:sz w:val="28"/>
          <w:szCs w:val="28"/>
          <w:rtl w:val="true"/>
          <w:lang w:bidi="fa-IR"/>
        </w:rPr>
        <w:t xml:space="preserve">فاشرب الماء و أرّخ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 الماء الفرات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p>
    <w:p>
      <w:pPr>
        <w:pStyle w:val="BookText"/>
        <w:rPr/>
      </w:pPr>
      <w:r>
        <w:rPr>
          <w:rFonts w:ascii="Amiri" w:hAnsi="Amiri" w:eastAsia="Amiri" w:cs="Amiri"/>
          <w:color w:val="111111"/>
          <w:sz w:val="28"/>
          <w:sz w:val="28"/>
          <w:szCs w:val="28"/>
          <w:rtl w:val="true"/>
          <w:lang w:bidi="ar-SA"/>
        </w:rPr>
        <w:t xml:space="preserve">و قال الميرزا محمّد الهمداني صاحب فصوص اليواقيت في التواريخ المنظومة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أسد اللّه الهمام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ساقي الناس من كوثر</w:t>
      </w:r>
    </w:p>
    <w:p>
      <w:pPr>
        <w:pStyle w:val="BookText"/>
        <w:rPr/>
      </w:pPr>
      <w:r>
        <w:rPr>
          <w:rFonts w:ascii="Amiri" w:hAnsi="Amiri" w:eastAsia="Amiri" w:cs="Amiri"/>
          <w:color w:val="111111"/>
          <w:sz w:val="28"/>
          <w:sz w:val="28"/>
          <w:szCs w:val="28"/>
          <w:rtl w:val="true"/>
          <w:lang w:bidi="ar-SA"/>
        </w:rPr>
        <w:t xml:space="preserve">أجرى إلى الغريّ ماءً 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ماء الغري </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bookmarkStart w:id="57" w:name="pg7453_121695"/>
    </w:p>
    <w:p>
      <w:pPr>
        <w:pStyle w:val="Heading4"/>
        <w:numPr>
          <w:ilvl w:val="3"/>
          <w:numId w:val="1"/>
        </w:numPr>
        <w:rPr/>
      </w:pPr>
      <w:bookmarkStart w:id="58" w:name="__RefHeading___Toc1981884_1051229030"/>
      <w:bookmarkStart w:id="59" w:name="_Toc20"/>
      <w:bookmarkEnd w:id="57"/>
      <w:bookmarkEnd w:id="58"/>
      <w:r>
        <w:rPr>
          <w:rtl w:val="true"/>
        </w:rPr>
        <w:t>آثاره العلميّة</w:t>
      </w:r>
      <w:bookmarkEnd w:id="59"/>
    </w:p>
    <w:p>
      <w:pPr>
        <w:pStyle w:val="BookText"/>
        <w:rPr/>
      </w:pPr>
      <w:r>
        <w:rPr>
          <w:rFonts w:ascii="Amiri" w:hAnsi="Amiri" w:eastAsia="Amiri" w:cs="Amiri"/>
          <w:color w:val="111111"/>
          <w:sz w:val="28"/>
          <w:sz w:val="28"/>
          <w:szCs w:val="28"/>
          <w:rtl w:val="true"/>
          <w:lang w:bidi="ar-SA"/>
        </w:rPr>
        <w:t xml:space="preserve">للمترجم له قدس‌سره تآليف قيّمة مشحونة بالتحقيق والتدقيق، و هي </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981886_1051229030"/>
      <w:bookmarkStart w:id="61" w:name="_Toc21"/>
      <w:bookmarkEnd w:id="60"/>
      <w:r>
        <w:rPr>
          <w:rtl w:val="true"/>
        </w:rPr>
        <w:t xml:space="preserve">« </w:t>
      </w:r>
      <w:r>
        <w:rPr>
          <w:rtl w:val="true"/>
        </w:rPr>
        <w:t xml:space="preserve">الكتب والرسائل الفقهيّة </w:t>
      </w:r>
      <w:r>
        <w:rPr>
          <w:rtl w:val="true"/>
        </w:rPr>
        <w:t>»</w:t>
      </w:r>
      <w:bookmarkEnd w:id="61"/>
    </w:p>
    <w:p>
      <w:pPr>
        <w:pStyle w:val="Heading5"/>
        <w:numPr>
          <w:ilvl w:val="4"/>
          <w:numId w:val="1"/>
        </w:numPr>
        <w:rPr/>
      </w:pPr>
      <w:bookmarkStart w:id="62" w:name="__RefHeading___Toc1981888_1051229030"/>
      <w:bookmarkStart w:id="63" w:name="_Toc22"/>
      <w:bookmarkEnd w:id="62"/>
      <w:r>
        <w:rPr/>
        <w:t>1</w:t>
      </w:r>
      <w:r>
        <w:rPr>
          <w:rtl w:val="true"/>
        </w:rPr>
        <w:t xml:space="preserve"> - </w:t>
      </w:r>
      <w:r>
        <w:rPr>
          <w:rtl w:val="true"/>
        </w:rPr>
        <w:t>شرح شرائع الإسلام</w:t>
      </w:r>
      <w:bookmarkEnd w:id="63"/>
    </w:p>
    <w:p>
      <w:pPr>
        <w:pStyle w:val="BookText"/>
        <w:rPr/>
      </w:pPr>
      <w:r>
        <w:rPr>
          <w:rFonts w:ascii="Amiri" w:hAnsi="Amiri" w:eastAsia="Amiri" w:cs="Amiri"/>
          <w:color w:val="111111"/>
          <w:sz w:val="28"/>
          <w:sz w:val="28"/>
          <w:szCs w:val="28"/>
          <w:rtl w:val="true"/>
          <w:lang w:bidi="ar-SA"/>
        </w:rPr>
        <w:t xml:space="preserve">هو شرح كبير في عدّة مجلّدات،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الطهارة، و مجلّد الصلاة، ومجلّد الصوم، و مجلّد الزكاة، و مجلّد الحجّ، و مجلّد الأمر بالمعروف والنهي عن المنكر، ومجلّد الفرائض، و مجلّد التجارة، و مجلّد القضاء والشهادات، و مجلّد الوقف، ومجلّد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يتيسّر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والوصول إلى آخر الأحكام، وارتحل إلى دار الباقية </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981890_1051229030"/>
      <w:bookmarkStart w:id="65" w:name="_Toc23"/>
      <w:bookmarkEnd w:id="64"/>
      <w:r>
        <w:rPr/>
        <w:t>2</w:t>
      </w:r>
      <w:r>
        <w:rPr>
          <w:rtl w:val="true"/>
        </w:rPr>
        <w:t xml:space="preserve"> - </w:t>
      </w:r>
      <w:r>
        <w:rPr>
          <w:rtl w:val="true"/>
        </w:rPr>
        <w:t>العصيريّة</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رسالة كبيرة في بيان أحكام الخمر و سائر المسكرات والعصير العنبيّ والزبيبيّ والتمريّ </w:t>
      </w:r>
      <w:r>
        <w:rPr>
          <w:rFonts w:eastAsia="Amiri" w:cs="Amiri" w:ascii="Amiri" w:hAnsi="Amiri"/>
          <w:color w:val="111111"/>
          <w:sz w:val="28"/>
          <w:szCs w:val="28"/>
          <w:rtl w:val="true"/>
          <w:lang w:bidi="ar-SA"/>
        </w:rPr>
        <w:t xml:space="preserve">. </w:t>
      </w:r>
      <w:bookmarkStart w:id="66" w:name="pg7453_121697"/>
    </w:p>
    <w:p>
      <w:pPr>
        <w:pStyle w:val="BookText"/>
        <w:rPr/>
      </w:pPr>
      <w:bookmarkEnd w:id="66"/>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حفيد المؤلّف قدس‌سره سماحة الحجّة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مسجد السيّد حجّة الإسلام الشفتي قدس‌سره </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981892_1051229030"/>
      <w:bookmarkStart w:id="68" w:name="_Toc24"/>
      <w:bookmarkEnd w:id="67"/>
      <w:r>
        <w:rPr/>
        <w:t>3</w:t>
      </w:r>
      <w:r>
        <w:rPr>
          <w:rtl w:val="true"/>
        </w:rPr>
        <w:t xml:space="preserve"> - </w:t>
      </w:r>
      <w:r>
        <w:rPr>
          <w:rtl w:val="true"/>
        </w:rPr>
        <w:t>رسالة في تبرئ المريض بماله</w:t>
      </w:r>
      <w:bookmarkEnd w:id="68"/>
    </w:p>
    <w:p>
      <w:pPr>
        <w:pStyle w:val="BookText"/>
        <w:rPr/>
      </w:pPr>
      <w:r>
        <w:rPr>
          <w:rFonts w:ascii="Amiri" w:hAnsi="Amiri" w:eastAsia="Amiri" w:cs="Amiri"/>
          <w:color w:val="111111"/>
          <w:sz w:val="28"/>
          <w:sz w:val="28"/>
          <w:szCs w:val="28"/>
          <w:rtl w:val="true"/>
          <w:lang w:bidi="ar-SA"/>
        </w:rPr>
        <w:t xml:space="preserve">توجد ضمن مجموعة من رسائله الفقهيّة في مكتبة حضرة السيّدة المعصومة عليهاالسلام 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981894_1051229030"/>
      <w:bookmarkStart w:id="70" w:name="_Toc25"/>
      <w:bookmarkEnd w:id="69"/>
      <w:r>
        <w:rPr/>
        <w:t>4</w:t>
      </w:r>
      <w:r>
        <w:rPr>
          <w:rtl w:val="true"/>
        </w:rPr>
        <w:t xml:space="preserve"> - </w:t>
      </w:r>
      <w:r>
        <w:rPr>
          <w:rtl w:val="true"/>
        </w:rPr>
        <w:t>رسالة في الموالاة في الوضوء</w:t>
      </w:r>
      <w:bookmarkEnd w:id="70"/>
    </w:p>
    <w:p>
      <w:pPr>
        <w:pStyle w:val="BookText"/>
        <w:rPr/>
      </w:pPr>
      <w:r>
        <w:rPr>
          <w:rFonts w:ascii="Amiri" w:hAnsi="Amiri" w:eastAsia="Amiri" w:cs="Amiri"/>
          <w:color w:val="111111"/>
          <w:sz w:val="28"/>
          <w:sz w:val="28"/>
          <w:szCs w:val="28"/>
          <w:rtl w:val="true"/>
          <w:lang w:bidi="ar-SA"/>
        </w:rPr>
        <w:t xml:space="preserve">توجد ضمن مجموعة من رسائله الفقهيّة في مكتبة حضرة السيّدة المعصومة عليهاالسلام 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981896_1051229030"/>
      <w:bookmarkStart w:id="72" w:name="_Toc26"/>
      <w:bookmarkEnd w:id="71"/>
      <w:r>
        <w:rPr/>
        <w:t>5</w:t>
      </w:r>
      <w:r>
        <w:rPr>
          <w:rtl w:val="true"/>
        </w:rPr>
        <w:t xml:space="preserve"> - </w:t>
      </w:r>
      <w:r>
        <w:rPr>
          <w:rtl w:val="true"/>
        </w:rPr>
        <w:t>رسالة في نكاح الجدّ الصغيرة مع فقد الأب</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ضمن مجموعة من رسائله الفقهيّة في مكتبة حضرة السيّدة المعصومة عليهاالسلام 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73" w:name="pg7453_121699"/>
    </w:p>
    <w:p>
      <w:pPr>
        <w:pStyle w:val="Heading5"/>
        <w:numPr>
          <w:ilvl w:val="4"/>
          <w:numId w:val="1"/>
        </w:numPr>
        <w:rPr/>
      </w:pPr>
      <w:bookmarkStart w:id="74" w:name="__RefHeading___Toc1981898_1051229030"/>
      <w:bookmarkStart w:id="75" w:name="_Toc27"/>
      <w:bookmarkEnd w:id="73"/>
      <w:bookmarkEnd w:id="74"/>
      <w:r>
        <w:rPr/>
        <w:t>6</w:t>
      </w:r>
      <w:r>
        <w:rPr>
          <w:rtl w:val="true"/>
        </w:rPr>
        <w:t xml:space="preserve">- </w:t>
      </w:r>
      <w:r>
        <w:rPr>
          <w:rtl w:val="true"/>
        </w:rPr>
        <w:t>رسالة في البيع</w:t>
      </w:r>
      <w:bookmarkEnd w:id="75"/>
    </w:p>
    <w:p>
      <w:pPr>
        <w:pStyle w:val="Heading5"/>
        <w:numPr>
          <w:ilvl w:val="4"/>
          <w:numId w:val="1"/>
        </w:numPr>
        <w:rPr/>
      </w:pPr>
      <w:bookmarkStart w:id="76" w:name="__RefHeading___Toc1981900_1051229030"/>
      <w:bookmarkStart w:id="77" w:name="_Toc28"/>
      <w:bookmarkEnd w:id="76"/>
      <w:r>
        <w:rPr/>
        <w:t>7</w:t>
      </w:r>
      <w:r>
        <w:rPr>
          <w:rtl w:val="true"/>
        </w:rPr>
        <w:t xml:space="preserve"> - </w:t>
      </w:r>
      <w:r>
        <w:rPr>
          <w:rtl w:val="true"/>
        </w:rPr>
        <w:t>رسالة في الأراضي الخراجيّة</w:t>
      </w:r>
      <w:bookmarkEnd w:id="77"/>
    </w:p>
    <w:p>
      <w:pPr>
        <w:pStyle w:val="BookText"/>
        <w:rPr/>
      </w:pPr>
      <w:r>
        <w:rPr>
          <w:rFonts w:ascii="Amiri" w:hAnsi="Amiri" w:eastAsia="Amiri" w:cs="Amiri"/>
          <w:color w:val="111111"/>
          <w:sz w:val="28"/>
          <w:sz w:val="28"/>
          <w:szCs w:val="28"/>
          <w:rtl w:val="true"/>
          <w:lang w:bidi="ar-SA"/>
        </w:rPr>
        <w:t xml:space="preserve">توجد ضمن مجموعة من رسائله الفقهيّة في مكتبة حضرة السيّدة المعصومة عليهاالسلام 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1981902_1051229030"/>
      <w:bookmarkStart w:id="79" w:name="_Toc29"/>
      <w:bookmarkEnd w:id="78"/>
      <w:r>
        <w:rPr/>
        <w:t>8</w:t>
      </w:r>
      <w:r>
        <w:rPr>
          <w:rtl w:val="true"/>
        </w:rPr>
        <w:t xml:space="preserve"> - </w:t>
      </w:r>
      <w:r>
        <w:rPr>
          <w:rtl w:val="true"/>
        </w:rPr>
        <w:t>رسالة في الوضوء في المكان المغصوب</w:t>
      </w:r>
      <w:bookmarkEnd w:id="79"/>
    </w:p>
    <w:p>
      <w:pPr>
        <w:pStyle w:val="BookText"/>
        <w:rPr/>
      </w:pPr>
      <w:r>
        <w:rPr>
          <w:rFonts w:ascii="Amiri" w:hAnsi="Amiri" w:eastAsia="Amiri" w:cs="Amiri"/>
          <w:color w:val="111111"/>
          <w:sz w:val="28"/>
          <w:sz w:val="28"/>
          <w:szCs w:val="28"/>
          <w:rtl w:val="true"/>
          <w:lang w:bidi="ar-SA"/>
        </w:rPr>
        <w:t xml:space="preserve">توجد ضمن مجموعة من رسائله الفقهيّة في مكتبة حضرة السيّدة المعصومة عليهاالسلام 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981904_1051229030"/>
      <w:bookmarkStart w:id="81" w:name="_Toc30"/>
      <w:bookmarkEnd w:id="80"/>
      <w:r>
        <w:rPr/>
        <w:t>9</w:t>
      </w:r>
      <w:r>
        <w:rPr>
          <w:rtl w:val="true"/>
        </w:rPr>
        <w:t xml:space="preserve"> - </w:t>
      </w:r>
      <w:r>
        <w:rPr>
          <w:rtl w:val="true"/>
        </w:rPr>
        <w:t>رسالة في تزويج الوليّ البنت مطلقًا بأقلّ من مهر المثل</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ضمن مجموعة من رسائله الفقهيّة في مكتبة حضرة السيّدة المعصومة عليهاالسلام 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82" w:name="pg7453_121701"/>
    </w:p>
    <w:p>
      <w:pPr>
        <w:pStyle w:val="Heading5"/>
        <w:numPr>
          <w:ilvl w:val="4"/>
          <w:numId w:val="1"/>
        </w:numPr>
        <w:rPr/>
      </w:pPr>
      <w:bookmarkStart w:id="83" w:name="__RefHeading___Toc1981906_1051229030"/>
      <w:bookmarkStart w:id="84" w:name="_Toc31"/>
      <w:bookmarkEnd w:id="82"/>
      <w:bookmarkEnd w:id="83"/>
      <w:r>
        <w:rPr/>
        <w:t>10</w:t>
      </w:r>
      <w:r>
        <w:rPr>
          <w:rtl w:val="true"/>
        </w:rPr>
        <w:t xml:space="preserve"> - </w:t>
      </w:r>
      <w:r>
        <w:rPr>
          <w:rtl w:val="true"/>
        </w:rPr>
        <w:t>رسالة في صلح حقّ القصاص واستيفاء القصاص عن الصغير</w:t>
      </w:r>
      <w:bookmarkEnd w:id="84"/>
    </w:p>
    <w:p>
      <w:pPr>
        <w:pStyle w:val="BookText"/>
        <w:rPr/>
      </w:pPr>
      <w:r>
        <w:rPr>
          <w:rFonts w:ascii="Amiri" w:hAnsi="Amiri" w:eastAsia="Amiri" w:cs="Amiri"/>
          <w:color w:val="111111"/>
          <w:sz w:val="28"/>
          <w:sz w:val="28"/>
          <w:szCs w:val="28"/>
          <w:rtl w:val="true"/>
          <w:lang w:bidi="ar-SA"/>
        </w:rPr>
        <w:t xml:space="preserve">توجد ضمن مجموعة من رسائله الفقهيّة في مكتبة حضرة السيّدة المعصومة عليهاالسلام 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981908_1051229030"/>
      <w:bookmarkStart w:id="86" w:name="_Toc32"/>
      <w:bookmarkEnd w:id="85"/>
      <w:r>
        <w:rPr/>
        <w:t>11</w:t>
      </w:r>
      <w:r>
        <w:rPr>
          <w:rtl w:val="true"/>
        </w:rPr>
        <w:t xml:space="preserve"> - </w:t>
      </w:r>
      <w:r>
        <w:rPr>
          <w:rtl w:val="true"/>
        </w:rPr>
        <w:t>الرسالة العمليّة</w:t>
      </w:r>
      <w:bookmarkEnd w:id="86"/>
    </w:p>
    <w:p>
      <w:pPr>
        <w:pStyle w:val="BookText"/>
        <w:rPr/>
      </w:pPr>
      <w:r>
        <w:rPr>
          <w:rFonts w:ascii="Amiri" w:hAnsi="Amiri" w:eastAsia="Amiri" w:cs="Amiri"/>
          <w:color w:val="111111"/>
          <w:sz w:val="28"/>
          <w:sz w:val="28"/>
          <w:szCs w:val="28"/>
          <w:rtl w:val="true"/>
          <w:lang w:bidi="ar-SA"/>
        </w:rPr>
        <w:t xml:space="preserve">بالفارسيّة، ذكرها المحقّق الطهرانيّ في ذريعته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981910_1051229030"/>
      <w:bookmarkStart w:id="88" w:name="_Toc33"/>
      <w:bookmarkEnd w:id="87"/>
      <w:r>
        <w:rPr/>
        <w:t>12</w:t>
      </w:r>
      <w:r>
        <w:rPr>
          <w:rtl w:val="true"/>
        </w:rPr>
        <w:t xml:space="preserve"> - </w:t>
      </w:r>
      <w:r>
        <w:rPr>
          <w:rtl w:val="true"/>
        </w:rPr>
        <w:t>مناسك الحجّ و العمرة</w:t>
      </w:r>
      <w:bookmarkEnd w:id="88"/>
    </w:p>
    <w:p>
      <w:pPr>
        <w:pStyle w:val="BookText"/>
        <w:rPr/>
      </w:pPr>
      <w:r>
        <w:rPr>
          <w:rFonts w:ascii="Amiri" w:hAnsi="Amiri" w:eastAsia="Amiri" w:cs="Amiri"/>
          <w:color w:val="111111"/>
          <w:sz w:val="28"/>
          <w:sz w:val="28"/>
          <w:szCs w:val="28"/>
          <w:rtl w:val="true"/>
          <w:lang w:bidi="ar-SA"/>
        </w:rPr>
        <w:t>فارسي، مختصر، مرتّب على ترتيب مناسك والده قدس‌سره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981912_1051229030"/>
      <w:bookmarkStart w:id="90" w:name="_Toc34"/>
      <w:bookmarkEnd w:id="89"/>
      <w:r>
        <w:rPr/>
        <w:t>13</w:t>
      </w:r>
      <w:r>
        <w:rPr>
          <w:rtl w:val="true"/>
        </w:rPr>
        <w:t xml:space="preserve"> - </w:t>
      </w:r>
      <w:r>
        <w:rPr>
          <w:rtl w:val="true"/>
        </w:rPr>
        <w:t>رسالة في التقليد</w:t>
      </w:r>
      <w:bookmarkEnd w:id="90"/>
    </w:p>
    <w:p>
      <w:pPr>
        <w:pStyle w:val="BookText"/>
        <w:rPr/>
      </w:pPr>
      <w:r>
        <w:rPr>
          <w:rFonts w:ascii="Amiri" w:hAnsi="Amiri" w:eastAsia="Amiri" w:cs="Amiri"/>
          <w:color w:val="111111"/>
          <w:sz w:val="28"/>
          <w:sz w:val="28"/>
          <w:szCs w:val="28"/>
          <w:rtl w:val="true"/>
          <w:lang w:bidi="ar-SA"/>
        </w:rPr>
        <w:t xml:space="preserve">هي رسالة وجيزة حسنة الوضع في بيان أحكام التقليد و مسائله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w:t>
      </w:r>
      <w:bookmarkStart w:id="91" w:name="pg7453_121703"/>
    </w:p>
    <w:p>
      <w:pPr>
        <w:pStyle w:val="BookText"/>
        <w:rPr/>
      </w:pPr>
      <w:bookmarkEnd w:id="91"/>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مسائل التقليد كثيرة، والمقصود في المقام مسائل عديدة منه، والأولى أن تقدّم مقدّمة في بيان معناه، 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الأصل منها موجودة في مكتبة مسجد گوهرشاد برقم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p>
    <w:p>
      <w:pPr>
        <w:pStyle w:val="Heading5"/>
        <w:numPr>
          <w:ilvl w:val="4"/>
          <w:numId w:val="1"/>
        </w:numPr>
        <w:rPr/>
      </w:pPr>
      <w:bookmarkStart w:id="92" w:name="__RefHeading___Toc1981914_1051229030"/>
      <w:bookmarkStart w:id="93" w:name="_Toc35"/>
      <w:bookmarkEnd w:id="92"/>
      <w:r>
        <w:rPr/>
        <w:t>14</w:t>
      </w:r>
      <w:r>
        <w:rPr>
          <w:rtl w:val="true"/>
        </w:rPr>
        <w:t xml:space="preserve"> - </w:t>
      </w:r>
      <w:r>
        <w:rPr>
          <w:rtl w:val="true"/>
        </w:rPr>
        <w:t>رسالة في كيفيّة زيارة عاشوراء</w:t>
      </w:r>
      <w:bookmarkEnd w:id="93"/>
    </w:p>
    <w:p>
      <w:pPr>
        <w:pStyle w:val="BookText"/>
        <w:rPr/>
      </w:pPr>
      <w:r>
        <w:rPr>
          <w:rFonts w:ascii="Amiri" w:hAnsi="Amiri" w:eastAsia="Amiri" w:cs="Amiri"/>
          <w:color w:val="111111"/>
          <w:sz w:val="28"/>
          <w:sz w:val="28"/>
          <w:szCs w:val="28"/>
          <w:rtl w:val="true"/>
          <w:lang w:bidi="ar-SA"/>
        </w:rPr>
        <w:t xml:space="preserve">سمّاه الشيخ الطهراني رحمه‌الله في الذريعة بشرح زيارة عاشوراء،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ولده السيّد محمّد باقر المعروف بحاج آقا أنّه موجود في مكتبته باصفهان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هذه الرسالة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رسالة أخرى في هذا الموضوع لوالده العلاّمة السيّد حجّة الإسلام قدس‌سره في مجلّد واحد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نينوا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قامت بطبعها مكتبة مسجد السيّد باصفهان </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981916_1051229030"/>
      <w:bookmarkStart w:id="95" w:name="_Toc36"/>
      <w:bookmarkEnd w:id="94"/>
      <w:r>
        <w:rPr/>
        <w:t>15</w:t>
      </w:r>
      <w:r>
        <w:rPr>
          <w:rtl w:val="true"/>
        </w:rPr>
        <w:t xml:space="preserve"> - </w:t>
      </w:r>
      <w:r>
        <w:rPr>
          <w:rtl w:val="true"/>
        </w:rPr>
        <w:t>رسالة في المعاطاة</w:t>
      </w:r>
      <w:bookmarkEnd w:id="95"/>
    </w:p>
    <w:p>
      <w:pPr>
        <w:pStyle w:val="Heading5"/>
        <w:numPr>
          <w:ilvl w:val="4"/>
          <w:numId w:val="1"/>
        </w:numPr>
        <w:rPr/>
      </w:pPr>
      <w:bookmarkStart w:id="96" w:name="__RefHeading___Toc1981918_1051229030"/>
      <w:bookmarkStart w:id="97" w:name="_Toc37"/>
      <w:bookmarkEnd w:id="96"/>
      <w:r>
        <w:rPr/>
        <w:t>16</w:t>
      </w:r>
      <w:r>
        <w:rPr>
          <w:rtl w:val="true"/>
        </w:rPr>
        <w:t xml:space="preserve"> - </w:t>
      </w:r>
      <w:r>
        <w:rPr>
          <w:rtl w:val="true"/>
        </w:rPr>
        <w:t>رسالة في معرفة التكاليف</w:t>
      </w:r>
      <w:bookmarkEnd w:id="9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رسالة كبيرة محتوية على معرفة أحكام الصلاة والزكاة والخمس والصوم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98" w:name="pg7453_121705"/>
    </w:p>
    <w:p>
      <w:pPr>
        <w:pStyle w:val="Heading5"/>
        <w:numPr>
          <w:ilvl w:val="4"/>
          <w:numId w:val="1"/>
        </w:numPr>
        <w:rPr/>
      </w:pPr>
      <w:bookmarkStart w:id="99" w:name="__RefHeading___Toc1981920_1051229030"/>
      <w:bookmarkStart w:id="100" w:name="_Toc38"/>
      <w:bookmarkEnd w:id="98"/>
      <w:bookmarkEnd w:id="99"/>
      <w:r>
        <w:rPr/>
        <w:t>17</w:t>
      </w:r>
      <w:r>
        <w:rPr>
          <w:rtl w:val="true"/>
        </w:rPr>
        <w:t xml:space="preserve">- </w:t>
      </w:r>
      <w:r>
        <w:rPr>
          <w:rtl w:val="true"/>
        </w:rPr>
        <w:t>رسالة في منجّزات المريض</w:t>
      </w:r>
      <w:bookmarkEnd w:id="100"/>
    </w:p>
    <w:p>
      <w:pPr>
        <w:pStyle w:val="Heading5"/>
        <w:numPr>
          <w:ilvl w:val="4"/>
          <w:numId w:val="1"/>
        </w:numPr>
        <w:rPr/>
      </w:pPr>
      <w:bookmarkStart w:id="101" w:name="__RefHeading___Toc1981922_1051229030"/>
      <w:bookmarkStart w:id="102" w:name="_Toc39"/>
      <w:bookmarkEnd w:id="101"/>
      <w:r>
        <w:rPr/>
        <w:t>18</w:t>
      </w:r>
      <w:r>
        <w:rPr>
          <w:rtl w:val="true"/>
        </w:rPr>
        <w:t xml:space="preserve"> - </w:t>
      </w:r>
      <w:r>
        <w:rPr>
          <w:rtl w:val="true"/>
        </w:rPr>
        <w:t>رسالة في تقليد الميّت</w:t>
      </w:r>
      <w:bookmarkEnd w:id="102"/>
    </w:p>
    <w:p>
      <w:pPr>
        <w:pStyle w:val="BookText"/>
        <w:rPr/>
      </w:pPr>
      <w:r>
        <w:rPr>
          <w:rFonts w:ascii="Amiri" w:hAnsi="Amiri" w:eastAsia="Amiri" w:cs="Amiri"/>
          <w:color w:val="111111"/>
          <w:sz w:val="28"/>
          <w:sz w:val="28"/>
          <w:szCs w:val="28"/>
          <w:rtl w:val="true"/>
          <w:lang w:bidi="ar-SA"/>
        </w:rPr>
        <w:t xml:space="preserve">ذكرها في رسالته في التقليد </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981924_1051229030"/>
      <w:bookmarkStart w:id="104" w:name="_Toc40"/>
      <w:bookmarkEnd w:id="103"/>
      <w:r>
        <w:rPr/>
        <w:t>19</w:t>
      </w:r>
      <w:r>
        <w:rPr>
          <w:rtl w:val="true"/>
        </w:rPr>
        <w:t xml:space="preserve"> - </w:t>
      </w:r>
      <w:r>
        <w:rPr>
          <w:rtl w:val="true"/>
        </w:rPr>
        <w:t>رسالة في الحبوة</w:t>
      </w:r>
      <w:bookmarkEnd w:id="104"/>
    </w:p>
    <w:p>
      <w:pPr>
        <w:pStyle w:val="BookText"/>
        <w:rPr/>
      </w:pPr>
      <w:r>
        <w:rPr>
          <w:rFonts w:ascii="Amiri" w:hAnsi="Amiri" w:eastAsia="Amiri" w:cs="Amiri"/>
          <w:color w:val="111111"/>
          <w:sz w:val="28"/>
          <w:sz w:val="28"/>
          <w:szCs w:val="28"/>
          <w:rtl w:val="true"/>
          <w:lang w:bidi="ar-SA"/>
        </w:rPr>
        <w:t xml:space="preserve">و هذا هو الكتاب الماثل بين يديك عزيزي القارئ، و سيأتي الكلام عنه </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981926_1051229030"/>
      <w:bookmarkStart w:id="106" w:name="_Toc41"/>
      <w:bookmarkEnd w:id="105"/>
      <w:r>
        <w:rPr/>
        <w:t>20</w:t>
      </w:r>
      <w:r>
        <w:rPr>
          <w:rtl w:val="true"/>
        </w:rPr>
        <w:t xml:space="preserve"> - </w:t>
      </w:r>
      <w:r>
        <w:rPr>
          <w:rtl w:val="true"/>
        </w:rPr>
        <w:t>الحاشية على تحفة الأبرار</w:t>
      </w:r>
      <w:bookmarkEnd w:id="106"/>
    </w:p>
    <w:p>
      <w:pPr>
        <w:pStyle w:val="BookText"/>
        <w:rPr/>
      </w:pPr>
      <w:r>
        <w:rPr>
          <w:rFonts w:ascii="Amiri" w:hAnsi="Amiri" w:eastAsia="Amiri" w:cs="Amiri"/>
          <w:color w:val="111111"/>
          <w:sz w:val="28"/>
          <w:sz w:val="28"/>
          <w:szCs w:val="28"/>
          <w:rtl w:val="true"/>
          <w:lang w:bidi="ar-SA"/>
        </w:rPr>
        <w:t xml:space="preserve">هي حواش مختصرة على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الملتقط من آثار الأئمّة الأطهار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والده العلاّمة قدس‌سره، و رمزها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س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طبعتا معًا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الفاضل الخبير الحجّة الحاجّ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981928_1051229030"/>
      <w:bookmarkStart w:id="108" w:name="_Toc42"/>
      <w:bookmarkEnd w:id="107"/>
      <w:r>
        <w:rPr/>
        <w:t>21</w:t>
      </w:r>
      <w:r>
        <w:rPr>
          <w:rtl w:val="true"/>
        </w:rPr>
        <w:t xml:space="preserve"> - </w:t>
      </w:r>
      <w:r>
        <w:rPr>
          <w:rtl w:val="true"/>
        </w:rPr>
        <w:t>الحاشية على جامع عبّاسي</w:t>
      </w:r>
      <w:bookmarkEnd w:id="10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حواش قليلة متفرّقة، معلّقة على هوامش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البهائي قدس‌سره، تشتمل على كتاب الحجّ منه فحسب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09" w:name="pg7453_121707"/>
    </w:p>
    <w:p>
      <w:pPr>
        <w:pStyle w:val="Heading5"/>
        <w:numPr>
          <w:ilvl w:val="4"/>
          <w:numId w:val="1"/>
        </w:numPr>
        <w:rPr/>
      </w:pPr>
      <w:bookmarkStart w:id="110" w:name="__RefHeading___Toc1981930_1051229030"/>
      <w:bookmarkStart w:id="111" w:name="_Toc43"/>
      <w:bookmarkEnd w:id="109"/>
      <w:bookmarkEnd w:id="110"/>
      <w:r>
        <w:rPr/>
        <w:t>22</w:t>
      </w:r>
      <w:r>
        <w:rPr>
          <w:rtl w:val="true"/>
        </w:rPr>
        <w:t xml:space="preserve">- </w:t>
      </w:r>
      <w:r>
        <w:rPr>
          <w:rtl w:val="true"/>
        </w:rPr>
        <w:t>الحاشية على مناسك والده قدس‌سره</w:t>
      </w:r>
      <w:bookmarkEnd w:id="111"/>
    </w:p>
    <w:p>
      <w:pPr>
        <w:pStyle w:val="BookText"/>
        <w:rPr/>
      </w:pPr>
      <w:r>
        <w:rPr>
          <w:rFonts w:ascii="Amiri" w:hAnsi="Amiri" w:eastAsia="Amiri" w:cs="Amiri"/>
          <w:color w:val="111111"/>
          <w:sz w:val="28"/>
          <w:sz w:val="28"/>
          <w:szCs w:val="28"/>
          <w:rtl w:val="true"/>
          <w:lang w:bidi="ar-SA"/>
        </w:rPr>
        <w:t xml:space="preserve">هي حواشي مختصرة غير مدوّنة، كتبها بخطّه على 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تأليفات والده قدس‌سره</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981932_1051229030"/>
      <w:bookmarkStart w:id="113" w:name="_Toc44"/>
      <w:bookmarkEnd w:id="112"/>
      <w:r>
        <w:rPr/>
        <w:t>23</w:t>
      </w:r>
      <w:r>
        <w:rPr>
          <w:rtl w:val="true"/>
        </w:rPr>
        <w:t xml:space="preserve"> - </w:t>
      </w:r>
      <w:r>
        <w:rPr>
          <w:rtl w:val="true"/>
        </w:rPr>
        <w:t>الحاشية على النخبة في العبادات</w:t>
      </w:r>
      <w:bookmarkEnd w:id="113"/>
    </w:p>
    <w:p>
      <w:pPr>
        <w:pStyle w:val="BookText"/>
        <w:rPr/>
      </w:pPr>
      <w:r>
        <w:rPr>
          <w:rFonts w:ascii="Amiri" w:hAnsi="Amiri" w:eastAsia="Amiri" w:cs="Amiri"/>
          <w:color w:val="111111"/>
          <w:sz w:val="28"/>
          <w:sz w:val="28"/>
          <w:szCs w:val="28"/>
          <w:rtl w:val="true"/>
          <w:lang w:bidi="ar-SA"/>
        </w:rPr>
        <w:t xml:space="preserve">هي حواشيه رحمه‌الله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رسالة فتوائيّة لعمل المقلّدين من تأليف العلاّمة الحاجّ محمّد إبراهيم الكلباسي قدس‌سره</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981934_1051229030"/>
      <w:bookmarkStart w:id="115" w:name="_Toc45"/>
      <w:bookmarkEnd w:id="114"/>
      <w:r>
        <w:rPr/>
        <w:t>24</w:t>
      </w:r>
      <w:r>
        <w:rPr>
          <w:rtl w:val="true"/>
        </w:rPr>
        <w:t xml:space="preserve"> - </w:t>
      </w:r>
      <w:r>
        <w:rPr>
          <w:rtl w:val="true"/>
        </w:rPr>
        <w:t>كتاب الغِيبة في حكم الإغتياب</w:t>
      </w:r>
      <w:bookmarkEnd w:id="115"/>
    </w:p>
    <w:p>
      <w:pPr>
        <w:pStyle w:val="Heading6"/>
        <w:numPr>
          <w:ilvl w:val="5"/>
          <w:numId w:val="1"/>
        </w:numPr>
        <w:rPr/>
      </w:pPr>
      <w:bookmarkStart w:id="116" w:name="__RefHeading___Toc1981936_1051229030"/>
      <w:bookmarkStart w:id="117" w:name="_Toc46"/>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ذكره البحّاثة المتتبّع الشيخ آقا بزرك الطهراني رحمه‌الله في ذريعته و قال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الغيبة عند ولده الحاجّ آقا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18" w:name="pg7453_121709"/>
    </w:p>
    <w:p>
      <w:pPr>
        <w:pStyle w:val="Heading6"/>
        <w:numPr>
          <w:ilvl w:val="5"/>
          <w:numId w:val="1"/>
        </w:numPr>
        <w:rPr/>
      </w:pPr>
      <w:bookmarkStart w:id="119" w:name="__RefHeading___Toc1981938_1051229030"/>
      <w:bookmarkStart w:id="120" w:name="_Toc47"/>
      <w:bookmarkEnd w:id="118"/>
      <w:bookmarkEnd w:id="119"/>
      <w:r>
        <w:rPr>
          <w:rtl w:val="true"/>
        </w:rPr>
        <w:t xml:space="preserve">« </w:t>
      </w:r>
      <w:r>
        <w:rPr>
          <w:rtl w:val="true"/>
        </w:rPr>
        <w:t xml:space="preserve">الكتب والرسائل الأصوليّة </w:t>
      </w:r>
      <w:r>
        <w:rPr>
          <w:rtl w:val="true"/>
        </w:rPr>
        <w:t>»</w:t>
      </w:r>
      <w:bookmarkEnd w:id="120"/>
    </w:p>
    <w:p>
      <w:pPr>
        <w:pStyle w:val="Heading5"/>
        <w:numPr>
          <w:ilvl w:val="4"/>
          <w:numId w:val="1"/>
        </w:numPr>
        <w:rPr/>
      </w:pPr>
      <w:bookmarkStart w:id="121" w:name="__RefHeading___Toc1981940_1051229030"/>
      <w:bookmarkStart w:id="122" w:name="_Toc48"/>
      <w:bookmarkEnd w:id="121"/>
      <w:r>
        <w:rPr/>
        <w:t>25</w:t>
      </w:r>
      <w:r>
        <w:rPr>
          <w:rtl w:val="true"/>
        </w:rPr>
        <w:t xml:space="preserve"> - </w:t>
      </w:r>
      <w:r>
        <w:rPr>
          <w:rtl w:val="true"/>
        </w:rPr>
        <w:t>الاستصحاب</w:t>
      </w:r>
      <w:bookmarkEnd w:id="122"/>
    </w:p>
    <w:p>
      <w:pPr>
        <w:pStyle w:val="BookText"/>
        <w:rPr/>
      </w:pPr>
      <w:r>
        <w:rPr>
          <w:rFonts w:ascii="Amiri" w:hAnsi="Amiri" w:eastAsia="Amiri" w:cs="Amiri"/>
          <w:color w:val="111111"/>
          <w:sz w:val="28"/>
          <w:sz w:val="28"/>
          <w:szCs w:val="28"/>
          <w:rtl w:val="true"/>
          <w:lang w:bidi="ar-SA"/>
        </w:rPr>
        <w:t xml:space="preserve">كتاب مستقلّ، مرتّب على مقدّمة و أبواب و خاتمة، أوّله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على أشرف خلقه محمّد وآله الطاهرين، و بعد فهذه جملة كافية في بيان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نسخة خطّية منه في المكتبة المرعشيّة برقم </w:t>
      </w: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981942_1051229030"/>
      <w:bookmarkStart w:id="124" w:name="_Toc49"/>
      <w:bookmarkEnd w:id="123"/>
      <w:r>
        <w:rPr/>
        <w:t>26</w:t>
      </w:r>
      <w:r>
        <w:rPr>
          <w:rtl w:val="true"/>
        </w:rPr>
        <w:t xml:space="preserve"> - </w:t>
      </w:r>
      <w:r>
        <w:rPr>
          <w:rtl w:val="true"/>
        </w:rPr>
        <w:t>الرسائل الأصوليّة</w:t>
      </w:r>
      <w:bookmarkEnd w:id="124"/>
    </w:p>
    <w:p>
      <w:pPr>
        <w:pStyle w:val="BookText"/>
        <w:rPr/>
      </w:pPr>
      <w:r>
        <w:rPr>
          <w:rFonts w:ascii="Amiri" w:hAnsi="Amiri" w:eastAsia="Amiri" w:cs="Amiri"/>
          <w:color w:val="111111"/>
          <w:sz w:val="28"/>
          <w:sz w:val="28"/>
          <w:szCs w:val="28"/>
          <w:rtl w:val="true"/>
          <w:lang w:bidi="ar-SA"/>
        </w:rPr>
        <w:t xml:space="preserve">و هي عدّة رسائل،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حجّيّة الظنّ،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الخبر الواحد ؛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الاجتهاد والتقليد </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981944_1051229030"/>
      <w:bookmarkStart w:id="126" w:name="_Toc50"/>
      <w:bookmarkEnd w:id="125"/>
      <w:r>
        <w:rPr/>
        <w:t>27</w:t>
      </w:r>
      <w:r>
        <w:rPr>
          <w:rtl w:val="true"/>
        </w:rPr>
        <w:t xml:space="preserve"> - </w:t>
      </w:r>
      <w:r>
        <w:rPr>
          <w:rtl w:val="true"/>
        </w:rPr>
        <w:t>رسالة في الحقيقة الشرعيّة</w:t>
      </w:r>
      <w:bookmarkEnd w:id="1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منها موجودة في مكتبة مسجد گوهرشاد برقم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27" w:name="pg7453_121712"/>
    </w:p>
    <w:p>
      <w:pPr>
        <w:pStyle w:val="Heading5"/>
        <w:numPr>
          <w:ilvl w:val="4"/>
          <w:numId w:val="1"/>
        </w:numPr>
        <w:rPr/>
      </w:pPr>
      <w:bookmarkStart w:id="128" w:name="__RefHeading___Toc1981946_1051229030"/>
      <w:bookmarkStart w:id="129" w:name="_Toc51"/>
      <w:bookmarkEnd w:id="127"/>
      <w:bookmarkEnd w:id="128"/>
      <w:r>
        <w:rPr/>
        <w:t>28</w:t>
      </w:r>
      <w:r>
        <w:rPr>
          <w:rtl w:val="true"/>
        </w:rPr>
        <w:t xml:space="preserve"> - </w:t>
      </w:r>
      <w:r>
        <w:rPr>
          <w:rtl w:val="true"/>
        </w:rPr>
        <w:t>رسالة في الأوامر والنواهي</w:t>
      </w:r>
      <w:bookmarkEnd w:id="129"/>
    </w:p>
    <w:p>
      <w:pPr>
        <w:pStyle w:val="BookText"/>
        <w:rPr/>
      </w:pPr>
      <w:r>
        <w:rPr>
          <w:rFonts w:ascii="IRNazanin" w:hAnsi="IRNazanin" w:eastAsia="IRNazanin"/>
          <w:color w:val="111111"/>
          <w:sz w:val="28"/>
          <w:sz w:val="28"/>
          <w:szCs w:val="28"/>
          <w:rtl w:val="true"/>
          <w:lang w:bidi="fa-IR"/>
        </w:rPr>
        <w:t xml:space="preserve">نسخة منها موجودة في مكتبة مسجد گوهرشاد برقم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والرسائل الرجاليّة </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981948_1051229030"/>
      <w:bookmarkStart w:id="131" w:name="_Toc52"/>
      <w:bookmarkEnd w:id="130"/>
      <w:r>
        <w:rPr/>
        <w:t>29</w:t>
      </w:r>
      <w:r>
        <w:rPr>
          <w:rtl w:val="true"/>
        </w:rPr>
        <w:t xml:space="preserve"> - </w:t>
      </w:r>
      <w:r>
        <w:rPr>
          <w:rtl w:val="true"/>
        </w:rPr>
        <w:t>كتاب في الرجال</w:t>
      </w:r>
      <w:bookmarkEnd w:id="131"/>
    </w:p>
    <w:p>
      <w:pPr>
        <w:pStyle w:val="BookText"/>
        <w:rPr/>
      </w:pPr>
      <w:r>
        <w:rPr>
          <w:rFonts w:ascii="Amiri" w:hAnsi="Amiri" w:eastAsia="Amiri" w:cs="Amiri"/>
          <w:color w:val="111111"/>
          <w:sz w:val="28"/>
          <w:sz w:val="28"/>
          <w:szCs w:val="28"/>
          <w:rtl w:val="true"/>
          <w:lang w:bidi="ar-SA"/>
        </w:rPr>
        <w:t xml:space="preserve">قال العلاّمة الطهراني رحمه‌الله في مصفّى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في الرجال كان عند ولده السيّد محمّد باقر، حكى لي أنّه موجود في خزانته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981950_1051229030"/>
      <w:bookmarkStart w:id="133" w:name="_Toc53"/>
      <w:bookmarkEnd w:id="132"/>
      <w:r>
        <w:rPr/>
        <w:t>30</w:t>
      </w:r>
      <w:r>
        <w:rPr>
          <w:rtl w:val="true"/>
        </w:rPr>
        <w:t xml:space="preserve"> - </w:t>
      </w:r>
      <w:r>
        <w:rPr>
          <w:rtl w:val="true"/>
        </w:rPr>
        <w:t>رسالة في إبراهيم بن أبي بكر بن أبي سماك</w:t>
      </w:r>
      <w:bookmarkEnd w:id="13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شرحه الكبير على شرائع الإسلام </w:t>
      </w:r>
      <w:r>
        <w:rPr>
          <w:rFonts w:eastAsia="Amiri" w:cs="Amiri" w:ascii="Amiri" w:hAnsi="Amiri"/>
          <w:color w:val="111111"/>
          <w:sz w:val="28"/>
          <w:szCs w:val="28"/>
          <w:rtl w:val="true"/>
          <w:lang w:bidi="ar-SA"/>
        </w:rPr>
        <w:t xml:space="preserve">. </w:t>
      </w:r>
      <w:bookmarkStart w:id="134" w:name="pg7453_121714"/>
    </w:p>
    <w:p>
      <w:pPr>
        <w:pStyle w:val="Heading5"/>
        <w:numPr>
          <w:ilvl w:val="4"/>
          <w:numId w:val="1"/>
        </w:numPr>
        <w:rPr/>
      </w:pPr>
      <w:bookmarkStart w:id="135" w:name="__RefHeading___Toc1981952_1051229030"/>
      <w:bookmarkStart w:id="136" w:name="_Toc54"/>
      <w:bookmarkEnd w:id="134"/>
      <w:bookmarkEnd w:id="135"/>
      <w:r>
        <w:rPr/>
        <w:t>31</w:t>
      </w:r>
      <w:r>
        <w:rPr>
          <w:rtl w:val="true"/>
        </w:rPr>
        <w:t xml:space="preserve"> - </w:t>
      </w:r>
      <w:r>
        <w:rPr>
          <w:rtl w:val="true"/>
        </w:rPr>
        <w:t>رسالة في إبراهيم بن هاشم</w:t>
      </w:r>
      <w:bookmarkEnd w:id="136"/>
    </w:p>
    <w:p>
      <w:pPr>
        <w:pStyle w:val="BookText"/>
        <w:rPr/>
      </w:pPr>
      <w:r>
        <w:rPr>
          <w:rFonts w:ascii="Amiri" w:hAnsi="Amiri" w:eastAsia="Amiri" w:cs="Amiri"/>
          <w:color w:val="111111"/>
          <w:sz w:val="28"/>
          <w:sz w:val="28"/>
          <w:szCs w:val="28"/>
          <w:rtl w:val="true"/>
          <w:lang w:bidi="ar-SA"/>
        </w:rPr>
        <w:t xml:space="preserve">ذكرها أيضًا في شرحه على الشرائع </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981954_1051229030"/>
      <w:bookmarkStart w:id="138" w:name="_Toc55"/>
      <w:bookmarkEnd w:id="137"/>
      <w:r>
        <w:rPr/>
        <w:t>32</w:t>
      </w:r>
      <w:r>
        <w:rPr>
          <w:rtl w:val="true"/>
        </w:rPr>
        <w:t xml:space="preserve"> - </w:t>
      </w:r>
      <w:r>
        <w:rPr>
          <w:rtl w:val="true"/>
        </w:rPr>
        <w:t>رسالة في أبي بصير</w:t>
      </w:r>
      <w:bookmarkEnd w:id="138"/>
    </w:p>
    <w:p>
      <w:pPr>
        <w:pStyle w:val="BookText"/>
        <w:rPr/>
      </w:pPr>
      <w:r>
        <w:rPr>
          <w:rFonts w:ascii="Amiri" w:hAnsi="Amiri" w:eastAsia="Amiri" w:cs="Amiri"/>
          <w:color w:val="111111"/>
          <w:sz w:val="28"/>
          <w:sz w:val="28"/>
          <w:szCs w:val="28"/>
          <w:rtl w:val="true"/>
          <w:lang w:bidi="ar-SA"/>
        </w:rPr>
        <w:t xml:space="preserve">ذكرها أيضًا في شرحه على الشرائع </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981956_1051229030"/>
      <w:bookmarkStart w:id="140" w:name="_Toc56"/>
      <w:bookmarkEnd w:id="139"/>
      <w:r>
        <w:rPr/>
        <w:t>33</w:t>
      </w:r>
      <w:r>
        <w:rPr>
          <w:rtl w:val="true"/>
        </w:rPr>
        <w:t xml:space="preserve"> - </w:t>
      </w:r>
      <w:r>
        <w:rPr>
          <w:rtl w:val="true"/>
        </w:rPr>
        <w:t>رسالة في أحوال زيد بن عليّ عليه‌السلام</w:t>
      </w:r>
      <w:bookmarkEnd w:id="140"/>
    </w:p>
    <w:p>
      <w:pPr>
        <w:pStyle w:val="BookText"/>
        <w:rPr/>
      </w:pPr>
      <w:r>
        <w:rPr>
          <w:rFonts w:ascii="Amiri" w:hAnsi="Amiri" w:eastAsia="Amiri" w:cs="Amiri"/>
          <w:color w:val="111111"/>
          <w:sz w:val="28"/>
          <w:sz w:val="28"/>
          <w:szCs w:val="28"/>
          <w:rtl w:val="true"/>
          <w:lang w:bidi="ar-SA"/>
        </w:rPr>
        <w:t xml:space="preserve">قال في شرحه على الشرائع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زيد بن عليّ قد بسطنا الكلام فيه في رسالة فيه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981958_1051229030"/>
      <w:bookmarkStart w:id="142" w:name="_Toc57"/>
      <w:bookmarkEnd w:id="141"/>
      <w:r>
        <w:rPr/>
        <w:t>34</w:t>
      </w:r>
      <w:r>
        <w:rPr>
          <w:rtl w:val="true"/>
        </w:rPr>
        <w:t xml:space="preserve"> - </w:t>
      </w:r>
      <w:r>
        <w:rPr>
          <w:rtl w:val="true"/>
        </w:rPr>
        <w:t>رسالة في إبراهيم بن أبي زياد الكرخيّ</w:t>
      </w:r>
      <w:bookmarkEnd w:id="142"/>
    </w:p>
    <w:p>
      <w:pPr>
        <w:pStyle w:val="BookText"/>
        <w:rPr/>
      </w:pPr>
      <w:r>
        <w:rPr>
          <w:rFonts w:ascii="Amiri" w:hAnsi="Amiri" w:eastAsia="Amiri" w:cs="Amiri"/>
          <w:color w:val="111111"/>
          <w:sz w:val="28"/>
          <w:sz w:val="28"/>
          <w:szCs w:val="28"/>
          <w:rtl w:val="true"/>
          <w:lang w:bidi="ar-SA"/>
        </w:rPr>
        <w:t xml:space="preserve">ذكرها في شرحه على شرائع الإسلام </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981960_1051229030"/>
      <w:bookmarkStart w:id="144" w:name="_Toc58"/>
      <w:bookmarkEnd w:id="143"/>
      <w:r>
        <w:rPr/>
        <w:t>35</w:t>
      </w:r>
      <w:r>
        <w:rPr>
          <w:rtl w:val="true"/>
        </w:rPr>
        <w:t xml:space="preserve"> - </w:t>
      </w:r>
      <w:r>
        <w:rPr>
          <w:rtl w:val="true"/>
        </w:rPr>
        <w:t>رسالة في سالم بن مكرم</w:t>
      </w:r>
      <w:bookmarkEnd w:id="144"/>
    </w:p>
    <w:p>
      <w:pPr>
        <w:pStyle w:val="Heading6"/>
        <w:numPr>
          <w:ilvl w:val="5"/>
          <w:numId w:val="1"/>
        </w:numPr>
        <w:rPr/>
      </w:pPr>
      <w:bookmarkStart w:id="145" w:name="__RefHeading___Toc1981962_1051229030"/>
      <w:bookmarkStart w:id="146" w:name="_Toc59"/>
      <w:bookmarkEnd w:id="145"/>
      <w:r>
        <w:rPr>
          <w:rtl w:val="true"/>
        </w:rPr>
        <w:t>اشارة</w:t>
      </w:r>
      <w:bookmarkEnd w:id="14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شرحه على الشرائع </w:t>
      </w:r>
      <w:r>
        <w:rPr>
          <w:rFonts w:eastAsia="Amiri" w:cs="Amiri" w:ascii="Amiri" w:hAnsi="Amiri"/>
          <w:color w:val="111111"/>
          <w:sz w:val="28"/>
          <w:szCs w:val="28"/>
          <w:rtl w:val="true"/>
          <w:lang w:bidi="ar-SA"/>
        </w:rPr>
        <w:t xml:space="preserve">. </w:t>
      </w:r>
      <w:bookmarkStart w:id="147" w:name="pg7453_121716"/>
    </w:p>
    <w:p>
      <w:pPr>
        <w:pStyle w:val="Heading6"/>
        <w:numPr>
          <w:ilvl w:val="5"/>
          <w:numId w:val="1"/>
        </w:numPr>
        <w:rPr/>
      </w:pPr>
      <w:bookmarkStart w:id="148" w:name="__RefHeading___Toc1981964_1051229030"/>
      <w:bookmarkStart w:id="149" w:name="_Toc60"/>
      <w:bookmarkEnd w:id="147"/>
      <w:bookmarkEnd w:id="148"/>
      <w:r>
        <w:rPr>
          <w:rtl w:val="true"/>
        </w:rPr>
        <w:t xml:space="preserve">« </w:t>
      </w:r>
      <w:r>
        <w:rPr>
          <w:rtl w:val="true"/>
        </w:rPr>
        <w:t xml:space="preserve">الكتب والرسائل الاعتقاديّة </w:t>
      </w:r>
      <w:r>
        <w:rPr>
          <w:rtl w:val="true"/>
        </w:rPr>
        <w:t>»</w:t>
      </w:r>
      <w:bookmarkEnd w:id="149"/>
    </w:p>
    <w:p>
      <w:pPr>
        <w:pStyle w:val="Heading5"/>
        <w:numPr>
          <w:ilvl w:val="4"/>
          <w:numId w:val="1"/>
        </w:numPr>
        <w:rPr/>
      </w:pPr>
      <w:bookmarkStart w:id="150" w:name="__RefHeading___Toc1981966_1051229030"/>
      <w:bookmarkStart w:id="151" w:name="_Toc61"/>
      <w:bookmarkEnd w:id="150"/>
      <w:r>
        <w:rPr/>
        <w:t>36</w:t>
      </w:r>
      <w:r>
        <w:rPr>
          <w:rtl w:val="true"/>
        </w:rPr>
        <w:t xml:space="preserve"> - </w:t>
      </w:r>
      <w:r>
        <w:rPr>
          <w:rtl w:val="true"/>
        </w:rPr>
        <w:t>كتاب الإمامة</w:t>
      </w:r>
      <w:bookmarkEnd w:id="151"/>
    </w:p>
    <w:p>
      <w:pPr>
        <w:pStyle w:val="BookText"/>
        <w:rPr/>
      </w:pPr>
      <w:r>
        <w:rPr>
          <w:rFonts w:ascii="Amiri" w:hAnsi="Amiri" w:eastAsia="Amiri" w:cs="Amiri"/>
          <w:color w:val="111111"/>
          <w:sz w:val="28"/>
          <w:sz w:val="28"/>
          <w:szCs w:val="28"/>
          <w:rtl w:val="true"/>
          <w:lang w:bidi="ar-SA"/>
        </w:rPr>
        <w:t xml:space="preserve">أعطى مؤلّفه قدس‌سره فيه الدراسة عن الإمامة حقّها، و خاض جدًّا في أغوارها، واستوعب جميع جوانبها، فصار بحمد اللّه ركيزة ثمينة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هذا الكتاب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الحجّة الحاجّ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بطبعه مكتبة مسجد السيّد حجّة الإسلام الشفتي قدس‌سره</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981968_1051229030"/>
      <w:bookmarkStart w:id="153" w:name="_Toc62"/>
      <w:bookmarkEnd w:id="152"/>
      <w:r>
        <w:rPr/>
        <w:t>37</w:t>
      </w:r>
      <w:r>
        <w:rPr>
          <w:rtl w:val="true"/>
        </w:rPr>
        <w:t xml:space="preserve"> - </w:t>
      </w:r>
      <w:r>
        <w:rPr>
          <w:rtl w:val="true"/>
        </w:rPr>
        <w:t xml:space="preserve">أصول الدين </w:t>
      </w:r>
      <w:r>
        <w:rPr>
          <w:rtl w:val="true"/>
        </w:rPr>
        <w:t xml:space="preserve">( </w:t>
      </w:r>
      <w:r>
        <w:rPr>
          <w:rtl w:val="true"/>
        </w:rPr>
        <w:t xml:space="preserve">عربي </w:t>
      </w:r>
      <w:r>
        <w:rPr>
          <w:rtl w:val="true"/>
        </w:rPr>
        <w:t>)</w:t>
      </w:r>
      <w:bookmarkEnd w:id="153"/>
    </w:p>
    <w:p>
      <w:pPr>
        <w:pStyle w:val="Heading5"/>
        <w:numPr>
          <w:ilvl w:val="4"/>
          <w:numId w:val="1"/>
        </w:numPr>
        <w:rPr/>
      </w:pPr>
      <w:bookmarkStart w:id="154" w:name="__RefHeading___Toc1981970_1051229030"/>
      <w:bookmarkStart w:id="155" w:name="_Toc63"/>
      <w:bookmarkEnd w:id="154"/>
      <w:r>
        <w:rPr/>
        <w:t>38</w:t>
      </w:r>
      <w:r>
        <w:rPr>
          <w:rtl w:val="true"/>
        </w:rPr>
        <w:t xml:space="preserve"> - </w:t>
      </w:r>
      <w:r>
        <w:rPr>
          <w:rtl w:val="true"/>
        </w:rPr>
        <w:t>كتاب في إثبات الإمامة</w:t>
      </w:r>
      <w:bookmarkEnd w:id="155"/>
    </w:p>
    <w:p>
      <w:pPr>
        <w:pStyle w:val="BookText"/>
        <w:rPr/>
      </w:pPr>
      <w:r>
        <w:rPr>
          <w:rFonts w:ascii="Amiri" w:hAnsi="Amiri" w:eastAsia="Amiri" w:cs="Amiri"/>
          <w:color w:val="111111"/>
          <w:sz w:val="28"/>
          <w:sz w:val="28"/>
          <w:szCs w:val="28"/>
          <w:rtl w:val="true"/>
          <w:lang w:bidi="ar-SA"/>
        </w:rPr>
        <w:t xml:space="preserve">قال مؤلّفه قدس‌سره في كتابه الإمامة السابق ذكره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كتبنا في أوائل السنّ في إثبات الإمامة، و تعرّضنا لهذا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خبر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56" w:name="pg7453_121717"/>
    </w:p>
    <w:p>
      <w:pPr>
        <w:pStyle w:val="Heading5"/>
        <w:numPr>
          <w:ilvl w:val="4"/>
          <w:numId w:val="1"/>
        </w:numPr>
        <w:rPr/>
      </w:pPr>
      <w:bookmarkStart w:id="157" w:name="__RefHeading___Toc1981972_1051229030"/>
      <w:bookmarkStart w:id="158" w:name="_Toc64"/>
      <w:bookmarkEnd w:id="156"/>
      <w:bookmarkEnd w:id="157"/>
      <w:r>
        <w:rPr/>
        <w:t>39</w:t>
      </w:r>
      <w:r>
        <w:rPr>
          <w:rtl w:val="true"/>
        </w:rPr>
        <w:t xml:space="preserve"> - </w:t>
      </w:r>
      <w:r>
        <w:rPr>
          <w:rtl w:val="true"/>
        </w:rPr>
        <w:t>منتخب الصحاح</w:t>
      </w:r>
      <w:bookmarkEnd w:id="158"/>
    </w:p>
    <w:p>
      <w:pPr>
        <w:pStyle w:val="BookText"/>
        <w:rPr/>
      </w:pPr>
      <w:r>
        <w:rPr>
          <w:rFonts w:ascii="Amiri" w:hAnsi="Amiri" w:eastAsia="Amiri" w:cs="Amiri"/>
          <w:color w:val="111111"/>
          <w:sz w:val="28"/>
          <w:sz w:val="28"/>
          <w:szCs w:val="28"/>
          <w:rtl w:val="true"/>
          <w:lang w:bidi="ar-SA"/>
        </w:rPr>
        <w:t xml:space="preserve">منتخب من عدّة كتب في أبواب ما استخرجه من كتاب الطرائف للسيّد ابن طاوس قدس‌سره، من شرح نهج البلاغة لابن أبي الحديد، من الصواعق المحرقة لابن حجر الهيثمي، من الصحيحين لمسلم والبخاري، و في كلّ باب 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 الشيخ آقا بزرك الطهراني بمناقب الأئمّة عليهم‌السلام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 الكتاب بتحقيق مكتبة مسجد السيّد حجّة الإسلام رحمه‌الله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981974_1051229030"/>
      <w:bookmarkStart w:id="160" w:name="_Toc65"/>
      <w:bookmarkEnd w:id="159"/>
      <w:r>
        <w:rPr/>
        <w:t>40</w:t>
      </w:r>
      <w:r>
        <w:rPr>
          <w:rtl w:val="true"/>
        </w:rPr>
        <w:t xml:space="preserve"> - </w:t>
      </w:r>
      <w:r>
        <w:rPr>
          <w:rtl w:val="true"/>
        </w:rPr>
        <w:t>كتاب الغَيبة</w:t>
      </w:r>
      <w:bookmarkEnd w:id="160"/>
    </w:p>
    <w:p>
      <w:pPr>
        <w:pStyle w:val="BookText"/>
        <w:rPr/>
      </w:pPr>
      <w:r>
        <w:rPr>
          <w:rFonts w:ascii="Amiri" w:hAnsi="Amiri" w:eastAsia="Amiri" w:cs="Amiri"/>
          <w:color w:val="111111"/>
          <w:sz w:val="28"/>
          <w:sz w:val="28"/>
          <w:szCs w:val="28"/>
          <w:rtl w:val="true"/>
          <w:lang w:bidi="ar-SA"/>
        </w:rPr>
        <w:t xml:space="preserve">حول الإمام الثاني عشر القائم المهديّ عليه‌السلام، و إثبات إمامته، و بيان أحواله و سيرته عليه‌السلام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في مجلّدين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حفيد المؤلّف قدس‌سره سماحة الحجّة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بطبعه مكتبة مسجد السيّد حجّة الإسلام رحمه‌الله</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981976_1051229030"/>
      <w:bookmarkStart w:id="162" w:name="_Toc66"/>
      <w:bookmarkEnd w:id="161"/>
      <w:r>
        <w:rPr/>
        <w:t>41</w:t>
      </w:r>
      <w:r>
        <w:rPr>
          <w:rtl w:val="true"/>
        </w:rPr>
        <w:t xml:space="preserve"> - </w:t>
      </w:r>
      <w:r>
        <w:rPr>
          <w:rtl w:val="true"/>
        </w:rPr>
        <w:t>رسالة في الرجعة</w:t>
      </w:r>
      <w:bookmarkEnd w:id="1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3" w:name="__RefHeading___Toc1981978_1051229030"/>
      <w:bookmarkStart w:id="164" w:name="_Toc67"/>
      <w:bookmarkEnd w:id="163"/>
      <w:r>
        <w:rPr>
          <w:rtl w:val="true"/>
        </w:rPr>
        <w:t>اشارة</w:t>
      </w:r>
      <w:bookmarkStart w:id="165" w:name="pg7453_121719"/>
      <w:bookmarkEnd w:id="164"/>
    </w:p>
    <w:p>
      <w:pPr>
        <w:pStyle w:val="Heading6"/>
        <w:numPr>
          <w:ilvl w:val="5"/>
          <w:numId w:val="1"/>
        </w:numPr>
        <w:rPr/>
      </w:pPr>
      <w:bookmarkStart w:id="166" w:name="__RefHeading___Toc1981980_1051229030"/>
      <w:bookmarkStart w:id="167" w:name="_Toc68"/>
      <w:bookmarkEnd w:id="165"/>
      <w:bookmarkEnd w:id="166"/>
      <w:r>
        <w:rPr>
          <w:rtl w:val="true"/>
        </w:rPr>
        <w:t xml:space="preserve">« </w:t>
      </w:r>
      <w:r>
        <w:rPr>
          <w:rtl w:val="true"/>
        </w:rPr>
        <w:t xml:space="preserve">الكتب والرسائل المتفرّقة </w:t>
      </w:r>
      <w:r>
        <w:rPr>
          <w:rtl w:val="true"/>
        </w:rPr>
        <w:t>»</w:t>
      </w:r>
      <w:bookmarkEnd w:id="167"/>
    </w:p>
    <w:p>
      <w:pPr>
        <w:pStyle w:val="Heading5"/>
        <w:numPr>
          <w:ilvl w:val="4"/>
          <w:numId w:val="1"/>
        </w:numPr>
        <w:rPr/>
      </w:pPr>
      <w:bookmarkStart w:id="168" w:name="__RefHeading___Toc1981982_1051229030"/>
      <w:bookmarkStart w:id="169" w:name="_Toc69"/>
      <w:bookmarkEnd w:id="168"/>
      <w:r>
        <w:rPr/>
        <w:t>42</w:t>
      </w:r>
      <w:r>
        <w:rPr>
          <w:rtl w:val="true"/>
        </w:rPr>
        <w:t xml:space="preserve"> - </w:t>
      </w:r>
      <w:r>
        <w:rPr>
          <w:rtl w:val="true"/>
        </w:rPr>
        <w:t>الحاشية على البهجة المرضيّة في شرح الألفيّة</w:t>
      </w:r>
      <w:bookmarkEnd w:id="169"/>
    </w:p>
    <w:p>
      <w:pPr>
        <w:pStyle w:val="BookText"/>
        <w:rPr/>
      </w:pPr>
      <w:r>
        <w:rPr>
          <w:rFonts w:ascii="Amiri" w:hAnsi="Amiri" w:eastAsia="Amiri" w:cs="Amiri"/>
          <w:color w:val="111111"/>
          <w:sz w:val="28"/>
          <w:sz w:val="28"/>
          <w:szCs w:val="28"/>
          <w:rtl w:val="true"/>
          <w:lang w:bidi="ar-SA"/>
        </w:rPr>
        <w:t xml:space="preserve">هي بمنزلة إتمام شرح والده قدس‌سره على البهجة المرضيّة، كتبها بأمره وأتمّها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981984_1051229030"/>
      <w:bookmarkStart w:id="171" w:name="_Toc70"/>
      <w:bookmarkEnd w:id="170"/>
      <w:r>
        <w:rPr/>
        <w:t>43</w:t>
      </w:r>
      <w:r>
        <w:rPr>
          <w:rtl w:val="true"/>
        </w:rPr>
        <w:t xml:space="preserve"> - </w:t>
      </w:r>
      <w:r>
        <w:rPr>
          <w:rtl w:val="true"/>
        </w:rPr>
        <w:t>رسالة في التجويد</w:t>
      </w:r>
      <w:bookmarkEnd w:id="171"/>
    </w:p>
    <w:p>
      <w:pPr>
        <w:pStyle w:val="BookText"/>
        <w:rPr/>
      </w:pPr>
      <w:r>
        <w:rPr>
          <w:rFonts w:ascii="Amiri" w:hAnsi="Amiri" w:eastAsia="Amiri" w:cs="Amiri"/>
          <w:color w:val="111111"/>
          <w:sz w:val="28"/>
          <w:sz w:val="28"/>
          <w:szCs w:val="28"/>
          <w:rtl w:val="true"/>
          <w:lang w:bidi="ar-SA"/>
        </w:rPr>
        <w:t xml:space="preserve">ذكرها المحقّق الطهراني في الكرام البررة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1981986_1051229030"/>
      <w:bookmarkStart w:id="173" w:name="_Toc71"/>
      <w:bookmarkEnd w:id="172"/>
      <w:r>
        <w:rPr/>
        <w:t>44</w:t>
      </w:r>
      <w:r>
        <w:rPr>
          <w:rtl w:val="true"/>
        </w:rPr>
        <w:t xml:space="preserve"> - </w:t>
      </w:r>
      <w:r>
        <w:rPr>
          <w:rtl w:val="true"/>
        </w:rPr>
        <w:t>رسالة في المنطق</w:t>
      </w:r>
      <w:bookmarkEnd w:id="173"/>
    </w:p>
    <w:p>
      <w:pPr>
        <w:pStyle w:val="Heading5"/>
        <w:numPr>
          <w:ilvl w:val="4"/>
          <w:numId w:val="1"/>
        </w:numPr>
        <w:rPr/>
      </w:pPr>
      <w:bookmarkStart w:id="174" w:name="__RefHeading___Toc1981988_1051229030"/>
      <w:bookmarkStart w:id="175" w:name="_Toc72"/>
      <w:bookmarkEnd w:id="174"/>
      <w:r>
        <w:rPr/>
        <w:t>45</w:t>
      </w:r>
      <w:r>
        <w:rPr>
          <w:rtl w:val="true"/>
        </w:rPr>
        <w:t xml:space="preserve"> - </w:t>
      </w:r>
      <w:r>
        <w:rPr>
          <w:rtl w:val="true"/>
        </w:rPr>
        <w:t>رسالة في صلاة الليل</w:t>
      </w:r>
      <w:bookmarkEnd w:id="1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كذلك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اصفهان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76" w:name="pg7453_121721"/>
    </w:p>
    <w:p>
      <w:pPr>
        <w:pStyle w:val="Heading4"/>
        <w:numPr>
          <w:ilvl w:val="3"/>
          <w:numId w:val="1"/>
        </w:numPr>
        <w:rPr/>
      </w:pPr>
      <w:bookmarkStart w:id="177" w:name="__RefHeading___Toc1981990_1051229030"/>
      <w:bookmarkStart w:id="178" w:name="_Toc73"/>
      <w:bookmarkEnd w:id="176"/>
      <w:bookmarkEnd w:id="177"/>
      <w:r>
        <w:rPr>
          <w:rtl w:val="true"/>
        </w:rPr>
        <w:t>وفاته</w:t>
      </w:r>
      <w:bookmarkEnd w:id="178"/>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زيارة العتبات المقدّسة بالعراق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فلمّا وصل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كرمانشاه، أدركه الأجل بها في سلخ شهر جمادي الآخرة من تلك السنة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التكملة في ترجمته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تسعين بعد المائتين و 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زمت ركائبه من أصفهان إلى نحو العتبات العالية في العراق، مع بعض خاصّته، فلمّا وصل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كرمانشاه، جاءه داعي ربّه فلبّاه، فجيء بنعشه إلى بلد الكاظمين عليهماالسلام، فعُطّلت الأسواق و خرج الناس إلى استقبال النعش و تشييعه، و كان يومًا مشهودًا، ثمّ حُمل في يوم ثامن عشر من صفر من تلك السنة المذكورة متوجّهين به إلى النجف، فلمّا وردوا كربلاء عُطّلت له الأسواق، و فُعل كما فُعل في الكاظميّة وهكذا عند ورودهم إلى النجف الأشرف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981992_1051229030"/>
      <w:bookmarkStart w:id="180" w:name="_Toc74"/>
      <w:bookmarkEnd w:id="179"/>
      <w:r>
        <w:rPr>
          <w:rtl w:val="true"/>
        </w:rPr>
        <w:t>مدفنه</w:t>
      </w:r>
      <w:bookmarkEnd w:id="1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 جثمانه الشريف خلف شبّاك الحجرة الأولى الواقعة على يمين الداخل </w:t>
      </w:r>
      <w:bookmarkStart w:id="181" w:name="pg7453_121723"/>
    </w:p>
    <w:p>
      <w:pPr>
        <w:pStyle w:val="BookText"/>
        <w:rPr/>
      </w:pPr>
      <w:bookmarkEnd w:id="181"/>
      <w:r>
        <w:rPr>
          <w:rFonts w:ascii="Amiri" w:hAnsi="Amiri" w:eastAsia="Amiri" w:cs="Amiri"/>
          <w:color w:val="111111"/>
          <w:sz w:val="28"/>
          <w:sz w:val="28"/>
          <w:szCs w:val="28"/>
          <w:rtl w:val="true"/>
          <w:lang w:bidi="ar-SA"/>
        </w:rPr>
        <w:t xml:space="preserve">إلى الصحن الشريف العلويّ من باب القبلة، مقابل مرقد شيخ الطائفة المرتضى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مقامهما و حشرهما مع سادات الأوائل والأواخر </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981994_1051229030"/>
      <w:bookmarkStart w:id="183" w:name="_Toc75"/>
      <w:bookmarkEnd w:id="182"/>
      <w:r>
        <w:rPr>
          <w:rtl w:val="true"/>
        </w:rPr>
        <w:t>مراثيه</w:t>
      </w:r>
      <w:bookmarkEnd w:id="183"/>
    </w:p>
    <w:p>
      <w:pPr>
        <w:pStyle w:val="BookText"/>
        <w:rPr/>
      </w:pPr>
      <w:r>
        <w:rPr>
          <w:rFonts w:ascii="Amiri" w:hAnsi="Amiri" w:eastAsia="Amiri" w:cs="Amiri"/>
          <w:color w:val="111111"/>
          <w:sz w:val="28"/>
          <w:sz w:val="28"/>
          <w:szCs w:val="28"/>
          <w:rtl w:val="true"/>
          <w:lang w:bidi="ar-SA"/>
        </w:rPr>
        <w:t xml:space="preserve">رثاه عدّة من العلماء والشعراء، فمن مرثية الشيخ مهدي بن الشيخ صالح حجي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خطب المّ بركن الدين فانهدما</w:t>
      </w:r>
    </w:p>
    <w:p>
      <w:pPr>
        <w:pStyle w:val="BookText"/>
        <w:rPr/>
      </w:pPr>
      <w:r>
        <w:rPr>
          <w:rFonts w:ascii="Amiri" w:hAnsi="Amiri" w:eastAsia="Amiri" w:cs="Amiri"/>
          <w:color w:val="111111"/>
          <w:sz w:val="28"/>
          <w:sz w:val="28"/>
          <w:szCs w:val="28"/>
          <w:rtl w:val="true"/>
          <w:lang w:bidi="ar-SA"/>
        </w:rPr>
        <w:t>لوقعه بكت السبع الشداد دما</w:t>
      </w:r>
    </w:p>
    <w:p>
      <w:pPr>
        <w:pStyle w:val="BookText"/>
        <w:rPr/>
      </w:pPr>
      <w:r>
        <w:rPr>
          <w:rFonts w:ascii="Amiri" w:hAnsi="Amiri" w:eastAsia="Amiri" w:cs="Amiri"/>
          <w:color w:val="111111"/>
          <w:sz w:val="28"/>
          <w:sz w:val="28"/>
          <w:szCs w:val="28"/>
          <w:rtl w:val="true"/>
          <w:lang w:bidi="ar-SA"/>
        </w:rPr>
        <w:t>رمى الرشاد بعين الرشد فادحه</w:t>
      </w:r>
    </w:p>
    <w:p>
      <w:pPr>
        <w:pStyle w:val="BookText"/>
        <w:rPr/>
      </w:pPr>
      <w:r>
        <w:rPr>
          <w:rFonts w:ascii="Amiri" w:hAnsi="Amiri" w:eastAsia="Amiri" w:cs="Amiri"/>
          <w:color w:val="111111"/>
          <w:sz w:val="28"/>
          <w:sz w:val="28"/>
          <w:szCs w:val="28"/>
          <w:rtl w:val="true"/>
          <w:lang w:bidi="ar-SA"/>
        </w:rPr>
        <w:t>فاستشعرت عنده عين الرشاد عمى</w:t>
      </w:r>
    </w:p>
    <w:p>
      <w:pPr>
        <w:pStyle w:val="BookText"/>
        <w:rPr/>
      </w:pPr>
      <w:r>
        <w:rPr>
          <w:rFonts w:ascii="Amiri" w:hAnsi="Amiri" w:eastAsia="Amiri" w:cs="Amiri"/>
          <w:color w:val="111111"/>
          <w:sz w:val="28"/>
          <w:sz w:val="28"/>
          <w:szCs w:val="28"/>
          <w:rtl w:val="true"/>
          <w:lang w:bidi="ar-SA"/>
        </w:rPr>
        <w:t>رمى يمين قريش الفضل حلقتها</w:t>
      </w:r>
    </w:p>
    <w:p>
      <w:pPr>
        <w:pStyle w:val="BookText"/>
        <w:rPr/>
      </w:pPr>
      <w:r>
        <w:rPr>
          <w:rFonts w:ascii="Amiri" w:hAnsi="Amiri" w:eastAsia="Amiri" w:cs="Amiri"/>
          <w:color w:val="111111"/>
          <w:sz w:val="28"/>
          <w:sz w:val="28"/>
          <w:szCs w:val="28"/>
          <w:rtl w:val="true"/>
          <w:lang w:bidi="ar-SA"/>
        </w:rPr>
        <w:t>من كان بينهم دون الورى قسما</w:t>
      </w:r>
    </w:p>
    <w:p>
      <w:pPr>
        <w:pStyle w:val="BookText"/>
        <w:rPr/>
      </w:pPr>
      <w:r>
        <w:rPr>
          <w:rFonts w:ascii="Amiri" w:hAnsi="Amiri" w:eastAsia="Amiri" w:cs="Amiri"/>
          <w:color w:val="111111"/>
          <w:sz w:val="28"/>
          <w:sz w:val="28"/>
          <w:szCs w:val="28"/>
          <w:rtl w:val="true"/>
          <w:lang w:bidi="ar-SA"/>
        </w:rPr>
        <w:t>رمى اليمين فيا شلت أنامله</w:t>
      </w:r>
    </w:p>
    <w:p>
      <w:pPr>
        <w:pStyle w:val="BookText"/>
        <w:rPr/>
      </w:pPr>
      <w:r>
        <w:rPr>
          <w:rFonts w:ascii="Amiri" w:hAnsi="Amiri" w:eastAsia="Amiri" w:cs="Amiri"/>
          <w:color w:val="111111"/>
          <w:sz w:val="28"/>
          <w:sz w:val="28"/>
          <w:szCs w:val="28"/>
          <w:rtl w:val="true"/>
          <w:lang w:bidi="ar-SA"/>
        </w:rPr>
        <w:t xml:space="preserve">في الدهر شل يمين الدين حين رمى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إلى آخر القصيدة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أرّخ عام وفاته السيّد جعفر الحلّي قدس‌سره بقوله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أسد اللّه بمثوى أسد اللّه توسد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قال في تاريخ وفاته العالم الخبير الميرزا محمّد الهمداني من جملة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جاؤا بنعشه أمم</w:t>
      </w:r>
    </w:p>
    <w:p>
      <w:pPr>
        <w:pStyle w:val="BookText"/>
        <w:rPr/>
      </w:pPr>
      <w:r>
        <w:rPr>
          <w:rFonts w:ascii="Amiri" w:hAnsi="Amiri" w:eastAsia="Amiri" w:cs="Amiri"/>
          <w:color w:val="111111"/>
          <w:sz w:val="28"/>
          <w:sz w:val="28"/>
          <w:szCs w:val="28"/>
          <w:rtl w:val="true"/>
          <w:lang w:bidi="ar-SA"/>
        </w:rPr>
        <w:t xml:space="preserve">ضجت فاضحى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صرخت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موسوعة الإمام شرف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اصفهان و 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دانشوارن اصفهان، للسيّد محمّد علي مباركه‌اى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و مشاهير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ترجمة أبيه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علماى معاصرين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المآثر والآثار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ماضي النجف و حاضرها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الشرق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قاجار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نبذة الغريّ في أحوال الحسن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184" w:name="pg7453_121731"/>
    </w:p>
    <w:p>
      <w:pPr>
        <w:pStyle w:val="Heading3"/>
        <w:numPr>
          <w:ilvl w:val="2"/>
          <w:numId w:val="1"/>
        </w:numPr>
        <w:rPr/>
      </w:pPr>
      <w:bookmarkStart w:id="185" w:name="__RefHeading___Toc1981996_1051229030"/>
      <w:bookmarkStart w:id="186" w:name="_Toc76"/>
      <w:bookmarkEnd w:id="184"/>
      <w:bookmarkEnd w:id="185"/>
      <w:r>
        <w:rPr>
          <w:rtl w:val="true"/>
        </w:rPr>
        <w:t>الفصل الثاني</w:t>
      </w:r>
      <w:r>
        <w:rPr>
          <w:rtl w:val="true"/>
        </w:rPr>
        <w:t>:</w:t>
      </w:r>
      <w:r>
        <w:rPr>
          <w:rtl w:val="true"/>
        </w:rPr>
        <w:t>ما يتعلّق بالرسالة</w:t>
      </w:r>
      <w:bookmarkEnd w:id="186"/>
    </w:p>
    <w:p>
      <w:pPr>
        <w:pStyle w:val="BookText"/>
        <w:rPr/>
      </w:pPr>
      <w:r>
        <w:rPr>
          <w:rFonts w:ascii="Amiri" w:hAnsi="Amiri" w:eastAsia="Amiri" w:cs="Amiri"/>
          <w:color w:val="111111"/>
          <w:sz w:val="28"/>
          <w:sz w:val="28"/>
          <w:szCs w:val="28"/>
          <w:rtl w:val="true"/>
          <w:lang w:bidi="ar-SA"/>
        </w:rPr>
        <w:t xml:space="preserve">هذه رسالة شريفة مشتملة على فوائد لطيفة و فرائد جليلة، تشهد بتبحّر مصنّفها العلاّمة الحاجّ السيّد أسد اللّه قدس‌سره، و سعة نظره و دقّة فكره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ألّفها أوّلاً على العجلة في تحقيق الحال في أمر الحبوة، ثمّ بعد أن عزم على إدراجها في شرحه الكبير على شرائع الإسلام، نسخها و بدّل ذلك بتنقيح بعض المسائل المهمّة أزيد ممّا حرّره في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كتاب الفرائض من شرحه على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عبارة المحقّق الحلّي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يحبى الولد الأكبر من تركة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كتبنا قبل ذلك رسالة في الحبوة، أحببنا إدراجها في شرح العبارة والاقتصار عليها، و هي هذه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والصلاة على محمّد وآله الطاهرين و لا حول و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كلمات رسمتها على العجلة في تحقيق الحال في أمر الحبوة ؛ إلى </w:t>
      </w:r>
    </w:p>
    <w:p>
      <w:pPr>
        <w:pStyle w:val="BookText"/>
        <w:rPr/>
      </w:pPr>
      <w:r>
        <w:rPr>
          <w:rFonts w:ascii="Amiri" w:hAnsi="Amiri" w:eastAsia="Amiri" w:cs="Amiri"/>
          <w:color w:val="111111"/>
          <w:sz w:val="28"/>
          <w:sz w:val="28"/>
          <w:szCs w:val="28"/>
          <w:rtl w:val="true"/>
          <w:lang w:bidi="ar-SA"/>
        </w:rPr>
        <w:t xml:space="preserve">آخر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أن عزمنا على إدراجها في هذا الشرح نسخناه و بدّلنا ذلك بتنقيح بعض المسائل المهمّة أزيد ممّا حرّرناه في الرسالة، نذكرها في طيّ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رتّب الرسالة على أربع مقامات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الحبوة المذكورة هل تعطي الولد الذكر مجّانًا بلا احتساب عليه بقيمته، أو يحتسب عليه من إرثه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تخصيص الولد الأكبر بالأشياء المعروفة هل هو واجب أو مستحبّ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المحبوبة ما هو ؟</w:t>
      </w:r>
      <w:bookmarkStart w:id="187" w:name="pg7453_121735"/>
    </w:p>
    <w:p>
      <w:pPr>
        <w:pStyle w:val="Heading3"/>
        <w:numPr>
          <w:ilvl w:val="2"/>
          <w:numId w:val="1"/>
        </w:numPr>
        <w:rPr/>
      </w:pPr>
      <w:bookmarkStart w:id="188" w:name="__RefHeading___Toc1981998_1051229030"/>
      <w:bookmarkStart w:id="189" w:name="_Toc77"/>
      <w:bookmarkEnd w:id="187"/>
      <w:bookmarkEnd w:id="188"/>
      <w:r>
        <w:rPr>
          <w:rtl w:val="true"/>
        </w:rPr>
        <w:t xml:space="preserve">الفصل الثالث </w:t>
      </w:r>
      <w:r>
        <w:rPr>
          <w:rtl w:val="true"/>
        </w:rPr>
        <w:t>:</w:t>
      </w:r>
      <w:r>
        <w:rPr>
          <w:rtl w:val="true"/>
        </w:rPr>
        <w:t>منهج التحقيق</w:t>
      </w:r>
      <w:bookmarkEnd w:id="189"/>
    </w:p>
    <w:p>
      <w:pPr>
        <w:pStyle w:val="BookText"/>
        <w:rPr/>
      </w:pPr>
      <w:r>
        <w:rPr>
          <w:rFonts w:ascii="Amiri" w:hAnsi="Amiri" w:eastAsia="Amiri" w:cs="Amiri"/>
          <w:color w:val="111111"/>
          <w:sz w:val="28"/>
          <w:sz w:val="28"/>
          <w:szCs w:val="28"/>
          <w:rtl w:val="true"/>
          <w:lang w:bidi="ar-SA"/>
        </w:rPr>
        <w:t xml:space="preserve">اعتمدنا في التحقيق على نسخة فريدة، و هي نسخة مكتبة آية اللّه الكلبايكاني قدس‌سره برقم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كاتبها فيما يظهر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بن محمّد حسن الخوانساري ؛ تقع هذه النسخة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كلّ ورقة تحتوي على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آخر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 صلّى اللّه على خير خلقه محمّد و آله الطيّبين الطاهرين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و قد قوبل و صحّح هذا الكتاب المستطاب في شرح شرائع الإسلام في مسألة الميراث مع نسخة الأصل من خطّ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و 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انّي بذلت جهدي و طاقتي فيه، و يكون هذا كالأصل في الصحّة، و إن رأى فيه سهوًا أو غلطًا سعى في تصحيحه، فإنّ الإنسان محلّ السهو والنسيان، وإن أحسنتم أحسنتم لأنفسكم وإن أسأتم فلها، و فوق كلّ ذي علم عليم، </w:t>
      </w:r>
    </w:p>
    <w:p>
      <w:pPr>
        <w:pStyle w:val="BookText"/>
        <w:rPr/>
      </w:pPr>
      <w:r>
        <w:rPr>
          <w:rFonts w:ascii="Amiri" w:hAnsi="Amiri" w:eastAsia="Amiri" w:cs="Amiri"/>
          <w:color w:val="111111"/>
          <w:sz w:val="28"/>
          <w:sz w:val="28"/>
          <w:szCs w:val="28"/>
          <w:rtl w:val="true"/>
          <w:lang w:bidi="ar-SA"/>
        </w:rPr>
        <w:t xml:space="preserve">و نحن عبدان الأحقران الأذلان الأفقران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الأثيم سيّد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والأفقر الجاني علي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الأصفهاني 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منهج التحقيق وفق المراحل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 النصّ و تقويمه و ترقيمه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الآيات القرآنيّة والأحاديث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الأقوال و كلمات الفقهاء الّتي نقلها المؤلّف من مصادرها الّتي ذكرها إن وجدت، و إلاّ فمن مصادر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النصّ إلى فقرات و مقاطع مع إضافة بعض العناوين المناسبة بين معقوفين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حصر الكلمات الّتي يقتضي السياق إضافتها بين معقوفين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ولم نشر إلى ذلك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الختام نرى من الواجب علينا أن نتقدّم بخالص شكرنا إلى كلّ من ساهم بمساعدتنا في تحقيق و إخراج هذا السفر القيّم، و شاركنا في إنجاز هذا المشروع، فجزاهم اللّه عن الإسلام و أهله أفضل الجزاء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يوفّقنا لإحياء سائر آثار المؤلّف رحمه‌الله وآثار والده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علوّ درجته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لجزيل خدماتهما المباركة في إحياء الشريعة الغرّاء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 كلّ ذلك منّا خالصًا لوجهه الكريم، و موجبًا لثوابه الجسيم، إنّه هو الجواد الكريم، و أن ينفعنا به يوم حشرنا، إنّه سميع مجيب، وآخر دعوانا أن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Amiri" w:hAnsi="Amiri" w:eastAsia="Amiri" w:cs="Amiri"/>
          <w:color w:val="111111"/>
          <w:sz w:val="28"/>
          <w:sz w:val="28"/>
          <w:szCs w:val="28"/>
          <w:rtl w:val="true"/>
          <w:lang w:bidi="ar-SA"/>
        </w:rPr>
        <w:t>السيّد محمّد الرضا الشفتيّ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7453_121743"/>
      <w:bookmarkStart w:id="191" w:name="pg7453_121743"/>
      <w:bookmarkEnd w:id="191"/>
    </w:p>
    <w:p>
      <w:pPr>
        <w:pStyle w:val="Heading2"/>
        <w:numPr>
          <w:ilvl w:val="1"/>
          <w:numId w:val="1"/>
        </w:numPr>
        <w:rPr/>
      </w:pPr>
      <w:bookmarkStart w:id="192" w:name="pg7453_121743"/>
      <w:bookmarkStart w:id="193" w:name="__RefHeading___Toc1982000_1051229030"/>
      <w:bookmarkStart w:id="194" w:name="_Toc78"/>
      <w:bookmarkEnd w:id="192"/>
      <w:bookmarkEnd w:id="193"/>
      <w:r>
        <w:rPr>
          <w:rtl w:val="true"/>
        </w:rPr>
        <w:t>رسالة شريفة في الحَبوَة</w:t>
      </w:r>
      <w:bookmarkEnd w:id="19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المحقّق</w:t>
      </w:r>
    </w:p>
    <w:p>
      <w:pPr>
        <w:pStyle w:val="BookText"/>
        <w:rPr/>
      </w:pPr>
      <w:r>
        <w:rPr>
          <w:rFonts w:ascii="Amiri" w:hAnsi="Amiri" w:eastAsia="Amiri" w:cs="Amiri"/>
          <w:color w:val="111111"/>
          <w:sz w:val="28"/>
          <w:sz w:val="28"/>
          <w:szCs w:val="28"/>
          <w:rtl w:val="true"/>
          <w:lang w:bidi="ar-SA"/>
        </w:rPr>
        <w:t>السيّد أسد اللّه بن محمّد باقر الشفتيّ الاصفهاني قدس‌سره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مسجد السيّد حجّة الإسلام رحمه‌الله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يحبى الولد الأكبر من تركة أبيه بثياب بدنه و خاتمه وسيفه ومصحفه، و عليه قضاء ما عليه من صلاة و صيام، و من شرط اختصاصه أن لا يكون سفيهًا ولا فاسد الرأي على قول مشهور، وأن يخلّف الميّت مالاً غير ذلك، ولو لم يخلّف سواه لم يخصّ منه بشيء، ولو كان الأكبر أنثى لم تحب وأعطي الأكبر من الذكور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كتبنا قبل ذلك رسالة في الحبوة أحببنا إدراجها في شرح العبارة والاقتصار عليها، و هي هذه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والصلاة على محمّد وآله الطاهرين، ولا حول ولا قوّة إلاّ باللّه العليّ العظيم ؛ و بعد فهذه كلمات رسمتها على العجلة في تحقيق الحال في أمر الحبوة ؛ إلى آخر الرسالة </w:t>
      </w:r>
      <w:r>
        <w:rPr>
          <w:rFonts w:eastAsia="Amiri" w:cs="Amiri" w:ascii="Amiri" w:hAnsi="Amiri"/>
          <w:color w:val="111111"/>
          <w:sz w:val="28"/>
          <w:szCs w:val="28"/>
          <w:rtl w:val="true"/>
          <w:lang w:bidi="ar-SA"/>
        </w:rPr>
        <w:t xml:space="preserve">. </w:t>
      </w:r>
      <w:bookmarkStart w:id="195" w:name="pg7453_121749"/>
    </w:p>
    <w:p>
      <w:pPr>
        <w:pStyle w:val="BookText"/>
        <w:rPr/>
      </w:pPr>
      <w:bookmarkEnd w:id="195"/>
      <w:r>
        <w:rPr>
          <w:rFonts w:ascii="Amiri" w:hAnsi="Amiri" w:eastAsia="Amiri" w:cs="Amiri"/>
          <w:color w:val="111111"/>
          <w:sz w:val="28"/>
          <w:sz w:val="28"/>
          <w:szCs w:val="28"/>
          <w:rtl w:val="true"/>
          <w:lang w:bidi="ar-SA"/>
        </w:rPr>
        <w:t xml:space="preserve">ثمّ بعد أن عزمنا على إدراجها في هذا الشرح نسخناه و بدّلنا ذلك بتنقيح بعض المسائل المهمّة أزيد ممّا حرّرناه في الرسالة، نذكرها في طيّ مقامات </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1982002_1051229030"/>
      <w:bookmarkStart w:id="197" w:name="_Toc79"/>
      <w:bookmarkEnd w:id="196"/>
      <w:r>
        <w:rPr>
          <w:rtl w:val="true"/>
        </w:rPr>
        <w:t>المقام الأوّل</w:t>
      </w:r>
      <w:r>
        <w:rPr>
          <w:rtl w:val="true"/>
        </w:rPr>
        <w:t>:</w:t>
      </w:r>
      <w:r>
        <w:rPr>
          <w:rtl w:val="true"/>
        </w:rPr>
        <w:t>في أصل الحكم</w:t>
      </w:r>
      <w:bookmarkEnd w:id="19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أجمع أصحابنا على أنّه يخصّ الولد الذكر، أو أكبر أولاد الذكور في تركة أبيه بثياب بدنه و خاتمه و سيفه و مصحفه ؛ و قد نقل الإجماع صريحًا فيه جماعة و ظاهرًا جماعة أخرى، فمن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في الانتصار، والشيخ في الخلاف، 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الانتصار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انفردت به الإماميّة أنّ الولد الذكر يفضل دون سائر الورثة بسيف أبيه و خاتمه و مصحفه ؛ و باقي الفقهاء يخالفون في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أجمعت الطائفة من التخصيص له بهذه الأشياء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يخصّ الابن الأكبر من التركة بثياب جلد الميّت و سيفه و مصحفه دون باقي الورثة ؛ و خالف جميع الفقهاء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 أخبارهم، انتهى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الغنية ما سيأتي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كتاب الإعلام للمفيد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اتّفقت الإماميّة على أنّ الولد الذكر الأكبر يفضل في الميراث على من هو دونه في السنّ من الذكور بسيف أبيه و خاتمه و مصحفه إن خلّف ذلك، أو شيئًا منه مع تركته ما سواه ؛ وإن لم يخلّف شيئًا من ذلك لم يفضل على باقي الذكور من الأولاد ؛ وأجمعت العامّة على خلاف ذلك و إنكاره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السرائر ما سيأتي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الثانين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كما سيأتي عبارته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كالصحيح المرويّ 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 الرجل فترك بنين، فللأكبر السيف والدرع والخاتم والمصحف، فإن حدث به </w:t>
      </w:r>
    </w:p>
    <w:p>
      <w:pPr>
        <w:pStyle w:val="BookText"/>
        <w:rPr/>
      </w:pPr>
      <w:r>
        <w:rPr>
          <w:rFonts w:ascii="Amiri" w:hAnsi="Amiri" w:eastAsia="Amiri" w:cs="Amiri"/>
          <w:color w:val="111111"/>
          <w:sz w:val="28"/>
          <w:sz w:val="28"/>
          <w:szCs w:val="28"/>
          <w:rtl w:val="true"/>
          <w:lang w:bidi="ar-SA"/>
        </w:rPr>
        <w:t xml:space="preserve">حدث فللأكبر منهم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المرويّ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أذينة، عن بعض أصحابه،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إذا ترك سيفًا و سلاحًا فهو لابنه، و إن كان له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فلأكبرهم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المرويّ في الكافي والتهذيب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عن ربعي بن عبداللّه،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فسيفه و خاتمه و مصحفه و كتبه و رحله و راحلته و كسوته لأكبر ولده، فإن كان الأكبر ابنة فللأكبر من الذكور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راحلته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المرويّ 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ربعي بن عبداللّه، عن أبي عبداللّه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فللأكبر من ولده سيفه ومصحفه و خاتمه و درعه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والموثّق المرويّ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 محمّد بن مسلم و بكير و فضيل بن يسار،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إذا ترك سيفًا أو سلاحًا فهو لابنه، وإن كانوا </w:t>
      </w:r>
    </w:p>
    <w:p>
      <w:pPr>
        <w:pStyle w:val="BookText"/>
        <w:rPr/>
      </w:pPr>
      <w:r>
        <w:rPr>
          <w:rFonts w:ascii="Amiri" w:hAnsi="Amiri" w:eastAsia="Amiri" w:cs="Amiri"/>
          <w:color w:val="111111"/>
          <w:sz w:val="28"/>
          <w:sz w:val="28"/>
          <w:szCs w:val="28"/>
          <w:rtl w:val="true"/>
          <w:lang w:bidi="ar-SA"/>
        </w:rPr>
        <w:t xml:space="preserve">اثنين فهو لأكبرهما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المرويّ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شعيب </w:t>
      </w:r>
      <w:r>
        <w:rPr>
          <w:rStyle w:val="FootnoteAnchor"/>
          <w:rtl w:val="true"/>
        </w:rPr>
        <w:footnoteReference w:id="75"/>
      </w:r>
      <w:r>
        <w:rPr>
          <w:rFonts w:ascii="Amiri" w:hAnsi="Amiri" w:eastAsia="Amiri" w:cs="Amiri"/>
          <w:color w:val="111111"/>
          <w:sz w:val="28"/>
          <w:sz w:val="28"/>
          <w:szCs w:val="28"/>
          <w:rtl w:val="true"/>
          <w:lang w:bidi="ar-SA"/>
        </w:rPr>
        <w:t>بن يعقوب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الرجل يموت ما له من متاع بيته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إذا مات فإنّ لابنه السيف والرحل والثياب ثياب جلده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المرويّ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إذا مات فإنّ لابنه الأكبر السيف والرحل و ثياب جلده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إنسان له حقّ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ذاك أصلحك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الجدار كان لهما كنز تحته لا يعلمان به، أما انّه لم يكن بذهب و لا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أحقّ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 كذلك نقول نحن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والموثّق المرويّ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أسباط، عن أبي الحسن الرضا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سمعناه و ذكر كنز اليتيمين،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لوحًا من ذهب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w:t>
      </w:r>
    </w:p>
    <w:p>
      <w:pPr>
        <w:pStyle w:val="BookText"/>
        <w:rPr/>
      </w:pPr>
      <w:r>
        <w:rPr>
          <w:rFonts w:ascii="Amiri" w:hAnsi="Amiri" w:eastAsia="Amiri" w:cs="Amiri"/>
          <w:color w:val="111111"/>
          <w:sz w:val="28"/>
          <w:sz w:val="28"/>
          <w:szCs w:val="28"/>
          <w:rtl w:val="true"/>
          <w:lang w:bidi="ar-SA"/>
        </w:rPr>
        <w:t xml:space="preserve">الرّحيم، لا إله إلاّ اللّه، محمّد رسول اللّه، عجبت لمن أيقن بالموت كيف يفرح، و عجبت لمن أيقن بالقدر كيف يحزن، و عجبت لمن رأى الدنيا و تقلّبها بأهلها كيف يركن إليها، و ينبغي لمن عقل عن اللّه أن لا يستبطئ اللّه في رزقه و لا يتّهمه في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حسين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صار إلى أكبرهما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الأستاد في الجواهر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يموت ما له من متاع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والسلاح والرحل و ثياب جلده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ظاهر، لأنّ الظاهر انّ المراد منه المتاع الّذي لا تشاركه الزوجة فيه، و على كلّ حال فلا دلالة له على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من صاحب الوسائل أنّه سيذكر هذا الخبر بعينه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اختلاف الزوجين في متاع البيت </w:t>
      </w:r>
      <w:r>
        <w:rPr>
          <w:rStyle w:val="FootnoteAnchor"/>
          <w:rtl w:val="true"/>
        </w:rPr>
        <w:footnoteReference w:id="83"/>
      </w:r>
      <w:r>
        <w:rPr>
          <w:rFonts w:ascii="Amiri" w:hAnsi="Amiri" w:eastAsia="Amiri" w:cs="Amiri"/>
          <w:color w:val="111111"/>
          <w:sz w:val="28"/>
          <w:sz w:val="28"/>
          <w:szCs w:val="28"/>
          <w:rtl w:val="true"/>
          <w:lang w:bidi="ar-SA"/>
        </w:rPr>
        <w:t>، فكيف ذكره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إيراد جملة من عبارات الأصحاب لتبيين جملة من الفروع المتعلّقة بالباب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المقنعة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ترك الإنسان ابنين أحدهما أكبر من صاحبه، أو أولادًا ذكورًا </w:t>
      </w:r>
    </w:p>
    <w:p>
      <w:pPr>
        <w:pStyle w:val="BookText"/>
        <w:rPr/>
      </w:pPr>
      <w:r>
        <w:rPr>
          <w:rFonts w:ascii="Amiri" w:hAnsi="Amiri" w:eastAsia="Amiri" w:cs="Amiri"/>
          <w:color w:val="111111"/>
          <w:sz w:val="28"/>
          <w:sz w:val="28"/>
          <w:szCs w:val="28"/>
          <w:rtl w:val="true"/>
          <w:lang w:bidi="ar-SA"/>
        </w:rPr>
        <w:t xml:space="preserve">فيهم واحد هو أكبرهم سنًّا، حبي الأكبر من تركته بثياب بدنه، و بخاتمه الّذي كان يلبسه، و بسيفه و مصحفه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الأكبر أن يقضي عن والده ما فاته من صيام و صلاة دون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الذكر فاسد العقل أو سفيهًا فلا يجب بشيء من ذلك ؛ فإن لم يخلّف الميّت من ثياب بدنه إلاّ ما كان عليه ميراثًا بين أهله ولم يحب بها الأكبر من ولده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الانتصار ما سيأتي 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النهاية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خلّف الميّت ولدين ذكرين أحدهما أكبر من الآخر، أعطي الأكبر منهما ثياب بدنه و خاتمه الّذي كان يلبسه و سيفه و مصحفه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الأكبر أن يقضي عنه ما فاته من صيام أو صلاة دون أخيه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كانوا جماعة، أعطي الأكبر منهم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الأولاد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أنثى لم تعط شيئًا، و أعطي الأكبر من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سواء في السنّ لم يخصّ واحد منهم بشيء من جملة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 الأكبر سفيهًا أو فاسد الرأي لم يخصّ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التركة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يخلّف الميّت غير ما ذكرناه من ثياب جلده و سيفه و خاتمه كان من </w:t>
      </w:r>
      <w:r>
        <w:rPr>
          <w:rStyle w:val="FootnoteAnchor"/>
          <w:rtl w:val="true"/>
        </w:rPr>
        <w:footnoteReference w:id="88"/>
      </w:r>
      <w:r>
        <w:rPr>
          <w:rFonts w:ascii="Amiri" w:hAnsi="Amiri" w:eastAsia="Amiri" w:cs="Amiri"/>
          <w:color w:val="111111"/>
          <w:sz w:val="28"/>
          <w:sz w:val="28"/>
          <w:szCs w:val="28"/>
          <w:rtl w:val="true"/>
          <w:lang w:bidi="ar-SA"/>
        </w:rPr>
        <w:t xml:space="preserve">الورثة، ولم يخصّ واحد منهم بشيء على حال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المبسوط في آخر باب ميراث الحمل والأسير والمفقود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الابن الأكبر يخصّ بسيفه و مصحفه و خاتمه وثياب جلده، فإن كانوا جماعة في سنّ واحد اشتركوا فيه ؛ و إن كان لم يخلّف غير ذلك يسقط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 </w:t>
      </w:r>
      <w:r>
        <w:rPr>
          <w:rStyle w:val="FootnoteAnchor"/>
          <w:rtl w:val="true"/>
        </w:rPr>
        <w:footnoteReference w:id="90"/>
      </w:r>
      <w:r>
        <w:rPr>
          <w:rFonts w:ascii="Amiri" w:hAnsi="Amiri" w:eastAsia="Amiri" w:cs="Amiri"/>
          <w:color w:val="111111"/>
          <w:sz w:val="28"/>
          <w:sz w:val="28"/>
          <w:szCs w:val="28"/>
          <w:rtl w:val="true"/>
          <w:lang w:bidi="ar-SA"/>
        </w:rPr>
        <w:t xml:space="preserve">إنّ ذلك يقوّم عليهم دون أن يعطوا بلا تقويم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الصلاح في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السنّة أن يحبى الأكبر من ولد الموروث بسيفه و مصحفه و خاتمه و ثياب مصلاّه دون سائر الورثة، و يقسّم الباقي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الغنية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يخصّ الأكبر من الولد الذكور بسيف أبيه ومصحفه وخاتمه إذا كان هناك تركة سوى ذلك بدليل إجماع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 xml:space="preserve">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يحتسب بقيمة ذلك عليه من سهمه، ليجمع بين ظاهر القرآن و ما أجمعت عليه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قال فيما رواه أصحابنا من أنّ الزوجة لا ترث من الرباع والأرضين شيئًا، فحمله على أنّها لاترث من نفس ذلك، بل من قيمته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يأخذ الابن الكبير ثياب بدن الوالد و خاتمه الّذي يلبسه وسيفه ومصحفه بخمسة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العقل، و سداد الرأي، و فقد آخر في سنّه، و حصول تركة سوى ما ذكرناه، و قيامه بقضاء ما فاته من صلاة و صيام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الجامع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 الولد الذكر غير السفيه ولا الفاسد الرأي من التركة بخاتم والده و ثياب جلده و سيفه و مصحفه، و روي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و سلاحه و رحله و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اثنين فأكبرهما، فإن تساويا في السنّ اشتركا فيه، فإن كان الأكبر بنتًا فللأكبر من الذكور و لا تخصيص 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بعض أصحابنا تخصيصه به بقيمته، فإن لم يخلّف تركة سوى ذلك </w:t>
      </w:r>
    </w:p>
    <w:p>
      <w:pPr>
        <w:pStyle w:val="BookText"/>
        <w:rPr/>
      </w:pPr>
      <w:r>
        <w:rPr>
          <w:rFonts w:ascii="IRNazanin" w:hAnsi="IRNazanin" w:eastAsia="IRNazanin"/>
          <w:color w:val="111111"/>
          <w:sz w:val="28"/>
          <w:sz w:val="28"/>
          <w:szCs w:val="28"/>
          <w:rtl w:val="true"/>
          <w:lang w:bidi="fa-IR"/>
        </w:rPr>
        <w:t xml:space="preserve">فلا حباء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يخصّ ولد الأكبر من الذكور إذا لم يكن سفيهًا فاسد الرأي بسيف أبيه و مصحفه و خاتمه و ثياب جلده، إذا كان هناك تركة سوى ذلك، فإذا لم يخلّف الميّت غيره يسقط </w:t>
      </w:r>
      <w:r>
        <w:rPr>
          <w:rStyle w:val="FootnoteAnchor"/>
          <w:rtl w:val="true"/>
        </w:rPr>
        <w:footnoteReference w:id="96"/>
      </w:r>
      <w:r>
        <w:rPr>
          <w:rFonts w:ascii="Amiri" w:hAnsi="Amiri" w:eastAsia="Amiri" w:cs="Amiri"/>
          <w:color w:val="111111"/>
          <w:sz w:val="28"/>
          <w:sz w:val="28"/>
          <w:szCs w:val="28"/>
          <w:rtl w:val="true"/>
          <w:lang w:bidi="ar-SA"/>
        </w:rPr>
        <w:t xml:space="preserve">هذا الحكم و قسّم بين الجميع، فإن كان له جماعة من هذه الأجناس خصّ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يعتاد لبسه و يديمه دون ما سواه من غير احتساب به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أصحابنا إلى أنّه يحتسب عليه بقيمته من سهمه ليجمع بين ظواهر القرآن و ما أجمعت الطائفة عليه، و هو تخريج السيّد المرتضى ذكره في الانتصار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أصحابنا إلى أنّ ذلك مستحبّ تخصيصه به دون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مستحقًّا له على جهة الوجوب، و هو اختيار أبي الصلاح الحلبي في كتابه الكافي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من الأقوال هو الظاهر المجمع عليه عند أصحابنا، المعمول به، و فتاويهم في عصرنا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سنة ثمان و ثمانين و خمسمائة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بلا خلاف بينهم فيه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المتن ما تقدّم منه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يحبى الولد الأكبر بثياب بدن الميّت و خاتمه و سيفه و مصحفه إذا خلّف الميّت غير ذلك، ولو كان الأكبر بنتًا أخذه الأكبر من الذكور ويقضي عنه ما ترك من صيام و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w:t>
      </w:r>
      <w:r>
        <w:rPr>
          <w:rStyle w:val="FootnoteAnchor"/>
          <w:rtl w:val="true"/>
        </w:rPr>
        <w:footnoteReference w:id="101"/>
      </w:r>
      <w:r>
        <w:rPr>
          <w:rFonts w:ascii="Amiri" w:hAnsi="Amiri" w:eastAsia="Amiri" w:cs="Amiri"/>
          <w:color w:val="111111"/>
          <w:sz w:val="28"/>
          <w:sz w:val="28"/>
          <w:szCs w:val="28"/>
          <w:rtl w:val="true"/>
          <w:lang w:bidi="ar-SA"/>
        </w:rPr>
        <w:t xml:space="preserve">بعض الأصحاب أن لا يكون سفيهًا ولا فاسد الرأي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7453_121771"/>
      <w:bookmarkStart w:id="199" w:name="pg7453_121771"/>
      <w:bookmarkEnd w:id="199"/>
    </w:p>
    <w:p>
      <w:pPr>
        <w:pStyle w:val="Heading2"/>
        <w:numPr>
          <w:ilvl w:val="1"/>
          <w:numId w:val="1"/>
        </w:numPr>
        <w:rPr/>
      </w:pPr>
      <w:bookmarkStart w:id="200" w:name="pg7453_121771"/>
      <w:bookmarkStart w:id="201" w:name="__RefHeading___Toc1982004_1051229030"/>
      <w:bookmarkStart w:id="202" w:name="_Toc80"/>
      <w:bookmarkEnd w:id="200"/>
      <w:bookmarkEnd w:id="201"/>
      <w:r>
        <w:rPr>
          <w:rtl w:val="true"/>
        </w:rPr>
        <w:t>المقام الثاني في أنّ الحبوة المذكورة هل تعطى الولد الذكر مجّانًا أو يحتسب عليه من إرثه ؟</w:t>
      </w:r>
      <w:bookmarkEnd w:id="202"/>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الحبوة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تعطي الولد الذكر مجّانًا بلا احتساب عليه بقيمته، أو يحتسب عليه من إرثه ؟</w:t>
      </w:r>
    </w:p>
    <w:p>
      <w:pPr>
        <w:pStyle w:val="BookText"/>
        <w:rPr/>
      </w:pP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يحتسب عليه، بل تدفع إليه مجّانًا ؛ و هو المشهور بين الأصحاب، بل قد ادّعى عليه في السرائر الإجماع، حيث قال في عبارته السابقة مشيرًا إلى القول بعدم الاحتساب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من الأقوال هو الظاهر المجمع عليه عند أصحابنا، المعمول به، و فتاويهم في عصرنا هذا عليه بلا خلاف بينهم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تحتسب عليه ؛ و هو مذهب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في الانتصار،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انفردت الإماميّة به أنّ الولد الذكر الأكبر يفضل دون سائر الورثة بسيف أبيه وخاتمه ومصحفه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باقي الفقهاء يخالف </w:t>
      </w:r>
      <w:r>
        <w:rPr>
          <w:rStyle w:val="FootnoteAnchor"/>
          <w:rtl w:val="true"/>
        </w:rPr>
        <w:footnoteReference w:id="105"/>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يقوى في نفسي أنّ التفضيل للأكبر من الذكور بما ذكرنا </w:t>
      </w:r>
      <w:r>
        <w:rPr>
          <w:rStyle w:val="FootnoteAnchor"/>
          <w:rtl w:val="true"/>
        </w:rPr>
        <w:footnoteReference w:id="106"/>
      </w:r>
      <w:r>
        <w:rPr>
          <w:rFonts w:ascii="Amiri" w:hAnsi="Amiri" w:eastAsia="Amiri" w:cs="Amiri"/>
          <w:color w:val="111111"/>
          <w:sz w:val="28"/>
          <w:sz w:val="28"/>
          <w:szCs w:val="28"/>
          <w:rtl w:val="true"/>
          <w:lang w:bidi="ar-SA"/>
        </w:rPr>
        <w:t xml:space="preserve">إنّما هو بأن يخصّ بتسليمه إليه و تحصيله في يديه </w:t>
      </w:r>
      <w:r>
        <w:rPr>
          <w:rStyle w:val="FootnoteAnchor"/>
          <w:rtl w:val="true"/>
        </w:rPr>
        <w:footnoteReference w:id="107"/>
      </w:r>
      <w:r>
        <w:rPr>
          <w:rFonts w:ascii="Amiri" w:hAnsi="Amiri" w:eastAsia="Amiri" w:cs="Amiri"/>
          <w:color w:val="111111"/>
          <w:sz w:val="28"/>
          <w:sz w:val="28"/>
          <w:szCs w:val="28"/>
          <w:rtl w:val="true"/>
          <w:lang w:bidi="ar-SA"/>
        </w:rPr>
        <w:t xml:space="preserve">دون باقي الورثة وإن احتسب بقيمته عليه ؛ و هذا على كلّ حال انفراد من الفقهاء، لأنّهم لا يوجبون ذلك و لا يستحبّونه وإن كانت القيمة محسوبة عليه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قوينا ما بيّناه وإن لم يصرّح به أصحابنا،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 هذا الظاهر يقتضي مشاركة الأنثى للذّكر في جميع ما يخلّفه الميّت من سيف و مصحف و غيرهما ؛ 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آيات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ميراث الأبوين والزوجين يقتضي أنّ لهم السهام المذكورة من جميع تركة </w:t>
      </w:r>
    </w:p>
    <w:p>
      <w:pPr>
        <w:pStyle w:val="BookText"/>
        <w:rPr/>
      </w:pPr>
      <w:r>
        <w:rPr>
          <w:rFonts w:ascii="Amiri" w:hAnsi="Amiri" w:eastAsia="Amiri" w:cs="Amiri"/>
          <w:color w:val="111111"/>
          <w:sz w:val="28"/>
          <w:sz w:val="28"/>
          <w:szCs w:val="28"/>
          <w:rtl w:val="true"/>
          <w:lang w:bidi="ar-SA"/>
        </w:rPr>
        <w:t xml:space="preserve">الميّت، فإذا خصّصنا الذكر الأكبر بشيء من ذلك من غير احتساب بقيمته عليه، تركنا هذه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أصحابنا لم يجمعوا على أنّ الذكر الأكبر يفضل بهذه الأشياء من غير احتساب بالقيمة، و إنّما عولوا على أخبار رووها تتضمّن تخصيص الأكبر بما ذكرناه من غير تصريح باحتساب عليه أو بقيمته ؛ وإذا خصّصناه بذلك اتّباعًا لهذه الأخبار واحتسبنا بالقيمة عليه، فقد سلمت ظواهر الكتاب مع العمل بما أجمعت عليه الطائفة من التخصيص له بهذه الأشياء، فذلك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تخصيصه بذلك مع الاحتساب بقيمته عليه أنّه القائم مقام أبيه والسادّ مسدّه، فهو أحقّ بهذه الأمور من النسوان والأصاغر للمرتبة والجاه، انتهى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حكى هذا القول في المختلف والمسالك و غيرهما </w:t>
      </w:r>
      <w:r>
        <w:rPr>
          <w:rStyle w:val="FootnoteAnchor"/>
          <w:rtl w:val="true"/>
        </w:rPr>
        <w:footnoteReference w:id="111"/>
      </w:r>
      <w:r>
        <w:rPr>
          <w:rFonts w:ascii="Amiri" w:hAnsi="Amiri" w:eastAsia="Amiri" w:cs="Amiri"/>
          <w:color w:val="111111"/>
          <w:sz w:val="28"/>
          <w:sz w:val="28"/>
          <w:szCs w:val="28"/>
          <w:rtl w:val="true"/>
          <w:lang w:bidi="ar-SA"/>
        </w:rPr>
        <w:t xml:space="preserve">عن ابن الجنيد ؛ والعلاّمة في المختلف نفى عنه البأس، ثمّ قال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الروايات المتضمّنة لتخصيصه بسلاحه و رحله و راحلته، ولو لا الاحتساب بالقيمة لزم الإجحاف على الورثة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مال إليه الشهيد الثاني في الرسالة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إليه الفاضل في كشف اللثام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ما في الانتصار من الاحتساب عليه بالقيمة من الإرث، لعموم أدلّته من غير معارض، فإنّ اختصاص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على ما في الأخبار والفتاوي لا ينافي الاحتساب، انتهى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جماعة كثيرة التوقّف في ذلك، كالشيخ في المبسوط، و شيخنا الشهيد في المسالك، وابن فهد في المهذّب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والمستند لهذا القول هو ما ذكره المحدث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الظواهر والأخبار الواردة في الباب ؛ و ما أشار إليه في المسالك من أنّه لو لا الاحتساب لزم الإجحاف بالورثة </w:t>
      </w:r>
      <w:r>
        <w:rPr>
          <w:rStyle w:val="FootnoteAnchor"/>
          <w:rtl w:val="true"/>
        </w:rPr>
        <w:footnoteReference w:id="117"/>
      </w:r>
      <w:r>
        <w:rPr>
          <w:rFonts w:ascii="Amiri" w:hAnsi="Amiri" w:eastAsia="Amiri" w:cs="Amiri"/>
          <w:color w:val="111111"/>
          <w:sz w:val="28"/>
          <w:sz w:val="28"/>
          <w:szCs w:val="28"/>
          <w:rtl w:val="true"/>
          <w:lang w:bidi="ar-SA"/>
        </w:rPr>
        <w:t xml:space="preserve">، مع اعتبار ما عدا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جماعة عن الوجه الأوّل بتخصيص الظواهر بما مرّ من الإجماع والأخبار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الجواب إنّما هو على تقدير تسليم دلالة الأخبار والإجماع على </w:t>
      </w:r>
    </w:p>
    <w:p>
      <w:pPr>
        <w:pStyle w:val="BookText"/>
        <w:rPr/>
      </w:pPr>
      <w:r>
        <w:rPr>
          <w:rFonts w:ascii="Amiri" w:hAnsi="Amiri" w:eastAsia="Amiri" w:cs="Amiri"/>
          <w:color w:val="111111"/>
          <w:sz w:val="28"/>
          <w:sz w:val="28"/>
          <w:szCs w:val="28"/>
          <w:rtl w:val="true"/>
          <w:lang w:bidi="ar-SA"/>
        </w:rPr>
        <w:t xml:space="preserve">أنّ دفع هذه الأجناس إلى الولد الأكبر مجّانًا ؛ و أمّا مع عدم تسليم ذلك فلا، فإنّ مراد السيّد رحمه‌الله منع دلالتهما على ذلك، بل غاية ما دلاّ عليه هو الاختصاص، وهو أعمّ من المجّانيّة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أصحابنا لم يجمعوا على أنّ الذكر الأكبر يفضل بهذه الأشياء من غير احتساب عليه </w:t>
      </w:r>
      <w:r>
        <w:rPr>
          <w:rStyle w:val="FootnoteAnchor"/>
          <w:rtl w:val="true"/>
        </w:rPr>
        <w:footnoteReference w:id="119"/>
      </w:r>
      <w:r>
        <w:rPr>
          <w:rFonts w:ascii="Amiri" w:hAnsi="Amiri" w:eastAsia="Amiri" w:cs="Amiri"/>
          <w:color w:val="111111"/>
          <w:sz w:val="28"/>
          <w:sz w:val="28"/>
          <w:szCs w:val="28"/>
          <w:rtl w:val="true"/>
          <w:lang w:bidi="ar-SA"/>
        </w:rPr>
        <w:t xml:space="preserve">بالقيمة، وإنّما عولوا على أخبار رووها تتضمّن تخصيص الأكبر بما ذكرناه من غير تصريح باحتساب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السيّد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الظواهر دلّت على أنّ التركة بين الورثة بالحصص مطلقًا ؛ و هذه الأخبار والاجماع المنطبق عليها لا دلالة فيها إلاّ على اختصاص الولد الأكبر بهذه الأعيان ؛ والعمل بظاهر الظواهر و ظاهر هذه الأدلّة يقتضي أن تكون هذه الأعيان بعينها للولد الأكبر بأن يفضل بها بعينها على سائر الورثة، وأمّا أنّها زائدة على سهمه أم لا، فلا دلالة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في باب الإرث موجود، فإنّ ما دلّ على أنّ الزوجة لا ترث من الأرض والعقار وإنّما ترث من عداها من الورثة، لا يقتضي رفع استحقاقها عنها بالمرّة، بل إنّما لا ترث من أعيانها وإنّما ترث من قيمتها ؛ وقد أشاره إلى ذلك ابن زهرة في الغنية في عبارته السابقة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في تسميتهم ذلك بالحبوة و أنّه يحبى الولد الأكبر </w:t>
      </w:r>
    </w:p>
    <w:p>
      <w:pPr>
        <w:pStyle w:val="BookText"/>
        <w:rPr/>
      </w:pPr>
      <w:r>
        <w:rPr>
          <w:rFonts w:ascii="Amiri" w:hAnsi="Amiri" w:eastAsia="Amiri" w:cs="Amiri"/>
          <w:color w:val="111111"/>
          <w:sz w:val="28"/>
          <w:sz w:val="28"/>
          <w:szCs w:val="28"/>
          <w:rtl w:val="true"/>
          <w:lang w:bidi="ar-SA"/>
        </w:rPr>
        <w:t xml:space="preserve">بها انّها لا تحتسب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الحبوة و ما يشتقّ منها ليست في الأخبار و لا في كلمات أكثر القدماء، وإنّما اشتهرت هذه اللفظة من زمان المصنّف </w:t>
      </w:r>
      <w:r>
        <w:rPr>
          <w:rStyle w:val="FootnoteAnchor"/>
          <w:rtl w:val="true"/>
        </w:rPr>
        <w:footnoteReference w:id="122"/>
      </w:r>
      <w:r>
        <w:rPr>
          <w:rFonts w:ascii="Amiri" w:hAnsi="Amiri" w:eastAsia="Amiri" w:cs="Amiri"/>
          <w:color w:val="111111"/>
          <w:sz w:val="28"/>
          <w:sz w:val="28"/>
          <w:szCs w:val="28"/>
          <w:rtl w:val="true"/>
          <w:lang w:bidi="ar-SA"/>
        </w:rPr>
        <w:t xml:space="preserve">و ما بعده ؛ انّ الحباء حاصلٌ على التقديرين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اللام الملكيّة، لا الاختصاص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تسليم ذلك بنفسه الملكيّة حاصلة على التقديرين كما لا يخفى، فلا وجه لما ذكره جماعة في الاستدلال في الأخبار على المجّانيّة دون الاحتساب بأنّ اللام ظاهرة في الملكيّة، بل لا وجه لجعل المجّانيّة في مقابلة الاحتساب، لأنّها مجّانية على كلّ حال، إذ لا يؤخذ منه عوض في ذلك إلاّ في وجه، و هو أنّ ذلك عوض ما يلزم عليه من قضاء الصوم والصلاة، و هو خارجٌ عن المقام، و سيأتي الكلام فيه، لأنّ ذلك على تقديره يمكن أن يكون عوضًا عن التفضيل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يؤيّد ما ذكرناه و قويناه أنّه لا ينبغي الريب على القول بالمجّانيّة كون ذلك إرثًا، فينبغي حينئذٍ أن يذكر ذلك في طيّ ذكر المواريث في الآيات والأخبار، خصوصًا الأخبار الواردة في المواريث ؛ و كذا في كتب الأصحاب، فإنّ الأصحاب لم يذكروا ذلك في طيّ تسهيم المواريث، و إنّما ذكروا ذلك بعنوان الحبوة والعطيّة ؛ و هذا يؤيّد الاحتساب، فتدبّر </w:t>
      </w:r>
      <w:r>
        <w:rPr>
          <w:rFonts w:eastAsia="Amiri" w:cs="Amiri" w:ascii="Amiri" w:hAnsi="Amiri"/>
          <w:color w:val="111111"/>
          <w:sz w:val="28"/>
          <w:szCs w:val="28"/>
          <w:rtl w:val="true"/>
          <w:lang w:bidi="ar-SA"/>
        </w:rPr>
        <w:t xml:space="preserve">. </w:t>
      </w:r>
      <w:bookmarkStart w:id="203" w:name="pg7453_121783"/>
    </w:p>
    <w:p>
      <w:pPr>
        <w:pStyle w:val="Heading2"/>
        <w:numPr>
          <w:ilvl w:val="1"/>
          <w:numId w:val="1"/>
        </w:numPr>
        <w:rPr/>
      </w:pPr>
      <w:bookmarkStart w:id="204" w:name="__RefHeading___Toc1982006_1051229030"/>
      <w:bookmarkStart w:id="205" w:name="_Toc81"/>
      <w:bookmarkEnd w:id="203"/>
      <w:bookmarkEnd w:id="204"/>
      <w:r>
        <w:rPr>
          <w:rtl w:val="true"/>
        </w:rPr>
        <w:t xml:space="preserve">المقام الثالث </w:t>
      </w:r>
      <w:r>
        <w:rPr>
          <w:rtl w:val="true"/>
        </w:rPr>
        <w:t xml:space="preserve">: </w:t>
      </w:r>
      <w:r>
        <w:rPr>
          <w:rtl w:val="true"/>
        </w:rPr>
        <w:t>في أنّ تخصيص الولد الأكبر الذكر بالأشياء المعروفة هل هو واجب، أو مستحبّ ؟</w:t>
      </w:r>
      <w:bookmarkEnd w:id="205"/>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تخصيص الولد الأكبر الذكر بالأشياء المعروفة هل هو واجب، أو مستحبّ ؟</w:t>
      </w:r>
    </w:p>
    <w:p>
      <w:p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هو المشهور، بل ظاهر معاقد جملة من الإجماعات الوجوب، كما تقدّمت من كتاب الإعلام والانتصار والخلاف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هو مذهب ابن زهرة في الغنية </w:t>
      </w:r>
      <w:r>
        <w:rPr>
          <w:rStyle w:val="FootnoteAnchor"/>
          <w:rtl w:val="true"/>
        </w:rPr>
        <w:footnoteReference w:id="123"/>
      </w:r>
      <w:r>
        <w:rPr>
          <w:rFonts w:ascii="Amiri" w:hAnsi="Amiri" w:eastAsia="Amiri" w:cs="Amiri"/>
          <w:color w:val="111111"/>
          <w:sz w:val="28"/>
          <w:sz w:val="28"/>
          <w:szCs w:val="28"/>
          <w:rtl w:val="true"/>
          <w:lang w:bidi="ar-SA"/>
        </w:rPr>
        <w:t xml:space="preserve">، و أبي الصلاح في الكافي </w:t>
      </w:r>
      <w:r>
        <w:rPr>
          <w:rStyle w:val="FootnoteAnchor"/>
          <w:rtl w:val="true"/>
        </w:rPr>
        <w:footnoteReference w:id="124"/>
      </w:r>
      <w:r>
        <w:rPr>
          <w:rFonts w:ascii="Amiri" w:hAnsi="Amiri" w:eastAsia="Amiri" w:cs="Amiri"/>
          <w:color w:val="111111"/>
          <w:sz w:val="28"/>
          <w:sz w:val="28"/>
          <w:szCs w:val="28"/>
          <w:rtl w:val="true"/>
          <w:lang w:bidi="ar-SA"/>
        </w:rPr>
        <w:t xml:space="preserve">، والعلاّمة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الاستحباب </w:t>
      </w:r>
      <w:r>
        <w:rPr>
          <w:rStyle w:val="FootnoteAnchor"/>
          <w:rtl w:val="true"/>
        </w:rPr>
        <w:footnoteReference w:id="125"/>
      </w:r>
      <w:r>
        <w:rPr>
          <w:rFonts w:ascii="Amiri" w:hAnsi="Amiri" w:eastAsia="Amiri" w:cs="Amiri"/>
          <w:color w:val="111111"/>
          <w:sz w:val="28"/>
          <w:sz w:val="28"/>
          <w:szCs w:val="28"/>
          <w:rtl w:val="true"/>
          <w:lang w:bidi="ar-SA"/>
        </w:rPr>
        <w:t xml:space="preserve">؛ والسبزواري في </w:t>
      </w:r>
    </w:p>
    <w:p>
      <w:pPr>
        <w:pStyle w:val="BookText"/>
        <w:rPr/>
      </w:pPr>
      <w:r>
        <w:rPr>
          <w:rFonts w:ascii="Amiri" w:hAnsi="Amiri" w:eastAsia="Amiri" w:cs="Amiri"/>
          <w:color w:val="111111"/>
          <w:sz w:val="28"/>
          <w:sz w:val="28"/>
          <w:szCs w:val="28"/>
          <w:rtl w:val="true"/>
          <w:lang w:bidi="ar-SA"/>
        </w:rPr>
        <w:t xml:space="preserve">الكفاية </w:t>
      </w:r>
      <w:r>
        <w:rPr>
          <w:rStyle w:val="FootnoteAnchor"/>
          <w:rtl w:val="true"/>
        </w:rPr>
        <w:footnoteReference w:id="126"/>
      </w:r>
      <w:r>
        <w:rPr>
          <w:rFonts w:ascii="Amiri" w:hAnsi="Amiri" w:eastAsia="Amiri" w:cs="Amiri"/>
          <w:color w:val="111111"/>
          <w:sz w:val="28"/>
          <w:sz w:val="28"/>
          <w:szCs w:val="28"/>
          <w:rtl w:val="true"/>
          <w:lang w:bidi="ar-SA"/>
        </w:rPr>
        <w:t xml:space="preserve">، والفاضل الهندي في كشف اللثام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في المسالك و غيره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إلى السيّد المرتضى، و هو لايسلم عن النظر، لأنّ غاية الأمر انّه قائلٌ بالاحتساب، ولا يلزم منه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أيضًا جماعة إلى ابن الجنيد في المختصر الأحمدي </w:t>
      </w:r>
      <w:r>
        <w:rPr>
          <w:rStyle w:val="FootnoteAnchor"/>
          <w:rtl w:val="true"/>
        </w:rPr>
        <w:footnoteReference w:id="129"/>
      </w:r>
      <w:r>
        <w:rPr>
          <w:rFonts w:ascii="Amiri" w:hAnsi="Amiri" w:eastAsia="Amiri" w:cs="Amiri"/>
          <w:color w:val="111111"/>
          <w:sz w:val="28"/>
          <w:sz w:val="28"/>
          <w:szCs w:val="28"/>
          <w:rtl w:val="true"/>
          <w:lang w:bidi="ar-SA"/>
        </w:rPr>
        <w:t xml:space="preserve">، والكيدري في الإصباح </w:t>
      </w:r>
      <w:r>
        <w:rPr>
          <w:rStyle w:val="FootnoteAnchor"/>
          <w:rtl w:val="true"/>
        </w:rPr>
        <w:footnoteReference w:id="130"/>
      </w:r>
      <w:r>
        <w:rPr>
          <w:rFonts w:ascii="Amiri" w:hAnsi="Amiri" w:eastAsia="Amiri" w:cs="Amiri"/>
          <w:color w:val="111111"/>
          <w:sz w:val="28"/>
          <w:sz w:val="28"/>
          <w:szCs w:val="28"/>
          <w:rtl w:val="true"/>
          <w:lang w:bidi="ar-SA"/>
        </w:rPr>
        <w:t xml:space="preserve">، و نصير الدين الطوسي في الرسالة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عبارة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أن يؤثر الولد الأكبر إذا كان ذكرًا بالسيف وآلة السلاح والمصحف والخاتم و ثيابه الّتي كانت لجسده بقيمته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مال أو ذهب إليه الشهيد الثاني في المسالك، بل الفخر في الإيضاح، والمقدّس الأردبيلي في مجمع الفائدة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استدلّ المشهور على القول الأوّل بظاهر الأخبار، فإنّ اللام إن كانت 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فدلالتها واضحة، و إن كانت للاختصاص فلأنّه لايحصل الاختصاص بدون الوجوب، لأنّ الاستحباب لا يتعيّن المصير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اختصاص الاستحباب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دفع الشهيد الثاني هذا الاحتمال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مختصّ بنفس المذكورات، فلا يفيد </w:t>
      </w:r>
      <w:r>
        <w:rPr>
          <w:rStyle w:val="FootnoteAnchor"/>
          <w:rtl w:val="true"/>
        </w:rPr>
        <w:footnoteReference w:id="134"/>
      </w:r>
      <w:r>
        <w:rPr>
          <w:rFonts w:ascii="Amiri" w:hAnsi="Amiri" w:eastAsia="Amiri" w:cs="Amiri"/>
          <w:color w:val="111111"/>
          <w:sz w:val="28"/>
          <w:sz w:val="28"/>
          <w:szCs w:val="28"/>
          <w:rtl w:val="true"/>
          <w:lang w:bidi="ar-SA"/>
        </w:rPr>
        <w:t xml:space="preserve">الاختصاص بالاستحباب تخصيصه بها، لأنّ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بحكمها، لا بها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دلالة اللام على الوجوب نظر، بناءً على ما تقدّم من القول بالاحتساب في المسألة السابقة، سواء قلنا بكونها للملك، أو الاختصاص، خصوصًا على الأخير، لإمكان أن يكون المراد رجحان جعل سهمه من تلك الأعيان ؛ فالعمدة الإجماع إن ثبت نقلاً أو تحصيلاً ؛ و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بمعزل عن الثبوت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المسالك والكشف و غيرهما </w:t>
      </w:r>
      <w:r>
        <w:rPr>
          <w:rStyle w:val="FootnoteAnchor"/>
          <w:rtl w:val="true"/>
        </w:rPr>
        <w:footnoteReference w:id="138"/>
      </w:r>
      <w:r>
        <w:rPr>
          <w:rFonts w:ascii="Amiri" w:hAnsi="Amiri" w:eastAsia="Amiri" w:cs="Amiri"/>
          <w:color w:val="111111"/>
          <w:sz w:val="28"/>
          <w:sz w:val="28"/>
          <w:szCs w:val="28"/>
          <w:rtl w:val="true"/>
          <w:lang w:bidi="ar-SA"/>
        </w:rPr>
        <w:t xml:space="preserve">على القول الثاني بالأصل </w:t>
      </w:r>
    </w:p>
    <w:p>
      <w:pPr>
        <w:pStyle w:val="BookText"/>
        <w:rPr/>
      </w:pPr>
      <w:r>
        <w:rPr>
          <w:rFonts w:ascii="Amiri" w:hAnsi="Amiri" w:eastAsia="Amiri" w:cs="Amiri"/>
          <w:color w:val="111111"/>
          <w:sz w:val="28"/>
          <w:sz w:val="28"/>
          <w:szCs w:val="28"/>
          <w:rtl w:val="true"/>
          <w:lang w:bidi="ar-SA"/>
        </w:rPr>
        <w:t xml:space="preserve">و عمومات آيات الإرث وأخباره واجمال نصوص الحبوة، لعدم نصوصيّة اللام في الوجوب، فإنّ الأصل والعمومات تقتضيان اشتراك الورثة في جميع ما يخلّفه الميّت، فيقتصر فيما خالفه على موضع اليقين، و هو ما إذا دفع باقي الورثة إليه على وجه التراضي، فإنّه لا صراحة في الأخبار في الوجوب، فلا يخصّص عمومات الإرث بالإجمال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المختلف ما يظهر منه نفي الشهرة عن القول الأوّل، حيث انّه بعد نقل عبارة الشيخين وانّه تبعهما ابن البرّاج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هذا الكلام لا إشعار فيه بالوجوب تصريحًا، و 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يؤثر، إلى آخره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كلام الشيخين يوهم الوجوب من غير أن يدلّ عليه دلالة ظاهرة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عبارات جملة ممّن ادّعى الإجماع ظاهرة في الوجوب، لدلالة الجملة الخبريّة على الوجوب ؛ والأخبار ظاهرة فيه لدلالة اللام، فإنّه ليس المراد بالوجوب هنا الحكم التكليفي، بل الحكم الوضعي من الملكيّة أو الاختصاص، فيخصّص الأصل والعمومات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يمنع الإجماع نظرًا إلى تصريح المصرّحين بالاستحباب، و هم جماعة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المنع من الإجماع حتّى في الأربعة المعروفة من حيث انّ الإجماع لابدّ له من مستند، والمستند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الأخبار ومدلول كلّ واحد من الأخبار لم يعمل به الأصحاب، والاقتصار على الأربعة لا يخلو عن تحكّم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الكلام في ذلك، و تحقيق الحال يقتضي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بالاستحباب لا يتصوّر إلاّ بجعل الاستحباب حكمًا لسائر الورثة،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لهم أن يجعلوا الأجناس الأربعة للولد الأكبر، و إلاّ فلا وجه له، كما يظهر لك بعد التأمّل ؛ و هذا خلاف ظواهر الأدلّة، فالمستحبّ أن يجعلوا له الأجناس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بالجعل له ما هو ؟ فإن كان المراد جعلها إرثًا له أو من إرثه، كان ذلك في معنى الاحتساب، بل هو هو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المراد جعلها له مجّانًا، فما المملك له ؟ فإن كان ذلك عطيّة منهم، فليس ذلك التملّك من اللّه تعالى، كما هو ظاهر الأدلّة وإن اقتضاه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والحبوة في كلماتهم، إلاّ أنّ مرادهم انّ ذلك حبوة من اللّه تعالى، و هذا يؤيّد ما قويناه سابقًا من كون ذلك من باب الاحتساب، لا المجّانية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453_121795"/>
      <w:bookmarkStart w:id="207" w:name="pg7453_121795"/>
      <w:bookmarkEnd w:id="207"/>
    </w:p>
    <w:p>
      <w:pPr>
        <w:pStyle w:val="Heading2"/>
        <w:numPr>
          <w:ilvl w:val="1"/>
          <w:numId w:val="1"/>
        </w:numPr>
        <w:rPr/>
      </w:pPr>
      <w:bookmarkStart w:id="208" w:name="pg7453_121795"/>
      <w:bookmarkStart w:id="209" w:name="__RefHeading___Toc1982008_1051229030"/>
      <w:bookmarkStart w:id="210" w:name="_Toc82"/>
      <w:bookmarkEnd w:id="208"/>
      <w:bookmarkEnd w:id="209"/>
      <w:r>
        <w:rPr>
          <w:rtl w:val="true"/>
        </w:rPr>
        <w:t xml:space="preserve">المقام الرابع </w:t>
      </w:r>
      <w:r>
        <w:rPr>
          <w:rtl w:val="true"/>
        </w:rPr>
        <w:t xml:space="preserve">: </w:t>
      </w:r>
      <w:r>
        <w:rPr>
          <w:rtl w:val="true"/>
        </w:rPr>
        <w:t>في أنّ المحبوبة ما هو ؟</w:t>
      </w:r>
      <w:bookmarkEnd w:id="210"/>
    </w:p>
    <w:p>
      <w:pPr>
        <w:pStyle w:val="Heading3"/>
        <w:numPr>
          <w:ilvl w:val="2"/>
          <w:numId w:val="1"/>
        </w:numPr>
        <w:rPr/>
      </w:pPr>
      <w:bookmarkStart w:id="211" w:name="__RefHeading___Toc1982010_1051229030"/>
      <w:bookmarkStart w:id="212" w:name="_Toc83"/>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المحبوبة ما هو ؟</w:t>
      </w:r>
    </w:p>
    <w:p>
      <w:pPr>
        <w:pStyle w:val="BookText"/>
        <w:rPr/>
      </w:pPr>
      <w:r>
        <w:rPr>
          <w:rFonts w:ascii="Amiri" w:hAnsi="Amiri" w:eastAsia="Amiri" w:cs="Amiri"/>
          <w:color w:val="111111"/>
          <w:sz w:val="28"/>
          <w:sz w:val="28"/>
          <w:szCs w:val="28"/>
          <w:rtl w:val="true"/>
          <w:lang w:bidi="ar-SA"/>
        </w:rPr>
        <w:t xml:space="preserve">فالمشهور أنّه الأربعة المعروفة من الثياب والمصحف والخاتم والسيف، كما في المقنعة، والمبسوط، والنهاية، والوسيلة، والجامع، والسرائر، والمتن، والنافع، وكشف الرموز على تأمّل في دلالة عبارته، و جملة من كتب العلاّمة، والدروس، واللمعة، والمهذّب، والتنقيح، و غاية المرام، و نحوها </w:t>
      </w:r>
      <w:r>
        <w:rPr>
          <w:rStyle w:val="FootnoteAnchor"/>
          <w:rtl w:val="true"/>
        </w:rPr>
        <w:footnoteReference w:id="142"/>
      </w:r>
      <w:r>
        <w:rPr>
          <w:rFonts w:ascii="Amiri" w:hAnsi="Amiri" w:eastAsia="Amiri" w:cs="Amiri"/>
          <w:color w:val="111111"/>
          <w:sz w:val="28"/>
          <w:sz w:val="28"/>
          <w:szCs w:val="28"/>
          <w:rtl w:val="true"/>
          <w:lang w:bidi="ar-SA"/>
        </w:rPr>
        <w:t xml:space="preserve">، كما مرّت أكثر عبائرهم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اقتصر على الثلاثة، كما في الإعلام والانتصار والغنية، كما مرّت </w:t>
      </w:r>
    </w:p>
    <w:p>
      <w:pPr>
        <w:pStyle w:val="BookText"/>
        <w:rPr/>
      </w:pPr>
      <w:r>
        <w:rPr>
          <w:rFonts w:ascii="Amiri" w:hAnsi="Amiri" w:eastAsia="Amiri" w:cs="Amiri"/>
          <w:color w:val="111111"/>
          <w:sz w:val="28"/>
          <w:sz w:val="28"/>
          <w:szCs w:val="28"/>
          <w:rtl w:val="true"/>
          <w:lang w:bidi="ar-SA"/>
        </w:rPr>
        <w:t xml:space="preserve">عباراتها، فإنّها خالية عن الثياب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لم يذكر الخاتم منها، كالشيخ في الخلاف، كما هو المحكيّ عن تلخيصه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الصدوق في حكاية الأكثر عنه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والرحل والراحلة ؛ ولعلّ هذه النسبة ناشئة من إيراده في الفقيه خبر ربعي المشتمل عليها </w:t>
      </w:r>
      <w:r>
        <w:rPr>
          <w:rStyle w:val="FootnoteAnchor"/>
          <w:rtl w:val="true"/>
        </w:rPr>
        <w:footnoteReference w:id="145"/>
      </w:r>
      <w:r>
        <w:rPr>
          <w:rFonts w:ascii="Amiri" w:hAnsi="Amiri" w:eastAsia="Amiri" w:cs="Amiri"/>
          <w:color w:val="111111"/>
          <w:sz w:val="28"/>
          <w:sz w:val="28"/>
          <w:szCs w:val="28"/>
          <w:rtl w:val="true"/>
          <w:lang w:bidi="ar-SA"/>
        </w:rPr>
        <w:t xml:space="preserve">، بناءً على ما تقدّم في صدره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و لا سيّما بعد أن أورد الخبر في باب نوادر الميراث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التقيّ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السلاح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كالمسالك و 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على عدم الاقتصار بالأربعة، بل على كلّ ما اشتمل عليه الأخبار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أخبار الباب فمشتملة على عشرة أشياء، أو تسعة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 و هو في سبع روايات،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حريز، و خبري ربعي، و خبر ابن أذينة، و خبر الفضلاء، و خبر شعيب، و صحيح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والمصحف ؛ و هي في ثلاث روايات،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حريز، و خبري ربعي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أو الكسوة ؛ و هي في ثلاث روايات،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خبري ربعي، و خبر شعيب، و صحيح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 و هو في روايتين، في أحد خبري ربعي، و خبر حريز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 و هي في أحد خبري ربعي، و خبر أبي بصير المشتمل على كنز اليتيمين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 و هو في ثلاث روايات،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خبري ربعي، و خبر شعيب، و خبر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الراحلة ؛ و 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خبري ربعي، على ما في الكافي والتهذيب لا الفقيه، إذ ليس فيه على ما فيه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راحلته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 و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الفضلاء، و خبر ابن أذينة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جعلنا فرقًا بين الثياب والكسوة فيصير عشرة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الكسوة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خبري ربعي </w:t>
      </w:r>
      <w:r>
        <w:rPr>
          <w:rFonts w:eastAsia="Amiri" w:cs="Amiri" w:ascii="Amiri" w:hAnsi="Amiri"/>
          <w:color w:val="111111"/>
          <w:sz w:val="28"/>
          <w:szCs w:val="28"/>
          <w:rtl w:val="true"/>
          <w:lang w:bidi="ar-SA"/>
        </w:rPr>
        <w:t xml:space="preserve">. </w:t>
      </w:r>
      <w:bookmarkStart w:id="213" w:name="pg7453_121801"/>
    </w:p>
    <w:p>
      <w:pPr>
        <w:pStyle w:val="Heading3"/>
        <w:numPr>
          <w:ilvl w:val="2"/>
          <w:numId w:val="1"/>
        </w:numPr>
        <w:rPr/>
      </w:pPr>
      <w:bookmarkStart w:id="214" w:name="__RefHeading___Toc1982012_1051229030"/>
      <w:bookmarkStart w:id="215" w:name="_Toc84"/>
      <w:bookmarkEnd w:id="213"/>
      <w:bookmarkEnd w:id="214"/>
      <w:r>
        <w:rPr>
          <w:rtl w:val="true"/>
        </w:rPr>
        <w:t>بيان و تنبيه</w:t>
      </w:r>
      <w:bookmarkEnd w:id="215"/>
    </w:p>
    <w:p>
      <w:pPr>
        <w:pStyle w:val="BookText"/>
        <w:rPr/>
      </w:pPr>
      <w:r>
        <w:rPr>
          <w:rFonts w:ascii="Amiri" w:hAnsi="Amiri" w:eastAsia="Amiri" w:cs="Amiri"/>
          <w:color w:val="111111"/>
          <w:sz w:val="28"/>
          <w:sz w:val="28"/>
          <w:szCs w:val="28"/>
          <w:rtl w:val="true"/>
          <w:lang w:bidi="ar-SA"/>
        </w:rPr>
        <w:t xml:space="preserve">الدرع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العرف واللغة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يلبس لدفع أثر الحديد في الحرب، المعبّر في لسان العجم بزره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درع الحديد مؤنّثة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درع المرأة قميصها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درع الحديد قد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المرأة قميصها مذكّر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كمكنسة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 كالدراعة، ولا يكون إلاّ من صوف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درّعه تدريعًا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الدرع،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درع الحديد كتدرع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الدرع إذا قيّد بالحديد، فهي ما مرّ من لباس الحرب، و أمّا المطلق فلا ؛ ففي مجمع البحرين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رجل دراع عليه درع،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يؤمي إليه المدرعة المشتقّة منه،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المهذّب البارع بعد ذكر خبر ربعي و خبر ابن أذينة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فيهما من الثياب إلاّ الدرع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كون المراد منهما درع الحديد لا الثوب والقميص في حيّز المنع، لظهور اشتراكهما بينهما لغة و وروده بالمعنى الأخير في الأخبار كثيرًا، فإرادته محتمل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إنكار كون اللفظ ظاهرًا في درع الحديد ؛ و تقييد أهل اللغة بدرع الحديد لبيان ذكر تأنيث هذا اللفظ إذا كان بهذا المعنى، دون درع المرئة، فإنّه</w:t>
      </w:r>
    </w:p>
    <w:p>
      <w:pPr>
        <w:pStyle w:val="BookText"/>
        <w:rPr/>
      </w:pPr>
      <w:r>
        <w:rPr>
          <w:rFonts w:ascii="Amiri" w:hAnsi="Amiri" w:eastAsia="Amiri" w:cs="Amiri"/>
          <w:color w:val="111111"/>
          <w:sz w:val="28"/>
          <w:sz w:val="28"/>
          <w:szCs w:val="28"/>
          <w:rtl w:val="true"/>
          <w:lang w:bidi="ar-SA"/>
        </w:rPr>
        <w:t xml:space="preserve">مذكّر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المهذّب منظور فيه، و ما في الرياض لا يفيد شيئًا كما لا يخفى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 استعمال الدرع في حقّ الرجل في القميص أو في الثياب مطلقًا، نعم وجدناه في حقّ المرأة في تكفين المرأة في الدرع </w:t>
      </w:r>
      <w:r>
        <w:rPr>
          <w:rStyle w:val="FootnoteAnchor"/>
          <w:rtl w:val="true"/>
        </w:rPr>
        <w:footnoteReference w:id="155"/>
      </w:r>
      <w:r>
        <w:rPr>
          <w:rFonts w:ascii="Amiri" w:hAnsi="Amiri" w:eastAsia="Amiri" w:cs="Amiri"/>
          <w:color w:val="111111"/>
          <w:sz w:val="28"/>
          <w:sz w:val="28"/>
          <w:szCs w:val="28"/>
          <w:rtl w:val="true"/>
          <w:lang w:bidi="ar-SA"/>
        </w:rPr>
        <w:t xml:space="preserve">مع أنّ الاستعمال أعمّ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الاشتراك الّذي ادّعاه في حقّ الرجل ممنوع، نعم لا يبعد اشتراكها بالنسبة إلى المرأة في درع الحديد والقميص و إن كان الأظهر كونه مجازًا في القميص فيها ؛ ولمّا كان المستعمل فيه هنا درع الرجل، كان لفظ الدرع ظاهرًا في درع الحديد، كما هو المعروف في العرف، هذا مضافًا إلى أنّ خصوص القميص ممّا لا قائل به في الحبوة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الاختلاف في الأخبار، بل في كلمات الأصحاب في الجملة، و ما هو المعلوم من عدم إمكان حمل هذه الأخبار المشتملة على ما زاد على الأربعة المعروفة على التقيّة، لأنّ هذا المذهب من متفرّدات الشيعة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عرفت أيضًا من عدم وفاء خبر واحد بتمام الأربعة، وأخذ بعض من بعض الأخبار و بعض من بعض آخر، و ترك الباقي مع اشتمال الأكثر، بل الكلّ على بعض الباقي تحكّم صرف، كما أشار إليه في المسالك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عرفت أيضًا من أنّ آيات الإرث و أخباره في إرث الأولاد مع اجتماعهم ذكورًا و إناثًا، و إرث الزوجين من الربع والثمن، وإرث الأبوين من السدسين، و نحو ذلك، و خلوّ تلك العمومات عن هذا التخصيص فيها، و عدم ذكره الأصحاب في طيّ بيان تلك العمومات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عرفت من اختلاف الأقوال في الحبوة وجوبًا واستحبابًا، مجّانًا واحتسابًا، وعدم إطباقهم على الوجوب مجّانًا، علمت أنّه لابدّ من اختيار أحد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استحباب هذا الحكم على وجه يعمّ جميع هذه العشرة على نسق واحد، كما ذهب إليه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القول بالاحتساب وجوبًا، كما ذهب إليه جملة، ليسلم عن بعض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بأن يكون الولد الأكبر هو الأولى بتمام ذلك إن أرادها من إرثه، فله الاختيار، والأخبار في بيان الاستحقاق وأنّ هذا الاختيار حقّ له، فإن لم يختر أخذها له ذلك، ولو اختار لم يكن للورثة 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هذا الوجه، أو أشار إليه المولى الأردبيليّ، حيث قال بعد أن أشار إلى مذهب الاستحباب ومذهب الاحتساب وارتكاب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الاستحباب بأخذ الأعيان مجّانًا بغير قيمة، فللورثة يستحبّ أن يخلو له المعدودات مجّانًا و يشاركونه في باقي التركة بحظّه الّذي فرضه اللّه له، أو الوجوب بالقيمة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أولى، بأن يكون هو مخيّرًا و يفوّض الأمر إليه و رخّص في أن يأخذ تلك الأعيان بقيمتها عن إرثه، و إن نقص يعطيهم ثمنها ؛ و كذا لو لم يكن غيرها، فلا يجوز لأحد منعه عن ذلك، و ذلك الجمع بين الأدلّة أولى ممّا ذكراه، و تبقى الأدلّة على ظاهرها أكثر ممّا يقول بالجمع بين الاستحباب والقيمة، و هو ظاهر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عدم حمل الأخبار على اختصاصه بالعين مجّانًا، والوجوب عدم التصريح فيها، و صراحة الآيات في قسمة المواريث على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مقتضى الأخبار واختلافها، فإنّ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والسلاح ؛ و 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والرحل والثياب ؛ و في بعضها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والمصحف والثياب والخاتم ؛ و في بعضها زيادة الدرع ؛ و في بعضها معها الرحل والراحلة والكتب، كما رأيتها، وكذا العبارات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الموجود في أصحّ الأخبار ما لا يوجد القائل به، و غيرها لايخلو عن قصور ما </w:t>
      </w:r>
      <w:r>
        <w:rPr>
          <w:rStyle w:val="FootnoteAnchor"/>
          <w:rtl w:val="true"/>
        </w:rPr>
        <w:footnoteReference w:id="158"/>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العقل والنقل يدلاّن على وجوب اتّباع الدليل اليقينيّ، و هو القرآن، إلاّ أن يثبت ما يوجب النقل عنه،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النقل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ثابت، لما عرفت ما في الدلالة و سند البعض، و عدم القول ببعضها،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ما روي عنهم عليهم‌السلام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وصل إليكم منّا فاعرضوه على كتاب اللّه، فاعملوا بما يوافقه، واتركوا ما يخالفه، انتهى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كلماته لا يسلم عن النظر، خصوصًا ما نسب إلى بعض الأخبار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اشتماله على الأربعة المعروفة، إلاّ أنّا نقول في توضيح هذا المقال وتبيين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ثبت من الإجماع والأخبار المذكورة أنّ للولد الأكبر مزيّة في هذه الأعيان على سائر الورثة ؛ و أمّا الملكيّة القهريّة فغير ثابتة من الإجماع، إذ ليس إجماعًا عليها، و عبارة السرائر إنّما هو مشتملة على اتّفاق أهل عصره كما عرفت، مع أنّه مسبوق بالخلاف و ملحوق به </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7453_121814"/>
      <w:bookmarkStart w:id="217" w:name="pg7453_121814"/>
      <w:bookmarkEnd w:id="217"/>
    </w:p>
    <w:p>
      <w:pPr>
        <w:pStyle w:val="Heading2"/>
        <w:numPr>
          <w:ilvl w:val="1"/>
          <w:numId w:val="1"/>
        </w:numPr>
        <w:rPr/>
      </w:pPr>
      <w:bookmarkStart w:id="218" w:name="pg7453_121814"/>
      <w:bookmarkStart w:id="219" w:name="__RefHeading___Toc1982014_1051229030"/>
      <w:bookmarkStart w:id="220" w:name="_Toc85"/>
      <w:bookmarkEnd w:id="218"/>
      <w:bookmarkEnd w:id="219"/>
      <w:r>
        <w:rPr>
          <w:rtl w:val="true"/>
        </w:rPr>
        <w:t>فهرس مصادر التحقيق</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فارس الحسّون، مؤسسة النشر الإسلامي التابعة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إصباح الشيعة بمصباح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البيهقي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ابراهيم البهادري، نشر مؤسّسة الإمام الصادق،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دارالمفيد للطباعة، بيروت، </w:t>
      </w:r>
      <w:r>
        <w:rPr>
          <w:rFonts w:eastAsia="Amiri" w:cs="Amiri" w:ascii="Amiri" w:hAnsi="Amiri"/>
          <w:color w:val="111111"/>
          <w:sz w:val="28"/>
          <w:szCs w:val="28"/>
          <w:lang w:bidi="ar-SA"/>
        </w:rPr>
        <w:t>1414.5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الحسين الموسوي المعروف بالشريف المرتضى و علم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التابعة لجماعة المدرّسين،قم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محمّد بن الحسن بن يوسف المطهّر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الكرماني والإشتهاردي والبروجردي، المطبعة العلمية،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في 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و الشيخ هادي اليوسفي ، نشر الفقيه،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إبراهيم‌البهادري،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المرام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قم، مطبعة مكتب الإعلام 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مقداد بن عبداللّه السيوري الحلّي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 اللطيف الحسيني الكوه كمري، نشر مكتبة آية اللّه المرعشي رحمه‌الله، الطبعة الأولى،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لنجيب الدّين يحيى بن أحمد بن سعيد الحلّي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لجنة التحقيق بإشراف الشيخ السبحاني، المطبعة العلمية،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الثاني عليّ بن الحسين بن عبدالعالي</w:t>
      </w:r>
    </w:p>
    <w:p>
      <w:p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وتحقيق مؤسّسة آل البيت عليهم‌السلام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عبّاس القوچاني، دار الكتب الإسلامية،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مؤسسة النشر الإسلامي،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علي الخراساني والسيّد جواد الشهرستاني و الشيخ مهدي نجف،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الفقه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باقر بن محمّد مؤمن السبزواري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نشر مؤسسة آل البيت عليهم‌السلام لإحياء التراث، قم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مصنّفي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العبّاس أحمد بن علي بن أحمد بن العبّاس النجاشي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نشر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 xml:space="preserve">الشيخ رضا المختاري،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بوستان كتاب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بن محمّد نقي الشفتي المشهور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نشر مكتبة مسجد السيّد بإصفهان،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جامعة النجف الدينيّة،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تحقيق الأحكام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نشر مؤسسة النشر الإسلامي التابعة لجماعة المدرّسين،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منصور بن أحمد بن إدريس العجلي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الشيخ أبي القاسم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السيّد صادق الشيرازي، نشر إنتشارات الاستقلال،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نشر مكتبة آية اللّه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في معرفة طبقات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أصغر بن محمّد شفيع الجابلقي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مكتبة آية اللّه المرعشي،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مفلح بن الحسن الصيمري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الهادي،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المكارم السيّد حمزة بن عليّ بن زهرة الحسيني، المعروف بإبن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مؤسسة الإمام الصادق عليه‌السلام بإشراف الشيخ جعفر السبحاني،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تقي الدّين بن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رضا الأستادي، مكتبة أمير المؤمنين عليه‌السلام، إصفهان،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عن 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بهاء الدّين محمّد بن الحسن الإصفهاني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الحجرية، نشر مدرسة صدر المهدوي، إصفهان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مكرم بن منظور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علي الكوراني، دار الفكر،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 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الأردبيلي أحمد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إشتهاردي وعراقي ويزدي، نشر جامعة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القمي، نشر مؤسسة البعثة،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لجنة التحقيق،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علي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مؤسسة آل البيت عليهم‌السلام لإحياء التراث،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النبويّة والأحكام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لسلاّر بن عبدالعزيزالديلمي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محسن الحسينيالأميني، نشرالمعاونية الثقافية للمجمع العالمي،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بنأحمد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المعارف الإسلامية،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الميرزا حسين المحدّث النوري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 نشر مؤسسة آل البيت عليهم‌السلام لإحياء التراث ،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نجم الدّين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لجنة التحقيق بإشراف الشيخ ناصر مكارم الشيرازي، مؤسّسة سيّد الشهداء عليه‌السلام،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قسم الفقه في مجمع البحوث الإسلامية، مشهد،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محمّد بن فهد الحلّي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مجتبى العراقي، نشر جامعة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إبن البرّاج أبي القاسم عبدالعزيز بن نحرير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بإشراف الشيخ جعفرالسبحاني، نشر جامعة المدرّسين، قم،</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مؤسسة إسماعيليان،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الأندلس، بيروت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محمّد بن علي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الحاج </w:t>
      </w:r>
    </w:p>
    <w:p>
      <w:pPr>
        <w:pStyle w:val="BookText"/>
        <w:rPr/>
      </w:pPr>
      <w:r>
        <w:rPr>
          <w:rFonts w:ascii="IRNazanin" w:hAnsi="IRNazanin" w:eastAsia="IRNazanin"/>
          <w:color w:val="111111"/>
          <w:sz w:val="28"/>
          <w:sz w:val="28"/>
          <w:szCs w:val="28"/>
          <w:rtl w:val="true"/>
          <w:lang w:bidi="fa-IR"/>
        </w:rPr>
        <w:t xml:space="preserve">آغا مجتبى العراقي، الشيخ علي پناه الاشتهاردي، آقا حسين اليزدي، نشر مؤسّسة النشر الإسلامي،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أبي جعفر محمّد بن علي الطوسي، المعروف بإبن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نشر مكتبة السيّدالمرعشي،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7453_121837"/>
      <w:bookmarkStart w:id="222" w:name="pg7453_121837"/>
      <w:bookmarkEnd w:id="222"/>
    </w:p>
    <w:p>
      <w:pPr>
        <w:pStyle w:val="Heading2"/>
        <w:numPr>
          <w:ilvl w:val="1"/>
          <w:numId w:val="1"/>
        </w:numPr>
        <w:rPr/>
      </w:pPr>
      <w:bookmarkStart w:id="223" w:name="pg7453_121837"/>
      <w:bookmarkStart w:id="224" w:name="__RefHeading___Toc1982016_1051229030"/>
      <w:bookmarkStart w:id="225" w:name="_Toc86"/>
      <w:bookmarkEnd w:id="223"/>
      <w:bookmarkEnd w:id="224"/>
      <w:r>
        <w:rPr>
          <w:rtl w:val="true"/>
        </w:rPr>
        <w:t>فهرس المحتوى</w:t>
      </w:r>
      <w:bookmarkEnd w:id="225"/>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المؤلّف قدس‌سره</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مولده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والده قدس‌سره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كلمات العلماء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كراماته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أساتذته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حياته العلميّة والاجتماعيّة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مشايخه في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بعض تلامذته البارزين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آثاره العمرانية الخالدة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الكتب والرسائل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الكتب والرسائل الأصوليّة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الكتب والرسائل الرجاليّة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الكتب والرسائل الاعتقاديّة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الكتب والرسائل المتفرّقة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مراثيه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مصادر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متن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الحبوة المذكورة هل تعطى الولد الذكر مجّانًا، أو يحتسب</w:t>
      </w:r>
    </w:p>
    <w:p>
      <w:pPr>
        <w:pStyle w:val="BookText"/>
        <w:rPr/>
      </w:pPr>
      <w:r>
        <w:rPr>
          <w:rFonts w:ascii="Amiri" w:hAnsi="Amiri" w:eastAsia="Amiri" w:cs="Amiri"/>
          <w:color w:val="111111"/>
          <w:sz w:val="28"/>
          <w:sz w:val="28"/>
          <w:szCs w:val="28"/>
          <w:rtl w:val="true"/>
          <w:lang w:bidi="ar-SA"/>
        </w:rPr>
        <w:t xml:space="preserve">عليه من إرثه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تخصيص الولد الأكبر الذكر بالأشياء المعروفة هل هوواجب، أو مستحبّ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المحبوبة 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بيان و 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الترجمة في ديباجة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ذكر العلاّمة الطهراني ولادته في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الإطّلاع على وجه البسط والتفصيل على أحواله و آثاره، فليراجع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المرحوم السيّد مصلح الدين المهدوي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المطبوع باللغة الفارسية في جزئين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ترجمته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المطبوع ضمن موسوعة الإمام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ومشاهير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نفسه قدس‌سره في حواشي بعض إجازاته،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وانتقلنا منها إلى ديار العجم في سنة خمس ومائتين بعد الألف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مولانا مولى الكلّ آقا محمّد باقر البهبهاني في الحيات، ثمّ انتقل إلى الفردوس الأعلى في سنة ستّ ومائتين بعد الألف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السعيد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له قدس‌سره في حاشية بعض إجازاته ما هذا كلامه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مير عبدالباقي إلى دار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ورودي في اصبهان في سنة سبع و مائتين بعد الألف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حجّة الأسلام رحمه‌الله في حاشية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اتّفق لي في سنة مائتين و خمس عشر بعد الألف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الارتحال من اصبهان إلى بلدة قم، و مكثت فيها أربعة أشهر أو أكثر، و كنت مشتغلاً بكتابة هذا المجلّد من الشرح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شعراء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وبطعم الّذي يودّك سكّر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من شعراء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الحصون المنيعة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شعراء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الطليعة من شعراء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ومشاهير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الغريّ في أحوال الحسن الجعفريّ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اليتيمة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إجازة الحديث، لملاّ أحمد التربتي، مطبوعة في أوّل كتاب الإمامة للمترجم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الإجازة المفصّلة تحت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إجازة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تأليفات المجاز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صورة هذه الإجازة في آخر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رحمه‌الله المطبوع سنة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بتحقيق مكتبة مسجد السيّد حجّة الإسلام باصفهان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كتابخانه‌هاى گلپايگان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مناهج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في الإجازات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حسن الصدر رحمه‌الله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المولد والمنشأ، أمّه بنت شيخ الطائفة الشيخ جعفر صاحب كشف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سيّدًا جليلاً عالمًا فاضلاً، خيّرًا متعبّدًا صالحًا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على علماء اصفهان واختصّ بالسيّد العلاّمة السيّد أسداللّه صاحب الجري في الغري، ابن حجّة الإسلام السيّد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صهره وتلمّذ عليه في الفقه وعرض عليه ما كتبه، فكتب عليه الثناء عليه بالفضل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خطّية منها في المكتبة المرعشيّة، مذكورة في فهرسها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المكتبة المرعشيّة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 الخطيّة في مكتبة مسجد گوهرشاد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 الخطيّة في مكتبة مسجد گوهرشاد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المحقّق الحلّي قدس‌سره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ثقة عين ؛ جش صه،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ثياب جلده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یحب</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وشرط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هنا بياض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يخالفون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ذكروه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يده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الشهيد الثاني رسالة في الحبوة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 رسالة في الحبوة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الشهيد الثاني رسالة في الحبوة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مصنّف الشرائع المحقّق الحلّي قدس‌سره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يفيده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رسائل الشهيد الثاني رسالة في الحبوة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الميراث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قال في أوّل الفقيه من التزامه أن لا يروي فيه إلاّ ما يعمل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ولكن قد أدخل ابن الجنيد السلاح، كما حكاه عنه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تصوّر 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النقل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16477</Words>
  <Characters>62724</Characters>
  <CharactersWithSpaces>78482</CharactersWithSpaces>
  <Paragraphs>1061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2026-08-27T09:35:24Z</dcterms:created>
  <dc:creator>ghaemiyeh.com</dc:creator>
  <dc:description/>
  <dc:language>en-US</dc:language>
  <cp:lastModifiedBy/>
  <dcterms:modified xsi:type="dcterms:W3CDTF">2026-08-27T13:05:40Z</dcterms:modified>
  <cp:revision>1</cp:revision>
  <dc:subject/>
  <dc:title>رسالة فی الحبوة</dc:title>
</cp:coreProperties>
</file>

<file path=docProps/custom.xml><?xml version="1.0" encoding="utf-8"?>
<Properties xmlns="http://schemas.openxmlformats.org/officeDocument/2006/custom-properties" xmlns:vt="http://schemas.openxmlformats.org/officeDocument/2006/docPropsVTypes"/>
</file>