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عصمه الانبیاء والایمه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562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8562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85625_1051229030">
            <w:r>
              <w:rPr>
                <w:webHidden/>
                <w:rStyle w:val="IndexLink"/>
                <w:rtl w:val="true"/>
              </w:rPr>
              <w:t>المقدمه</w:t>
            </w:r>
            <w:r>
              <w:rPr>
                <w:rStyle w:val="IndexLink"/>
                <w:rtl w:val="true"/>
              </w:rPr>
              <w:tab/>
            </w:r>
            <w:r>
              <w:rPr>
                <w:rStyle w:val="IndexLink"/>
              </w:rPr>
              <w:t>8</w:t>
            </w:r>
          </w:hyperlink>
        </w:p>
        <w:p>
          <w:pPr>
            <w:pStyle w:val="Contents2"/>
            <w:tabs>
              <w:tab w:val="clear" w:pos="8743"/>
              <w:tab w:val="right" w:pos="9026" w:leader="dot"/>
            </w:tabs>
            <w:rPr/>
          </w:pPr>
          <w:hyperlink w:anchor="__RefHeading___Toc1885627_1051229030">
            <w:r>
              <w:rPr>
                <w:webHidden/>
                <w:rStyle w:val="IndexLink"/>
                <w:rtl w:val="true"/>
              </w:rPr>
              <w:t>نصّ الرسالة وأسئلتها</w:t>
            </w:r>
            <w:r>
              <w:rPr>
                <w:rStyle w:val="IndexLink"/>
                <w:rtl w:val="true"/>
              </w:rPr>
              <w:tab/>
            </w:r>
            <w:r>
              <w:rPr>
                <w:rStyle w:val="IndexLink"/>
              </w:rPr>
              <w:t>12</w:t>
            </w:r>
          </w:hyperlink>
        </w:p>
        <w:p>
          <w:pPr>
            <w:pStyle w:val="Contents2"/>
            <w:tabs>
              <w:tab w:val="clear" w:pos="8743"/>
              <w:tab w:val="right" w:pos="9026" w:leader="dot"/>
            </w:tabs>
            <w:rPr/>
          </w:pPr>
          <w:hyperlink w:anchor="__RefHeading___Toc1885629_1051229030">
            <w:r>
              <w:rPr>
                <w:webHidden/>
                <w:rStyle w:val="IndexLink"/>
                <w:rtl w:val="true"/>
              </w:rPr>
              <w:t>جواب آية الله الصافي الگپایگاني</w:t>
            </w:r>
            <w:r>
              <w:rPr>
                <w:rStyle w:val="IndexLink"/>
                <w:rtl w:val="true"/>
              </w:rPr>
              <w:tab/>
            </w:r>
            <w:r>
              <w:rPr>
                <w:rStyle w:val="IndexLink"/>
              </w:rPr>
              <w:t>14</w:t>
            </w:r>
          </w:hyperlink>
        </w:p>
        <w:p>
          <w:pPr>
            <w:pStyle w:val="Contents2"/>
            <w:tabs>
              <w:tab w:val="clear" w:pos="8743"/>
              <w:tab w:val="right" w:pos="9026" w:leader="dot"/>
            </w:tabs>
            <w:rPr/>
          </w:pPr>
          <w:hyperlink w:anchor="__RefHeading___Toc1885631_1051229030">
            <w:r>
              <w:rPr>
                <w:webHidden/>
                <w:rStyle w:val="IndexLink"/>
                <w:rtl w:val="true"/>
              </w:rPr>
              <w:t>المبحث الأوّل في عصمة الأنبياء والأئمّة</w:t>
            </w:r>
            <w:r>
              <w:rPr>
                <w:rStyle w:val="IndexLink"/>
                <w:rtl w:val="true"/>
              </w:rPr>
              <w:t>(</w:t>
            </w:r>
            <w:r>
              <w:rPr>
                <w:rStyle w:val="IndexLink"/>
                <w:rtl w:val="true"/>
              </w:rPr>
              <w:t>علیهم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885633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885635_1051229030">
            <w:r>
              <w:rPr>
                <w:webHidden/>
                <w:rStyle w:val="IndexLink"/>
                <w:rtl w:val="true"/>
              </w:rPr>
              <w:t>المسألة الاُولى</w:t>
            </w:r>
            <w:r>
              <w:rPr>
                <w:rStyle w:val="IndexLink"/>
                <w:rtl w:val="true"/>
              </w:rPr>
              <w:t xml:space="preserve">: </w:t>
            </w:r>
            <w:r>
              <w:rPr>
                <w:rStyle w:val="IndexLink"/>
                <w:rtl w:val="true"/>
              </w:rPr>
              <w:t>ما هي العصمة؟</w:t>
            </w:r>
            <w:r>
              <w:rPr>
                <w:rStyle w:val="IndexLink"/>
                <w:rtl w:val="true"/>
              </w:rPr>
              <w:tab/>
            </w:r>
            <w:r>
              <w:rPr>
                <w:rStyle w:val="IndexLink"/>
              </w:rPr>
              <w:t>16</w:t>
            </w:r>
          </w:hyperlink>
        </w:p>
        <w:p>
          <w:pPr>
            <w:pStyle w:val="Contents3"/>
            <w:tabs>
              <w:tab w:val="clear" w:pos="8459"/>
              <w:tab w:val="right" w:pos="9026" w:leader="dot"/>
            </w:tabs>
            <w:rPr/>
          </w:pPr>
          <w:hyperlink w:anchor="__RefHeading___Toc1885637_1051229030">
            <w:r>
              <w:rPr>
                <w:webHidden/>
                <w:rStyle w:val="IndexLink"/>
                <w:rtl w:val="true"/>
              </w:rPr>
              <w:t>المسألة الثانية</w:t>
            </w:r>
            <w:r>
              <w:rPr>
                <w:rStyle w:val="IndexLink"/>
                <w:rtl w:val="true"/>
              </w:rPr>
              <w:t xml:space="preserve">: </w:t>
            </w:r>
            <w:r>
              <w:rPr>
                <w:rStyle w:val="IndexLink"/>
                <w:rtl w:val="true"/>
              </w:rPr>
              <w:t>ما هي أنواع العصمة؟ وما هو النوع الّذي يجب أن يكون النبيّ والإمام متّصفين به؟</w:t>
            </w:r>
            <w:r>
              <w:rPr>
                <w:rStyle w:val="IndexLink"/>
                <w:rtl w:val="true"/>
              </w:rPr>
              <w:tab/>
            </w:r>
            <w:r>
              <w:rPr>
                <w:rStyle w:val="IndexLink"/>
              </w:rPr>
              <w:t>30</w:t>
            </w:r>
          </w:hyperlink>
        </w:p>
        <w:p>
          <w:pPr>
            <w:pStyle w:val="Contents3"/>
            <w:tabs>
              <w:tab w:val="clear" w:pos="8459"/>
              <w:tab w:val="right" w:pos="9026" w:leader="dot"/>
            </w:tabs>
            <w:rPr/>
          </w:pPr>
          <w:hyperlink w:anchor="__RefHeading___Toc1885639_1051229030">
            <w:r>
              <w:rPr>
                <w:webHidden/>
                <w:rStyle w:val="IndexLink"/>
                <w:rtl w:val="true"/>
              </w:rPr>
              <w:t>المسألة الثالثة</w:t>
            </w:r>
            <w:r>
              <w:rPr>
                <w:rStyle w:val="IndexLink"/>
                <w:rtl w:val="true"/>
              </w:rPr>
              <w:t xml:space="preserve">: </w:t>
            </w:r>
            <w:r>
              <w:rPr>
                <w:rStyle w:val="IndexLink"/>
                <w:rtl w:val="true"/>
              </w:rPr>
              <w:t>الأدلّة الّتي تقام على عصمة الأنبياء والأئمّة</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885641_1051229030">
            <w:r>
              <w:rPr>
                <w:webHidden/>
                <w:rStyle w:val="IndexLink"/>
                <w:rtl w:val="true"/>
              </w:rPr>
              <w:t>المسألة الرابعة</w:t>
            </w:r>
            <w:r>
              <w:rPr>
                <w:rStyle w:val="IndexLink"/>
                <w:rtl w:val="true"/>
              </w:rPr>
              <w:t xml:space="preserve">: </w:t>
            </w:r>
            <w:r>
              <w:rPr>
                <w:rStyle w:val="IndexLink"/>
                <w:rtl w:val="true"/>
              </w:rPr>
              <w:t>ما هي الدلائل العقلية على عصمة الأنبياء والأئمّة</w:t>
            </w:r>
            <w:r>
              <w:rPr>
                <w:rStyle w:val="IndexLink"/>
                <w:rtl w:val="true"/>
              </w:rPr>
              <w:t>(</w:t>
            </w:r>
            <w:r>
              <w:rPr>
                <w:rStyle w:val="IndexLink"/>
                <w:rtl w:val="true"/>
              </w:rPr>
              <w:t>علیهم السلام</w:t>
            </w:r>
            <w:r>
              <w:rPr>
                <w:rStyle w:val="IndexLink"/>
                <w:rtl w:val="true"/>
              </w:rPr>
              <w:t>)</w:t>
            </w:r>
            <w:r>
              <w:rPr>
                <w:rStyle w:val="IndexLink"/>
                <w:rtl w:val="true"/>
              </w:rPr>
              <w:t>؟</w:t>
            </w:r>
            <w:r>
              <w:rPr>
                <w:rStyle w:val="IndexLink"/>
                <w:rtl w:val="true"/>
              </w:rPr>
              <w:tab/>
            </w:r>
            <w:r>
              <w:rPr>
                <w:rStyle w:val="IndexLink"/>
              </w:rPr>
              <w:t>37</w:t>
            </w:r>
          </w:hyperlink>
        </w:p>
        <w:p>
          <w:pPr>
            <w:pStyle w:val="Contents3"/>
            <w:tabs>
              <w:tab w:val="clear" w:pos="8459"/>
              <w:tab w:val="right" w:pos="9026" w:leader="dot"/>
            </w:tabs>
            <w:rPr/>
          </w:pPr>
          <w:hyperlink w:anchor="__RefHeading___Toc1885643_1051229030">
            <w:r>
              <w:rPr>
                <w:webHidden/>
                <w:rStyle w:val="IndexLink"/>
                <w:rtl w:val="true"/>
              </w:rPr>
              <w:t>المسألة الخامسة</w:t>
            </w:r>
            <w:r>
              <w:rPr>
                <w:rStyle w:val="IndexLink"/>
                <w:rtl w:val="true"/>
              </w:rPr>
              <w:t xml:space="preserve">: </w:t>
            </w:r>
            <w:r>
              <w:rPr>
                <w:rStyle w:val="IndexLink"/>
                <w:rtl w:val="true"/>
              </w:rPr>
              <w:t>ما هي أدلّة عصمتهم من مصادر التشريع الإسلامي؟</w:t>
            </w:r>
            <w:r>
              <w:rPr>
                <w:rStyle w:val="IndexLink"/>
                <w:rtl w:val="true"/>
              </w:rPr>
              <w:tab/>
            </w:r>
            <w:r>
              <w:rPr>
                <w:rStyle w:val="IndexLink"/>
              </w:rPr>
              <w:t>43</w:t>
            </w:r>
          </w:hyperlink>
        </w:p>
        <w:p>
          <w:pPr>
            <w:pStyle w:val="Contents2"/>
            <w:tabs>
              <w:tab w:val="clear" w:pos="8743"/>
              <w:tab w:val="right" w:pos="9026" w:leader="dot"/>
            </w:tabs>
            <w:rPr/>
          </w:pPr>
          <w:hyperlink w:anchor="__RefHeading___Toc1885645_1051229030">
            <w:r>
              <w:rPr>
                <w:webHidden/>
                <w:rStyle w:val="IndexLink"/>
                <w:rtl w:val="true"/>
              </w:rPr>
              <w:t>المبحث الثانی</w:t>
            </w:r>
            <w:r>
              <w:rPr>
                <w:rStyle w:val="IndexLink"/>
                <w:rtl w:val="true"/>
              </w:rPr>
              <w:t xml:space="preserve">: </w:t>
            </w:r>
            <w:r>
              <w:rPr>
                <w:rStyle w:val="IndexLink"/>
                <w:rtl w:val="true"/>
              </w:rPr>
              <w:t>في علم الإمام</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885647_1051229030">
            <w:r>
              <w:rPr>
                <w:webHidden/>
                <w:rStyle w:val="IndexLink"/>
                <w:rtl w:val="true"/>
              </w:rPr>
              <w:t>المبحث الثالث في اختلاف مستويات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في الإيمان والعلم والأخلاق</w:t>
            </w:r>
            <w:r>
              <w:rPr>
                <w:rStyle w:val="IndexLink"/>
                <w:rtl w:val="true"/>
              </w:rPr>
              <w:tab/>
            </w:r>
            <w:r>
              <w:rPr>
                <w:rStyle w:val="IndexLink"/>
              </w:rPr>
              <w:t>66</w:t>
            </w:r>
          </w:hyperlink>
        </w:p>
        <w:p>
          <w:pPr>
            <w:pStyle w:val="Contents2"/>
            <w:tabs>
              <w:tab w:val="clear" w:pos="8743"/>
              <w:tab w:val="right" w:pos="9026" w:leader="dot"/>
            </w:tabs>
            <w:rPr/>
          </w:pPr>
          <w:hyperlink w:anchor="__RefHeading___Toc1885649_1051229030">
            <w:r>
              <w:rPr>
                <w:webHidden/>
                <w:rStyle w:val="IndexLink"/>
                <w:rtl w:val="true"/>
              </w:rPr>
              <w:t>مصادر التحقیق</w:t>
            </w:r>
            <w:r>
              <w:rPr>
                <w:rStyle w:val="IndexLink"/>
                <w:rtl w:val="true"/>
              </w:rPr>
              <w:tab/>
            </w:r>
            <w:r>
              <w:rPr>
                <w:rStyle w:val="IndexLink"/>
              </w:rPr>
              <w:t>70</w:t>
            </w:r>
          </w:hyperlink>
        </w:p>
        <w:p>
          <w:pPr>
            <w:pStyle w:val="Contents2"/>
            <w:tabs>
              <w:tab w:val="clear" w:pos="8743"/>
              <w:tab w:val="right" w:pos="9026" w:leader="dot"/>
            </w:tabs>
            <w:rPr/>
          </w:pPr>
          <w:hyperlink w:anchor="__RefHeading___Toc1885651_1051229030">
            <w:r>
              <w:rPr>
                <w:webHidden/>
                <w:rStyle w:val="IndexLink"/>
                <w:rtl w:val="true"/>
              </w:rPr>
              <w:t>الفهرس</w:t>
            </w:r>
            <w:r>
              <w:rPr>
                <w:rStyle w:val="IndexLink"/>
                <w:rtl w:val="true"/>
              </w:rPr>
              <w:tab/>
            </w:r>
            <w:r>
              <w:rPr>
                <w:rStyle w:val="IndexLink"/>
              </w:rPr>
              <w:t>78</w:t>
            </w:r>
          </w:hyperlink>
        </w:p>
        <w:p>
          <w:pPr>
            <w:pStyle w:val="Contents2"/>
            <w:tabs>
              <w:tab w:val="clear" w:pos="8743"/>
              <w:tab w:val="right" w:pos="9026" w:leader="dot"/>
            </w:tabs>
            <w:rPr/>
          </w:pPr>
          <w:hyperlink w:anchor="__RefHeading___Toc1885653_1051229030">
            <w:r>
              <w:rPr>
                <w:webHidden/>
                <w:rStyle w:val="IndexLink"/>
                <w:rtl w:val="true"/>
              </w:rPr>
              <w:t>آثار سماحة آية الله العظمى الصافي الگلپايگاني مدّ ظلّه الوارف</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1_93821"/>
      <w:bookmarkStart w:id="1" w:name="pg7441_93821"/>
      <w:bookmarkEnd w:id="1"/>
    </w:p>
    <w:p>
      <w:pPr>
        <w:pStyle w:val="Heading2"/>
        <w:numPr>
          <w:ilvl w:val="1"/>
          <w:numId w:val="1"/>
        </w:numPr>
        <w:rPr/>
      </w:pPr>
      <w:bookmarkStart w:id="2" w:name="pg7441_93821"/>
      <w:bookmarkStart w:id="3" w:name="__RefHeading___Toc188562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عصمه‌الانبیاء والایمه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الصافی‌الگلپایگانی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Sinlessness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Sinlessness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4502624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562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الکبیر المرجع الدیني الأعلی سماحة آیة الله العظمی الشیخ</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تنظیم ونشر آثار آیة الله العظمی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bookmarkStart w:id="7" w:name="pg7441_93825"/>
    </w:p>
    <w:p>
      <w:pPr>
        <w:pStyle w:val="Heading2"/>
        <w:numPr>
          <w:ilvl w:val="1"/>
          <w:numId w:val="1"/>
        </w:numPr>
        <w:rPr/>
      </w:pPr>
      <w:bookmarkStart w:id="8" w:name="__RefHeading___Toc1885625_1051229030"/>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أعظم ما بُني عليه اليقين بصدق الأنبياء ورسالاتهم السماويّة إلى الرسالة الختميّة الخالدة المحمديّة، وأمان المهتدي بهدى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 عصمتهم عن المعاصي والخطأ والسهو والنسيان، قد أشبع الكلام فيه علماء الإسلام بما لا مزيد عليه؛ وهذه رسالة فيها بعض ما يتعلّق بالعقيدة بعصمة الأنبياء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وعلمهم، وعلى طالب المزيد والتفصيل مطالعة كتب الأساطين كالمفيد والشيخ والخواجة والعلّامة وغيرهم أعلى الله مقامهم وشكر الله مساعيهم الجميلة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وردتنا رسالة من رئيس الجماعة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أمريكا وكندا، تتضمّن ثلاثة أسئلة، ترجع كلّها إلى مسألة العصمة في الأئمّة الأطهار من أهل البيت النبويّ، وقد رفعنا هذه الأسئلة إلى العلّامة الحجّة آية الله الشيخ لطف الله الصافي دام ظلّه، علماً بأنّ سماحته أحد الأبطال في المباحث الاعتقادية، وخاصّة ما يتعلّق منها بالولاية، فتفضّل بتدوين رسالة مفصّلة وافية بالمراد وشافية لغليل السائل، وقد سلّمنا نسخةً من هذه الرسالة إلى مندوب الجماعة، حتى يبعثها إلى الجماعة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ونظراً لأهمية محتويات هذه الرسالة العقائدية قمنا بنشرها ملحقةً بكتاب أقطاب الدوائر الّتي تدور مسائلها حول آية التطهير، الّتي هي من أوضح دلائل العصمة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عندما نقوم بطبع هذه الرسالة الجوابية القيّمة ننشر معها نصّ رسالة الجماعة؛ تدليلاً على اهتمامهم بهذه الاُمور، وإلفاتاً لنظر </w:t>
      </w:r>
    </w:p>
    <w:p>
      <w:pPr>
        <w:pStyle w:val="BookText"/>
        <w:rPr/>
      </w:pPr>
      <w:r>
        <w:rPr>
          <w:rFonts w:ascii="Amiri" w:hAnsi="Amiri" w:eastAsia="Amiri" w:cs="Amiri"/>
          <w:color w:val="111111"/>
          <w:sz w:val="28"/>
          <w:sz w:val="28"/>
          <w:szCs w:val="28"/>
          <w:rtl w:val="true"/>
          <w:lang w:bidi="ar-SA"/>
        </w:rPr>
        <w:t>المفكّرين الإسلاميّين إلى ما يدور في أذهان المسلمين القاطنين في تلكم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نسأل التوفيق والهداية، إنّه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bookmarkStart w:id="10" w:name="pg7441_93829"/>
    </w:p>
    <w:p>
      <w:pPr>
        <w:pStyle w:val="Heading2"/>
        <w:numPr>
          <w:ilvl w:val="1"/>
          <w:numId w:val="1"/>
        </w:numPr>
        <w:rPr/>
      </w:pPr>
      <w:bookmarkStart w:id="11" w:name="__RefHeading___Toc1885627_1051229030"/>
      <w:bookmarkStart w:id="12" w:name="_Toc4"/>
      <w:bookmarkEnd w:id="10"/>
      <w:bookmarkEnd w:id="11"/>
      <w:r>
        <w:rPr>
          <w:rtl w:val="true"/>
        </w:rPr>
        <w:t>نصّ الرسالة وأسئلتها</w:t>
      </w:r>
      <w:bookmarkEnd w:id="12"/>
    </w:p>
    <w:p>
      <w:pPr>
        <w:pStyle w:val="BookText"/>
        <w:rPr/>
      </w:pPr>
      <w:r>
        <w:rPr>
          <w:rFonts w:ascii="Amiri" w:hAnsi="Amiri" w:eastAsia="Amiri" w:cs="Amiri"/>
          <w:color w:val="111111"/>
          <w:sz w:val="28"/>
          <w:sz w:val="28"/>
          <w:szCs w:val="28"/>
          <w:rtl w:val="true"/>
          <w:lang w:bidi="ar-SA"/>
        </w:rPr>
        <w:t>سماحة العلّامة الاُستاد الشيخ جعفر السبحاني 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إنّنا في الجماعة الإسلامية في أمريكا وكندا نعتزّ أشدّ الاعتزاز بورثة الأنبياء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علمائنا الأعلام، حفظهم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النشاطات الّتي نقوم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مجلّة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نقوم بجزء يسير من الأعباء والمسؤوليات الكبيرة الملقاة على عاتقنا في بلاد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في الحقيقة بحاجة ماسّة إلى البحوث والمقالات الإسلامية، وبحاجة إلى مشاركة العلماء الأجلّاء في دعم تطوّر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نودّ من سماحتكم التفضّل بالإجابة على الأسئلة التالية، ويفضّل أن تكون الإجابة على هيئة بحث علمي، كما نودّ أن تجيزونا بنشرها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أدلّة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مصادر التشريع الإسلامي؟</w:t>
      </w:r>
    </w:p>
    <w:p>
      <w:pPr>
        <w:pStyle w:val="BookText"/>
        <w:rPr/>
      </w:pPr>
      <w:r>
        <w:rPr>
          <w:rFonts w:ascii="IRNazanin" w:hAnsi="IRNazanin" w:eastAsia="IRNazanin"/>
          <w:color w:val="111111"/>
          <w:sz w:val="28"/>
          <w:sz w:val="28"/>
          <w:szCs w:val="28"/>
          <w:rtl w:val="true"/>
          <w:lang w:bidi="fa-IR"/>
        </w:rPr>
        <w:t>وما هو نوعها؟ وما هو الفرق بينها وبين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يزداد علم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الأيّام؟ وهل أنّ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تولّيه الإمامة يختلف عنه قبل ذلك؟ وإذا كان الأمر كذلك فكيف يمكننا والحالة هذه الحكم بأفضلية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الجواد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تولّى الإمامة وهو ابن تسع سنين؟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يمكننا درء الشبهة القائلة باختلاف مستويات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وعلماً وخلقاً، وذلك باعتبار ما يرويه لنا التاريخ من سيرهم؟</w:t>
      </w:r>
    </w:p>
    <w:p>
      <w:pPr>
        <w:pStyle w:val="BookText"/>
        <w:rPr/>
      </w:pPr>
      <w:r>
        <w:rPr>
          <w:rFonts w:ascii="Amiri" w:hAnsi="Amiri" w:eastAsia="Amiri" w:cs="Amiri"/>
          <w:color w:val="111111"/>
          <w:sz w:val="28"/>
          <w:sz w:val="28"/>
          <w:szCs w:val="28"/>
          <w:rtl w:val="true"/>
          <w:lang w:bidi="ar-SA"/>
        </w:rPr>
        <w:t>وختاماً أسأل الله عزّ وجلّ أن يوسّع وقتكم للإجابة عن هذه الأسئلة، الّتي تتّخذ أهميّة بالغة في مثل ظروفنا الحالية، وأسأله تعالى أن يوفّقكم وإيّانا لتحقيق ما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الجماعة الإسلامية عادل جوهر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3" w:name="pg7441_93831"/>
    </w:p>
    <w:p>
      <w:pPr>
        <w:pStyle w:val="Heading2"/>
        <w:numPr>
          <w:ilvl w:val="1"/>
          <w:numId w:val="1"/>
        </w:numPr>
        <w:rPr/>
      </w:pPr>
      <w:bookmarkStart w:id="14" w:name="__RefHeading___Toc1885629_1051229030"/>
      <w:bookmarkStart w:id="15" w:name="_Toc5"/>
      <w:bookmarkEnd w:id="13"/>
      <w:bookmarkEnd w:id="14"/>
      <w:r>
        <w:rPr>
          <w:rtl w:val="true"/>
        </w:rPr>
        <w:t>جواب آية الله الصافي الگپایگاني</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عباده الّذين اصطفى، سيّما سيّدهم أبي القاسم محمد وآله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رسالة وجيزة في الجواب عن أسئلة أرسلها بعض الإخوان الأزكياء من أهل الدعوة إلى هدى الإسلام في أمريكا إلى أحد أصدقائي من العلماء وأساتذة الحوزة العلمية، كتبتها التماساً للثواب، وامتثالاً لأمر هذا الصديق العزيز أدام الله أيّامه، ونفع المسلمين بعلومه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بالنظر إلى الأسئلة يقع في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اختلاف مستويات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الإيمان والعلم والأخلاق</w:t>
      </w:r>
      <w:r>
        <w:rPr>
          <w:rFonts w:eastAsia="IRNazanin" w:cs="IRNazanin"/>
          <w:color w:val="111111"/>
          <w:sz w:val="28"/>
          <w:szCs w:val="28"/>
          <w:rtl w:val="true"/>
          <w:lang w:bidi="fa-IR"/>
        </w:rPr>
        <w:t xml:space="preserve">. </w:t>
      </w:r>
      <w:bookmarkStart w:id="16" w:name="pg7441_93832"/>
    </w:p>
    <w:p>
      <w:pPr>
        <w:pStyle w:val="Heading2"/>
        <w:numPr>
          <w:ilvl w:val="1"/>
          <w:numId w:val="1"/>
        </w:numPr>
        <w:rPr/>
      </w:pPr>
      <w:bookmarkStart w:id="17" w:name="__RefHeading___Toc1885631_1051229030"/>
      <w:bookmarkStart w:id="18" w:name="_Toc6"/>
      <w:bookmarkEnd w:id="16"/>
      <w:bookmarkEnd w:id="17"/>
      <w:r>
        <w:rPr>
          <w:rtl w:val="true"/>
        </w:rPr>
        <w:t>المبحث الأوّل في عصمة الأنبياء والأئمّة</w:t>
      </w:r>
      <w:r>
        <w:rPr>
          <w:rtl w:val="true"/>
        </w:rPr>
        <w:t>(</w:t>
      </w:r>
      <w:r>
        <w:rPr>
          <w:rtl w:val="true"/>
        </w:rPr>
        <w:t>علیهم السلام</w:t>
      </w:r>
      <w:r>
        <w:rPr>
          <w:rtl w:val="true"/>
        </w:rPr>
        <w:t>)</w:t>
      </w:r>
      <w:bookmarkEnd w:id="18"/>
    </w:p>
    <w:p>
      <w:pPr>
        <w:pStyle w:val="Heading3"/>
        <w:numPr>
          <w:ilvl w:val="2"/>
          <w:numId w:val="1"/>
        </w:numPr>
        <w:rPr/>
      </w:pPr>
      <w:bookmarkStart w:id="19" w:name="__RefHeading___Toc1885633_105122903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وهذا سؤاله بلفظه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هي أدلّة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مصادر التشريع الإسلامي؟ وما هو نوعها؟ وما هو الفرق بينها وبين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هذا السؤال يأتي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العصمة؟</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العصمة؟ وما هو النوع الّذي يجب اتّصاف النبيّ والإمام به؟</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الدلائل العقليّة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أدلّة عصمتهم من مصادر التشريع الإسلامي؟ </w:t>
      </w:r>
      <w:bookmarkStart w:id="21" w:name="pg7441_93833"/>
    </w:p>
    <w:p>
      <w:pPr>
        <w:pStyle w:val="Heading3"/>
        <w:numPr>
          <w:ilvl w:val="2"/>
          <w:numId w:val="1"/>
        </w:numPr>
        <w:rPr/>
      </w:pPr>
      <w:bookmarkStart w:id="22" w:name="__RefHeading___Toc1885635_1051229030"/>
      <w:bookmarkStart w:id="23" w:name="_Toc8"/>
      <w:bookmarkEnd w:id="21"/>
      <w:bookmarkEnd w:id="22"/>
      <w:r>
        <w:rPr>
          <w:rtl w:val="true"/>
        </w:rPr>
        <w:t>المسألة الاُولى</w:t>
      </w:r>
      <w:r>
        <w:rPr>
          <w:rtl w:val="true"/>
        </w:rPr>
        <w:t xml:space="preserve">: </w:t>
      </w:r>
      <w:r>
        <w:rPr>
          <w:rtl w:val="true"/>
        </w:rPr>
        <w:t>ما هي العصمة؟</w:t>
      </w:r>
      <w:bookmarkEnd w:id="2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العصمة قوّة قدسية، وبصيرة ملكوتية، ونورانية ربانية راسخة في النفس، يَحفظ بها صاحبها نفسَه عن القبائح، وعن إتيان كلّ ما في فعله الانصراف عن الحقّ ونسيان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حضور خاصّ للعبد عند مولاه لا يرتكب معه ما ينافي هذا الحضور، فلا يشتغل في هذا الحضور إلّا بما يناسبه، ففي مثل هذا الموقف الأقدس لا ذنب ولا معصية ولا انصراف عن الله تعالى، وهذا مقام رفيع لا يناله ولا يفوز به إلّا عباد الله المخلصون الكاملون، الّذين ليس لغير الله سلطان عليهم، وهم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مثالاً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لا يُسئَل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نفسك إذا كنت طالباً لسلعة مّا فإنّك تذهب إلى السوق لشرائها، فيعرضها البائع لك بدينار، وآخر بدينارين، ولا شكّ أنّك مختار في اشترائها من الأوّل أو الثاني، لكن لا تشتريها إلّا من الأوّل؛ لِما فيكَ من قوّة التميز بين نفعك وضررك، والمعصوم في صفاء النفس، والاتّصال بعالم الغيب، </w:t>
      </w:r>
    </w:p>
    <w:p>
      <w:pPr>
        <w:pStyle w:val="BookText"/>
        <w:rPr/>
      </w:pPr>
      <w:r>
        <w:rPr>
          <w:rFonts w:ascii="Amiri" w:hAnsi="Amiri" w:eastAsia="Amiri" w:cs="Amiri"/>
          <w:color w:val="111111"/>
          <w:sz w:val="28"/>
          <w:sz w:val="28"/>
          <w:szCs w:val="28"/>
          <w:rtl w:val="true"/>
          <w:lang w:bidi="ar-SA"/>
        </w:rPr>
        <w:t>وقوّة الإدراك حتى في ترك الأولى كترك المستحبّات وفعل المكروهات أصفى منك ومن غيرك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فالحضور ضدّ الغياب، والتوجّه ضدّ الانصراف، فمَن كان في محضر المولى ليس بغائب عنه، ومن ذاق حلاوة قربه ومؤانسته لا يبتغي عنها بدلاً، ومَن جلس على بساط عبادته وأدرك لذّة مناجاته يقول كما 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رَاحَةُ مَنْ نَصَبَ لِغَيْرِكَ بَدَنَهُ، وَمَتَى فَرَحُ مَنْ قَصَدَ سِوَاكَ بِنِيَّتِهِ؟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الجليل السيّد عبد الله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عبارة عن قوّة العقل من حيث لا يغلب مع كونه قادراً على المعاصي كلّها كجائز الخطأ، وليس معنى العصمة أنّ الله يجبره على ترك المعصية، بل يفعل به ألطافاً يترك معها المعصية باختياره، مع قدرته عليها، كقوّة العقل، وكمال الفطانة، والذكاء، ونهاية صفاء النفس، وكمال الاعتناء بطاعة الله تعالى، ولو لم يكن قادراً على المعاصي بل كان مجبوراً على الطاعات لكان منافياً للتكليف، ولا إكراه في الدين،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كُلّف، حيث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فَأَنَا أَوَّلُ الْعَابِدينَ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أَوَّلُ الْمُسلِمِينَ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 رَبَّكَ حَتَّى يَأْتِيَكَ الْيَقِينُ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لو لم يكن قادراً على المعصية لكان أدنى مرتبةً من صلحاء المؤمنين، القادرين على المعاصي التاركين لها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الشريف الأجلّ شارح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عَصَمَهُ اللهُ من المكروه يَعصِمُه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حفظه ووقاه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إلهيّ يقوى به العبد على تحرّي الخير وتجنّب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وعصمة الأنبياء حفظه إيّاهم أوّلاً بما خصّهم به من صفاء الجوهر، ثمّ بما أولاهم من الفضائل الجسمية والنفسية، ثمّ بالنصرة وبتثبّت أقدامهم، ثمّ بإنزال السكينة عليهم، وبحفظ قلوبهم وبالتوفيق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الشيخ الأكبر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من الله لحججه هي التوفيق، واللطف والاعتصام من الحجج بها عن الذنوب والغلط في دين الله تعالى، والعصمة تفضّل من الله تعالى على مَن علم أنّه يتمسّك بعصمته، والاعتصام فعل المعتصم، وليست العصمة مانعةً من القدرة على القبيح، ولا مضطرّةً للمعصوم إلی الحسن، ولا ملجئةً له إليه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العصمة لطف يفعله الله بالمكلّف بحيث يمنع عنه وقوع المعصية، وترك الطاعة مع قدرته عليهما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&amp;: «</w:t>
      </w:r>
      <w:r>
        <w:rPr>
          <w:rFonts w:ascii="Amiri" w:hAnsi="Amiri" w:eastAsia="Amiri" w:cs="Amiri"/>
          <w:color w:val="111111"/>
          <w:sz w:val="28"/>
          <w:sz w:val="28"/>
          <w:szCs w:val="28"/>
          <w:rtl w:val="true"/>
          <w:lang w:bidi="ar-SA"/>
        </w:rPr>
        <w:t>هي ما يمتنع المكلّف معه من المعصية متمكّناً منها، ولا يمتنع منها مع عدمها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الفاضل السيوري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 ومن وافقهم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لطف يفعله الله بالمكلّف بحيث يمتنع منه وقوع المعصية؛ لانتفاء داعيه، ووجود صارفه، مع قدرته عليها، ووقوع المعصية ممكن نظراً إلى قدرته، وممتنع نظراً إلى عدم الداعي ووجود الصارف، وإنّما قلنا بقدرته </w:t>
      </w:r>
    </w:p>
    <w:p>
      <w:pPr>
        <w:pStyle w:val="BookText"/>
        <w:rPr/>
      </w:pPr>
      <w:r>
        <w:rPr>
          <w:rFonts w:ascii="Amiri" w:hAnsi="Amiri" w:eastAsia="Amiri" w:cs="Amiri"/>
          <w:color w:val="111111"/>
          <w:sz w:val="28"/>
          <w:sz w:val="28"/>
          <w:szCs w:val="28"/>
          <w:rtl w:val="true"/>
          <w:lang w:bidi="ar-SA"/>
        </w:rPr>
        <w:t>عليها؛ لأنّه لولاه لَما استحقّ مدحاً ولا ثواباً؛ إذ لا اختيار له حينئذ؛ لأنّهما يستحقّان على فعل الممكن وتركه، لكنّه يستحقّ المدح والثواب لعصمته إجماعاً فيكون قادراً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القدرة على الطاعة، وعدم القدرة علىالمعصية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خلقه الله جبلّةً صافيةً، وطينةً نقيّةً، ومزاجاً قابلاً، وخصّه بعقل قويّ وفكر سويّ، وجعل له ألطافاً زائدة، فهو قويّ بما خصّه على فعل الواجبات واجتناب المقبّحات، والالتفات إلى ملكوت السماوات، والإعراض عن عالم الجهات، فتصير النفس الأمّارة مأسورة مقهورة في حيِّز النفس العاقلة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المختصّ بنفس هي أشرف النفوس الإنسانية، ولها عناية خاصّة وفيض خاصّ، يتمكّن به من أسر القوّة الوهمية والخيالية، </w:t>
      </w:r>
    </w:p>
    <w:p>
      <w:pPr>
        <w:pStyle w:val="BookText"/>
        <w:rPr/>
      </w:pPr>
      <w:r>
        <w:rPr>
          <w:rFonts w:ascii="Amiri" w:hAnsi="Amiri" w:eastAsia="Amiri" w:cs="Amiri"/>
          <w:color w:val="111111"/>
          <w:sz w:val="28"/>
          <w:sz w:val="28"/>
          <w:szCs w:val="28"/>
          <w:rtl w:val="true"/>
          <w:lang w:bidi="ar-SA"/>
        </w:rPr>
        <w:t>الموجبتين للشهوة والغضب، المتعلّق كلّ ذلك بالقوّة الحيوانية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ولبعضهم كلام حسن جامع هنا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ملكة نفسانية يمنع المتّصف بها من الفجور مع قدرته عليه، وتتوقّف هذه الملكة على العلم بمثالب المعاصي، ومناقب الطاعات؛ لأنّ العفّة متى حصلت في جوهر النفس، وانضاف إليها العلم التامّ بما في المعصية من الشقاوة وفي الطاعة من السعادة صار ذلك العلم موجباً لرسوخها في النفس، فتصير ملكة، ثمّ إنّ تلك الملكة إنّما تحصل له بخاصّيّة نفسية أو بدنية تقتضيها، وإلّا لكان اختصاصه بتلك الملكة دون بني نوعه ترجيحاً من غير مرجّح، ويتأكّد ذلك العلم بتواتر الوحي، وأن يعلم المؤاخذة على ترك الأولى</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الاختصاص بتلك الملكة إنّما يكون بجهة مرجّحة يعلمها الله تعالى، وليس علينا السؤال عن هذه الجهة، وهذا كاختصاص كثير من المخلوقات بل كلّها بأوصاف خاصّة، واختلافهم في الأفراد والأنواع، واختصاص السماء والأرض بالخلق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هو المعلوم عقلاً وشرعاً أنّ كلّ ذلك لم يكن عبثاً، ومن خلق هذا الخلق وجعل هذا النظام المتقن في كلّه وأجزائه لم يكن لاعباً وعابثاً، فالنظام الحاكم على عالم الإنسان، والحاكم على عالم الحيوان والنباتات بأنواعها والجمادات تشهد بحكمه كلّ تلك المخلوقات وتقدّسه عن اللغو والعبث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وتعالى في وصف 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وَيَتَفَكَّرُونَ فِي خَلْقِ السَّمَاوَاتِ وَالأَرْضِ رَبَّنَا مَا خَلَقْتَ هَذا بَاطِلاً سُبْحَانَكَ فَقِنَا عَذَابَ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خَلَقْنَاكُمْ عَبَثاً وَأَنَّكُمْ إِلَيْنَا لَا تُرْجَعُونَ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لا يمنع عن القول بأشرفية البعض من البعض، وأفضليته، بل غاية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بتقديره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الّذي ربّما يختلج في بعض الأذهان في اصطفاء مناصطفاه الله من الأنبياء والأئمّة ، هو السؤال عن اختصاص كلّ ذوي الفضل في هذا العالم بنوعه أو فرده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النحو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الله تعالى كلّها متقنة محكمة صدرت عنه لأغراض متعالية، والتفضيل المشاهد في العالم إمّا أن يحصل لعلل يقتضيها ضيق عالم المادّة، وما جعل الله في كلّ جزء من أجزاء هذا العالم بتقديره من التأثير في غيره أو التأثّر منه، وإمّا أن يحصل لعلل اختيارية تؤثّر في كمال النفس وفضلها، وتؤثّر في تفضيل بعض الأفراد من الإنسان والحيوان والنبات على غيرها، وقد يحصل لعلل اُخرى اختيارية للعبد وغير اختيارية ممّا توجب الترجيح وتؤثّر فيه، والجهات المرجّحة كثيرة لا يمكننا إحصاؤها ومعرفة تفاصيلها، فإذا وجد بإذن الله تعالى وتقديره شخص قابل للإفاضة الغيبية والعناية الربّانيّة كالعصمة والعلوم اللدنّيّة لا يحرم منها، ويستحيل أن يمنع الله تعالى ذلك عنه، والله تعالى أعلم بموارد عناياته وإفاضاته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النظام لا يتمّ بل لا يقوم إلّا على التفضيل </w:t>
      </w:r>
    </w:p>
    <w:p>
      <w:pPr>
        <w:pStyle w:val="BookText"/>
        <w:rPr/>
      </w:pPr>
      <w:r>
        <w:rPr>
          <w:rFonts w:ascii="Amiri" w:hAnsi="Amiri" w:eastAsia="Amiri" w:cs="Amiri"/>
          <w:color w:val="111111"/>
          <w:sz w:val="28"/>
          <w:sz w:val="28"/>
          <w:szCs w:val="28"/>
          <w:rtl w:val="true"/>
          <w:lang w:bidi="ar-SA"/>
        </w:rPr>
        <w:t>والاختصاص والاصطفاء، فاختصاص العين بالرؤية، والاُذُن بالسمع، وسائر الأعضاء بخاصّيّة معيّنة، وكذا اختصاص هذا الشجر بهذا الثمر، وهذا بهذا هو المقوّم لهذا النظام بإذن الله تعالى، ولو لم يكن هذا الاختصاص لم يكن هذا العالم ذَلِكَ تَقْدِيرُ الْعَزِيزِ الْعَلِيمِ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فالاصطفاء والاختصاص والتفضيل أمر واقع في عالم التكوين مهما كانت علله، معلومة كانت لنا، أو مجهولة عندنا، نرى ذلك بالعيان، ونقرأه في تراجم الأنبياء والأولياء وأرباب العقول الكبيرة وغيرها، كما نلمس عصمة الأنبياء والأولياء من خلال سِيَرهم وعباداتهم، وخصائصهم وأخلاقهم، لا يمكننا إنكارالواقعيّات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 أيضاً ناطق باصطفاء بعض الناس على بعض، وبعض الأنواع على بعض،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فَضَّلْنَا بَعْضَ النَّبِيِّينَ عَلَى بَعْضٍ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الرُّسُلُ فَضَّلْنَا بَعْضَهُمْ عَلَى بَعْضٍ مِنْهُمْ مَن</w:t>
      </w:r>
    </w:p>
    <w:p>
      <w:pPr>
        <w:pStyle w:val="BookText"/>
        <w:rPr/>
      </w:pPr>
      <w:r>
        <w:rPr>
          <w:rFonts w:ascii="Amiri" w:hAnsi="Amiri" w:eastAsia="Amiri" w:cs="Amiri"/>
          <w:color w:val="111111"/>
          <w:sz w:val="28"/>
          <w:sz w:val="28"/>
          <w:szCs w:val="28"/>
          <w:rtl w:val="true"/>
          <w:lang w:bidi="ar-SA"/>
        </w:rPr>
        <w:t>كَلَّمَ اللهُ وَرَفَعَ بَعْضَهُمْ دَرَجَاتٍ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على نساء عالم زمانها كما ورد في التفاسير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عالَمي زمانهم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كَرَّمْنَا بَنِي آدَمَ وَحَمَلْنَاهُمْ فِي الْبَرِّ وَالْبَحْرِ</w:t>
      </w:r>
    </w:p>
    <w:p>
      <w:pPr>
        <w:pStyle w:val="BookText"/>
        <w:rPr/>
      </w:pPr>
      <w:r>
        <w:rPr>
          <w:rFonts w:ascii="Amiri" w:hAnsi="Amiri" w:eastAsia="Amiri" w:cs="Amiri"/>
          <w:color w:val="111111"/>
          <w:sz w:val="28"/>
          <w:sz w:val="28"/>
          <w:szCs w:val="28"/>
          <w:rtl w:val="true"/>
          <w:lang w:bidi="ar-SA"/>
        </w:rPr>
        <w:t>وَرَزَقْنَاهُم مِّنَ الطَّيِّبَاتِ وَفَضَّلْنَاهُمْ عَلَى كَثِيرٍ مِمَّنْخَلَقْنَا تَفْضِيلاً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تَتَمَنَّوْاْ مَا فَضَّلَ اللهُ بِهِ بَعْضَكُمْ عَلَى بَعْضٍ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بعض الآيات الدالّة على التفضيل وجهه أيضاً، كقوله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الْمُجَاهِدِينَ عَلَى الْقَاعِدِينَ أَجْراً</w:t>
      </w:r>
    </w:p>
    <w:p>
      <w:pPr>
        <w:pStyle w:val="BookText"/>
        <w:rPr/>
      </w:pPr>
      <w:r>
        <w:rPr>
          <w:rFonts w:ascii="Amiri" w:hAnsi="Amiri" w:eastAsia="Amiri" w:cs="Amiri"/>
          <w:color w:val="111111"/>
          <w:sz w:val="28"/>
          <w:sz w:val="28"/>
          <w:szCs w:val="28"/>
          <w:rtl w:val="true"/>
          <w:lang w:bidi="ar-SA"/>
        </w:rPr>
        <w:t>عَظِيماً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وَالَّذِينَ أُوتُوا الْعِلْمَ دَرَجَاتٍ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 الآية الاُولى أنّ وجه تفضيل المجاهدين على القاعدين هو جهادهم، ومن الثانية أنّ وجه رفع درجات المؤمنين والعلماء هو إيمانهم وعلمهم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البعض الآخر جهة التفضيل، كقوله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كَلَّمَ اللهُ وَرَفَعَ بَعْضَهُمْ دَرَجَاتٍ وَآتَيْنَاعِيسَى ابْنَ مَرْيَمَ الْبَيِّنَاتِ وَأَيَّدْنَاهُ بِرُوحِ الْقُدُسِ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يستفاد منه أنّ جهة تفضيل موسى على بعض الأنبياء أنّه كلّم الله، وجهة تفضيل عيسى إيتاؤه البيّنات وتأييده من جانب الله تعالى بروح القدس، وكما يستفاد من البعض الآخر أنّ التفضيل إنّما يكون </w:t>
      </w:r>
    </w:p>
    <w:p>
      <w:pPr>
        <w:pStyle w:val="BookText"/>
        <w:rPr/>
      </w:pPr>
      <w:r>
        <w:rPr>
          <w:rFonts w:ascii="Amiri" w:hAnsi="Amiri" w:eastAsia="Amiri" w:cs="Amiri"/>
          <w:color w:val="111111"/>
          <w:sz w:val="28"/>
          <w:sz w:val="28"/>
          <w:szCs w:val="28"/>
          <w:rtl w:val="true"/>
          <w:lang w:bidi="ar-SA"/>
        </w:rPr>
        <w:t>لحكمة اُخرى خارجة عن المفضّل والمفضّل عليه، وإن كان فائدته ترجع إليهما وإلى النظام،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وَرَفَعْنَا بَعْضَهُمْ فَوْقَ بَعْضٍ دَرَجَاتٍ لِيَتَّخِذَ بَعْضُهُمْ بَعْضًا سُخْرِيّاً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استبعاد في اختصاص بعض الناس بالاصطفاء والعصمة وغيرها من الفضائل بعد ما يرى مثلها في نظام الله تعالى في خلقه، وبعد ما جرى عليه عادته وسنّته، فلا يجوز السؤال عن ذلك حسداً أو اعتراضاً، ولا فائدة فيه، قال الله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يَحْسُدُونَ النَّاسَ عَلَى مَا آتَاهُمُ اللهُ مِن فَضْلِهِ فَقَدْ آتَيْنَآ آلَ إِبْرَاهِيمَ الْكِتَابَ وَالْحِكْمَةَ وَآتَيْنَاهُم مُلْكاً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شيخنا ثقة الإسلام الكليني في الكافي عن عدّة من أصحابنا، عن أحمد بن محمد بن أبي نصر، عن حمّاد بن عثمان، 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لَهُ وَأَقَامُوا الصَّلَاةَ، وَآتَوُا الزَّكَاةَ وَحَجُّوا الْبَيْتَ، وَصَامُوا شَهْرَ رَمَضَانَ، ثُمَّ قَالُوا لِشَيْ‌ءٍ صَنَعَهُ اللهُ أَوْ صَنَعَهُ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يُؤْمِنُونَحَتَّىَ يُحَكِّمُوكَ فِيمَا شَجَرَ بَيْنَهُمْ ثُمَّ لَا يَجِدُواْ فِي أَنفُسِهِمْ حَرَجاً مِمَّا قَضَيْتَ وَيُسَلِّمُواْ تَسْلِيماً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24" w:name="pg7441_93847"/>
    </w:p>
    <w:p>
      <w:pPr>
        <w:pStyle w:val="Heading3"/>
        <w:numPr>
          <w:ilvl w:val="2"/>
          <w:numId w:val="1"/>
        </w:numPr>
        <w:rPr/>
      </w:pPr>
      <w:bookmarkStart w:id="25" w:name="__RefHeading___Toc1885637_1051229030"/>
      <w:bookmarkStart w:id="26" w:name="_Toc9"/>
      <w:bookmarkEnd w:id="24"/>
      <w:bookmarkEnd w:id="25"/>
      <w:r>
        <w:rPr>
          <w:rtl w:val="true"/>
        </w:rPr>
        <w:t>المسألة الثانية</w:t>
      </w:r>
      <w:r>
        <w:rPr>
          <w:rtl w:val="true"/>
        </w:rPr>
        <w:t xml:space="preserve">: </w:t>
      </w:r>
      <w:r>
        <w:rPr>
          <w:rtl w:val="true"/>
        </w:rPr>
        <w:t>ما هي أنواع العصمة؟ وما هو النوع الّذي يجب أن يكون النبيّ والإمام متّصفين به؟</w:t>
      </w:r>
      <w:bookmarkEnd w:id="26"/>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العصمة تارةً تطلق ويراد منها العصمة عن الكفر والكذب في تبليغ الرسالة والإخبار عن أحكام الله والمعارف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 يراد منها العصمة عن الكفر ومطلق الكذب بعد النبوّة، أو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يراد منها العصمة عن مطلق المعاصي وكلّ ما ينفر عنه بعد النبوّة أو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يراد منها العصمة عن المعاصي وكلّ ما ينفر عنه، وعن ترك الأولى أيضاً بعد النبوّة أو مع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أنواع، كلّ نوع تحت نوع أوسع وأشمل، حتّى يصل إلى النوع السابع وهو العصمة عن المعاصي، وترك الأولى، وكلّ ما ينفر عنه قبل النبوّة وبعدها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الدليل عليه دليل على الجميع، والأقوال في النوع المعتبر في النبيّ والإمام مختلفة لا فائدة في ذكرها هنا، من أراد الاطّلاع عليها </w:t>
      </w:r>
    </w:p>
    <w:p>
      <w:pPr>
        <w:pStyle w:val="BookText"/>
        <w:rPr/>
      </w:pPr>
      <w:r>
        <w:rPr>
          <w:rFonts w:ascii="Amiri" w:hAnsi="Amiri" w:eastAsia="Amiri" w:cs="Amiri"/>
          <w:color w:val="111111"/>
          <w:sz w:val="28"/>
          <w:sz w:val="28"/>
          <w:szCs w:val="28"/>
          <w:rtl w:val="true"/>
          <w:lang w:bidi="ar-SA"/>
        </w:rPr>
        <w:t>فليراجع كتاب تنزيه الأنبياء</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المؤلّفة في الكلام والفِرَق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نقول به ونعتقده هو عصمة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المعاصي وعمّا ينفر عنه، قبل النبوّة وبعدها، وعن الخطأ والسهو والاشتباه في كلّ ما يرجع إلى تبليغ رسالات الله تعالى، وعصمة نبيّنا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ذلك وعن ترك الأولى وعن الخطأ والسهو في جميع الاُمور</w:t>
      </w:r>
      <w:r>
        <w:rPr>
          <w:rFonts w:eastAsia="IRNazanin" w:cs="IRNazanin"/>
          <w:color w:val="111111"/>
          <w:sz w:val="28"/>
          <w:szCs w:val="28"/>
          <w:rtl w:val="true"/>
          <w:lang w:bidi="fa-IR"/>
        </w:rPr>
        <w:t xml:space="preserve">. </w:t>
      </w:r>
      <w:bookmarkStart w:id="27" w:name="pg7441_93849"/>
    </w:p>
    <w:p>
      <w:pPr>
        <w:pStyle w:val="Heading3"/>
        <w:numPr>
          <w:ilvl w:val="2"/>
          <w:numId w:val="1"/>
        </w:numPr>
        <w:rPr/>
      </w:pPr>
      <w:bookmarkStart w:id="28" w:name="__RefHeading___Toc1885639_1051229030"/>
      <w:bookmarkStart w:id="29" w:name="_Toc10"/>
      <w:bookmarkEnd w:id="27"/>
      <w:bookmarkEnd w:id="28"/>
      <w:r>
        <w:rPr>
          <w:rtl w:val="true"/>
        </w:rPr>
        <w:t>المسألة الثالثة</w:t>
      </w:r>
      <w:r>
        <w:rPr>
          <w:rtl w:val="true"/>
        </w:rPr>
        <w:t xml:space="preserve">: </w:t>
      </w:r>
      <w:r>
        <w:rPr>
          <w:rtl w:val="true"/>
        </w:rPr>
        <w:t>الأدلّة الّتي تقام على عصمة الأنبياء والأئمّة</w:t>
      </w:r>
      <w:r>
        <w:rPr>
          <w:rtl w:val="true"/>
        </w:rPr>
        <w:t>(</w:t>
      </w:r>
      <w:r>
        <w:rPr>
          <w:rtl w:val="true"/>
        </w:rPr>
        <w:t>علیهم السلام</w:t>
      </w:r>
      <w:r>
        <w:rPr>
          <w:rtl w:val="true"/>
        </w:rPr>
        <w:t>)</w:t>
      </w:r>
      <w:bookmarkEnd w:id="29"/>
    </w:p>
    <w:p>
      <w:pPr>
        <w:pStyle w:val="BookText"/>
        <w:rPr/>
      </w:pPr>
      <w:r>
        <w:rPr>
          <w:rFonts w:ascii="Amiri" w:hAnsi="Amiri" w:eastAsia="Amiri" w:cs="Amiri"/>
          <w:color w:val="111111"/>
          <w:sz w:val="28"/>
          <w:sz w:val="28"/>
          <w:szCs w:val="28"/>
          <w:rtl w:val="true"/>
          <w:lang w:bidi="ar-SA"/>
        </w:rPr>
        <w:t>هل هي عقلية أو سمعية؟ وأعني بالثانية ما يستفاد من مصادر التشريع الإسلامي، وهل الأصل في إثبات هذا الموضوع هو العقل أو النقل يكفي في ذلك؟ فإن لم تقم الأدلّة العقلية عليه فهل يجوز إثباته بالنقل؟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العقل والنقل على وجوب عصمة الإمام، وأدلّتها العقلية والنقلية كثيرة جدّاً، فهذا كتاب الألفين لنابغة علوم المعقول والمنقول العلّامة الحلّي رضوان الله تعالى عليه، والنسخة المطبوعة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ما يتجاوز عن ألف دليل عقلي وسمعي على أنّ الإمام يجب أن يكون معصوماً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الاعتقاد بعصمة النبيّ والإمام، ووجوب كون الإمام معصوماً هو حكم العقل، والشرع يؤيّد العقل في حكمه هذا، وذلك لأنّ العقل قاطع بوجوب اتّصاف النبيّ والإمام بالعصمة، والشرع إنّما يكون المرجع الأوّل في كلّ مورد، لو حكم فيه بالإيجاب أو السلب لم يكن حكمه بأيّهما مغايراً لحكم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هو المرجع الأوّل في كلّ مورد لم يكن للعقل فيه حكم بالإيجاب أو السلب، بحيث يكون حكم الشرع بالسلب أو الإيجاب موضوعاً لحكم العقل به أيضاً، أو لحكمه الآخر، كحكمه برمي الجمار والسعي بين الصفا والمَروة، فإنّ العقل بعد حكم الشرع به يحكم به كما يحكم بوجوب إطاعته ووجوب الأمر به وذمّ تاركه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وضابطة اُخرى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حكم الشرع في موردٍ تكون حجيّة حكم الشرع أو أصل الشرع متوقّفةً على حكم العقلبه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عصمة الأنبياء فإنّ العقل هو المرجع الأوّل، ويحكم بوجوب كون النبيّ معصوماً لأدلّته، وأمّا الشرع فالعلم بأصله متوقّف على العلم بلزوم بعث النبيّ وشرائطه وأوصافه، والعلم بهذه لو كان ممكن الحصول من جانب الشرع لزم الدور؛ لأنّ العلم بالشرع وما يخبر عنه النبيّ متوقّف على العلم بأوصافه، ولو كان العلم بأوصافه متوقّفاً على إخبار النبيّ للزم الدور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من ذلك أنّ ما في دائرة حكم الشرع به والشرع هو المرجع الأوّل فيه هو ما لم يكن للعقل فيه حكم إيجابيّ أو سلبيّ، ولم يكن ممّا يتوقّف عليه العلم بالشرع، وإثبات اشتراط العصمة في النبيّ خارج عن ذلك، وكذا إثبات اشتراط عصمة الإمام، فإنّه وإن لم يكن ممّا </w:t>
      </w:r>
    </w:p>
    <w:p>
      <w:pPr>
        <w:pStyle w:val="BookText"/>
        <w:rPr/>
      </w:pPr>
      <w:r>
        <w:rPr>
          <w:rFonts w:ascii="Amiri" w:hAnsi="Amiri" w:eastAsia="Amiri" w:cs="Amiri"/>
          <w:color w:val="111111"/>
          <w:sz w:val="28"/>
          <w:sz w:val="28"/>
          <w:szCs w:val="28"/>
          <w:rtl w:val="true"/>
          <w:lang w:bidi="ar-SA"/>
        </w:rPr>
        <w:t>يتوقّف عليه العلم بالشرع لكنّ العقل حاكم به بالإيجاب، وعليه يكون الشرع فيه مرشداً إلى حكم العقل ومؤيّداً ومقرّراً له، ومن هنا يعلم أنّ الحكم بوجوب إطاعة الله تعالى عقليّ وإرشاديّ، كما أنّ الحكم بوجوب إطاعة النبيّ والإمام شرعيّ ومولويّ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هو المرجع الأوّل في تلك المسألة فمن أيّ طريق نعرف عصمة النبيّ، وأنّ المعجزة الّتي أتى بها دليل على صدقه ونبوّته، وبالتالي على عصمته؟</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مدّعي النبوّة يثبت بالمعجزة إذا كان معصوماً، ومن المعلوم عدم وجود دليل عقليّ على عصمة مدّعيها،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المعجزة كما تدلّ على صدق مدّعي النبوّة تدلّ على عصمته أيضاً، وعليه كيف يكون العقل هو المرجع الأوّل؟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بأنّ العقل هو المرجع الأوّل فيه هو لزوم العصمة في النبيّ والإمام، وفرق بين مسألة وجوب كون النبيّ والإمام معصومين وبين مسألة طريق معرفة المعصوم،والمعجزة دليل على صدق مدّعي النبوّة وعصمته بحكم العقل، فما يدلّ عليه العقل أوّلاً بدون الاستعانة بالمعجزة هو لزوم بعث النبيّ ونصب الإمام ولزوم اتّصافهما </w:t>
      </w:r>
    </w:p>
    <w:p>
      <w:pPr>
        <w:pStyle w:val="BookText"/>
        <w:rPr/>
      </w:pPr>
      <w:r>
        <w:rPr>
          <w:rFonts w:ascii="Amiri" w:hAnsi="Amiri" w:eastAsia="Amiri" w:cs="Amiri"/>
          <w:color w:val="111111"/>
          <w:sz w:val="28"/>
          <w:sz w:val="28"/>
          <w:szCs w:val="28"/>
          <w:rtl w:val="true"/>
          <w:lang w:bidi="ar-SA"/>
        </w:rPr>
        <w:t>بالعصمة، وما يحكم به العقل بالمعجزة هو كون هذا الشخص المعيّن هو النبيّ المعصوم، والإمام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وإن يثبت بها صدق النبيّ وعصمته، ليست من الأدلّة السمعية والشرعية، بل هي ممّا يثبت بها الشرع وحجيّة السمع، فمعجزات الأنبياء والأولياء خارجة عن الأدلّة السمعية الشرعية، ومدلولها ليست من الاُمور الّتي تثبت بإخبار 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لا منافاة بين كون العقل حاكماً بلزوم العصمة في النبيّ والإمام، وبين كون المعجزة دليلاً على صدق النبيّ وعصمته، وكذلك الإمام، وأنّ هذا أيضاً حكم العقل، وليس من الشرع وما يثبت حجّيته وحقّيته بالمعجزة بشيء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أمر لا بأس بالإشارة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إنّما تكون دليلاً على العصمة إذا لم يكن في مدّعي النبوّة عملاً وخلقاً وخلقاً ما ينافي العصمة، وإذا كان فيه ما ينافي ذلك كارتكاب القبائح وسوء الأخلاق فهو الدليل على أنّ ما يظهره بعنوان المعجزة ليس معجزة؛ لأنّ الله لا يؤيّد عمل المبطلين، ولا يصلح عمل المفسدين، وهكذا يجيء الكلام في النصّ الصادر عن النبيّ على نبوّة من يأتي بعده أو إمامته، فإذا كان المدّعي لورود النصّ عليه غير مرضيّ الأخلاق والأفعال لا يعتنى بما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يدّعيه، ويُعلم من ذلك أنّ ما يدّعيه من النصّ لم يصدر، أو صدر في حقّ غيره</w:t>
      </w:r>
      <w:r>
        <w:rPr>
          <w:rFonts w:eastAsia="Amiri" w:cs="Amiri" w:ascii="Amiri" w:hAnsi="Amiri"/>
          <w:color w:val="111111"/>
          <w:sz w:val="28"/>
          <w:szCs w:val="28"/>
          <w:rtl w:val="true"/>
          <w:lang w:bidi="ar-SA"/>
        </w:rPr>
        <w:t xml:space="preserve">. </w:t>
      </w:r>
      <w:bookmarkStart w:id="30" w:name="pg7441_93854"/>
    </w:p>
    <w:p>
      <w:pPr>
        <w:pStyle w:val="Heading3"/>
        <w:numPr>
          <w:ilvl w:val="2"/>
          <w:numId w:val="1"/>
        </w:numPr>
        <w:rPr/>
      </w:pPr>
      <w:bookmarkStart w:id="31" w:name="__RefHeading___Toc1885641_1051229030"/>
      <w:bookmarkStart w:id="32" w:name="_Toc11"/>
      <w:bookmarkEnd w:id="30"/>
      <w:bookmarkEnd w:id="31"/>
      <w:r>
        <w:rPr>
          <w:rtl w:val="true"/>
        </w:rPr>
        <w:t>المسألة الرابعة</w:t>
      </w:r>
      <w:r>
        <w:rPr>
          <w:rtl w:val="true"/>
        </w:rPr>
        <w:t xml:space="preserve">: </w:t>
      </w:r>
      <w:r>
        <w:rPr>
          <w:rtl w:val="true"/>
        </w:rPr>
        <w:t>ما هي الدلائل العقلية على عصمة الأنبياء والأئمّة</w:t>
      </w:r>
      <w:r>
        <w:rPr>
          <w:rtl w:val="true"/>
        </w:rPr>
        <w:t>(</w:t>
      </w:r>
      <w:r>
        <w:rPr>
          <w:rtl w:val="true"/>
        </w:rPr>
        <w:t>علیهم السلام</w:t>
      </w:r>
      <w:r>
        <w:rPr>
          <w:rtl w:val="true"/>
        </w:rPr>
        <w:t>)</w:t>
      </w:r>
      <w:r>
        <w:rPr>
          <w:rtl w:val="true"/>
        </w:rPr>
        <w:t>؟</w:t>
      </w:r>
      <w:bookmarkEnd w:id="3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أدلّتها كثيرة، نذكر نموذجاً منها ممّا يدلّ على معتقد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لم يكونوا معصومين عن المعاصي عمداً وسهواً، وعن الخطأ والنسيان والسهو في كلّ ما يرجع إلى ما يجب اتّباعهم من أقوالهم وأفعالهم وسيرهم وسلوكهم لَيرفع الاطمئنان والاعتماد عن اتّباعهم والاقتداء والتأسّي بهم، وتبطل فائدة بعث الأنبياء ونصب الأئمّة، ويُنقَض الغرض الباعث إلى إرسال الرسل، بل خطأهم ونسيانهم في الاُمور العاديّة أيضاً يضعف ذلك الاعتماد، وتنزّههم عنه يقوّي ذلك ويؤكّده غاية التأكيد، فاللطف والحكمة يقتضي اختصاصهم بعنايات وألطاف تدفع عنهم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غلوّ فيهم، وإنّهم ما فوق الإنسان وأعلى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اختصاصهم بتلك العنايات، وكون ذكرهم وتوجّههم دائمياً ليس فوق حدّ الإنسان، ولا يقول ذلك إلّا من قصر عن معرفة الإنسان ومراتب كماله، وما يصل إليه في سيره إلى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الصُّورَةُ الْإِنْسَانِيَةُ </w:t>
      </w:r>
    </w:p>
    <w:p>
      <w:pPr>
        <w:pStyle w:val="BookText"/>
        <w:rPr/>
      </w:pPr>
      <w:r>
        <w:rPr>
          <w:rFonts w:ascii="Amiri" w:hAnsi="Amiri" w:eastAsia="Amiri" w:cs="Amiri"/>
          <w:color w:val="111111"/>
          <w:sz w:val="28"/>
          <w:sz w:val="28"/>
          <w:szCs w:val="28"/>
          <w:rtl w:val="true"/>
          <w:lang w:bidi="ar-SA"/>
        </w:rPr>
        <w:t xml:space="preserve">هِيَ أَكْبَرُ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الْهيْكَلُ الَّذِي بَنَاهُ بِحِكْمَتِهِ، وَهِيَ مَجْمُوعُ صُوَرِ الْعَالَمينَ، وَهِيَ الْمُخْتَصَرُ مِنَ الْعُلُومِ فِي اللَّوْحِ الْمَحْفُوظِ</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ويُنسب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الغلوّ إنّما يحصل برفعهم من مرتبة العبودية والمخلوقية، والفقر الذاتيّ إلى مرتبة المعبودية والخالقية والغنى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والفضائل وكثير من الصفات وما يتقرّب به العبد إلى المولى ويتخلّق بأخلاقه مشتركة بين الإنسان والملائكة، فلم يدلّ دليل على امتناع اتّصاف البشر بها وإن لم تحصل إلّا للأوحديّ من الناس، وإثباتها لهم ليس غلوّاً فيهم، وغاية ما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في الملائكة فعلية، وليست بالاستعداد وبالقوّة، والإنسان لا بشرط في ذلك عن الفعلية والاستعداد، فبعض أفراد الإنسان فيه هذا بالقوّة، وبعضهم حاصل فيه بالفعلية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القول بأنّهم ما فوق الإنسان إن اُريد به رفعهم إلى </w:t>
      </w:r>
    </w:p>
    <w:p>
      <w:pPr>
        <w:pStyle w:val="BookText"/>
        <w:rPr/>
      </w:pPr>
      <w:r>
        <w:rPr>
          <w:rFonts w:ascii="Amiri" w:hAnsi="Amiri" w:eastAsia="Amiri" w:cs="Amiri"/>
          <w:color w:val="111111"/>
          <w:sz w:val="28"/>
          <w:sz w:val="28"/>
          <w:szCs w:val="28"/>
          <w:rtl w:val="true"/>
          <w:lang w:bidi="ar-SA"/>
        </w:rPr>
        <w:t>مرتبة الملائكة وإثبات هويّتهم لهم فليس هذا رفعاً لهم من مرتبتهم إن لم يكن إثباتاً لقصر لهم؛ إذ الأنبياء والأئمّة أفضل من الملائكة؛ لأنّ عصمتهم عن المعاصي ليس معناها عدم تمكّنهم منها، أو نفي ما كان يمكن أن يكون داعياً لهم، وكم فرق بين من لا يتحقّق له الداعي إلى الأكل لعدم إمكان ذلك له، فلا يسند إليه ترك الأكل حقيقة، وإن اُسند إليه فلا يكون إلّا مجازاً،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لا يأكل، فامتناعه عن الأكل ليس عن إرادة واختيار، بل لا يصحّ أن يسند إليه الامتناع عن ترك الأكل، وبين من يمتنع عنه بالاختيار، ويسند إليه كسائر أفعاله وتروكه الاختيارية؛ ولأجل هذا يقول المحقّق الطوسي القدّوسي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أفضلية الأنبياء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أفضل؛ لوجود المضادّ</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إلَّا بَشَراً رَسُولاً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مفادهما أنّ إثبات صفات الملائكة لهم غلوّ ورفع عن درجة الإنسان إلى درجة أعلى، </w:t>
      </w:r>
    </w:p>
    <w:p>
      <w:pPr>
        <w:pStyle w:val="BookText"/>
        <w:rPr/>
      </w:pPr>
      <w:r>
        <w:rPr>
          <w:rFonts w:ascii="Amiri" w:hAnsi="Amiri" w:eastAsia="Amiri" w:cs="Amiri"/>
          <w:color w:val="111111"/>
          <w:sz w:val="28"/>
          <w:sz w:val="28"/>
          <w:szCs w:val="28"/>
          <w:rtl w:val="true"/>
          <w:lang w:bidi="ar-SA"/>
        </w:rPr>
        <w:t xml:space="preserve">بل المراد نفي الغلوّ بإثبات صفات الله المختصّة لهم وإثبات الاستقلال لهم في عرض إرادة الله ومشيئته، فهم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لهم الإتيان بآية إلّا بإذن الله تعالى، فمثل 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الْيَمِّ أَوْ رَشْفاً مِنَ الدِيَمِ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مثل هاتين الآيتين ردّ على من يطلب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هو ضرورة وجود الإنسان، كالأكل والشرب والمشي في الأسواق؛ زعماً منه أنّ ترك ذلك كمال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قالوا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مَالِ هَذَا الرَّسُولِ يَأْكُلُ الطَّعَامَ وَيَمْشِي فِي الْأَسْوَاقِ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سبحانه وتعالى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السَّمَاءمَلَكاً رَسُولاً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الّتي اُقيمت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في النبيّ والإمام قوّة الرأي والبصيرة وعدم السهو، وكلّ ما يُنفَر عنه، ومن المعلوم أنّ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كبيرةً كانت أو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ما يُنفَر عنه، ومن أقوى الشواهد على ضعف الرأي، والسهو أيضاً يذهب بمكانته الاجتماعية، وربّما يصير سبباً لاستهزاء الناس به، وإنكارهم ما عليه وقدحهم بما ليس له، وكلّ ذلك ينافي مصلحة النبوّات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متابعتهم وإطاعتهم، ولو لم يكونوا معصومين جاز أن يأمروا بالمعصية وما فيه المفسدة، وينهوا عن الطاعة وما فيه المصلحة، وذلك يؤدّي إلى إغواء الناس وإضلالهم، وهذا ضدّ المقصود من بعث الرسل؛ لأنّ الغرض منه هداية العباد والبشارة والإنذار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الأدلّة الّتي تُعدّ بالمئات، ذكرها العلاّمة الحلّي في الألفين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سائر كتبه في الكلام والإمامة، وذكر طائفةً منها غيره أيضاً، من شاء أكثر من ذلك فليراجع هذه الكتب</w:t>
      </w:r>
      <w:r>
        <w:rPr>
          <w:rFonts w:eastAsia="Amiri" w:cs="Amiri" w:ascii="Amiri" w:hAnsi="Amiri"/>
          <w:color w:val="111111"/>
          <w:sz w:val="28"/>
          <w:szCs w:val="28"/>
          <w:rtl w:val="true"/>
          <w:lang w:bidi="ar-SA"/>
        </w:rPr>
        <w:t xml:space="preserve">. </w:t>
      </w:r>
      <w:bookmarkStart w:id="33" w:name="pg7441_93860"/>
    </w:p>
    <w:p>
      <w:pPr>
        <w:pStyle w:val="Heading3"/>
        <w:numPr>
          <w:ilvl w:val="2"/>
          <w:numId w:val="1"/>
        </w:numPr>
        <w:rPr/>
      </w:pPr>
      <w:bookmarkStart w:id="34" w:name="__RefHeading___Toc1885643_1051229030"/>
      <w:bookmarkStart w:id="35" w:name="_Toc12"/>
      <w:bookmarkEnd w:id="33"/>
      <w:bookmarkEnd w:id="34"/>
      <w:r>
        <w:rPr>
          <w:rtl w:val="true"/>
        </w:rPr>
        <w:t>المسألة الخامسة</w:t>
      </w:r>
      <w:r>
        <w:rPr>
          <w:rtl w:val="true"/>
        </w:rPr>
        <w:t xml:space="preserve">: </w:t>
      </w:r>
      <w:r>
        <w:rPr>
          <w:rtl w:val="true"/>
        </w:rPr>
        <w:t>ما هي أدلّة عصمتهم من مصادر التشريع الإسلامي؟</w:t>
      </w:r>
      <w:bookmarkEnd w:id="35"/>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الأدلّة الدالّة عليها من مصادر التشريع الإسلامي كثيرة جدّاً، تجد المئات منها أيضاً في كتاب الألفين، ونحن نشير إلى بعض تلك الأدلّة بتعبير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الدالّة عليها من القرآن المجيد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الكريمة صريحة في عِظَم أمر الإمامة، وأنّها عهد الله تعالى لا ينالها الظالمون، والظلم عنوان عامّ لكلّ ما لا يجوز فعله شرعاً أو عقلاً، كما تعرف ذلك من موارد استعمالاته في الكتاب والسنّة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تدلّ على أكثر من عدم لياقة الظالم لنيل منصب الإمامة في حال تلبّسه بالظلم، ولا تدلّ على عدم نيله إذا كان متلبّساً به فيما مضى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 المشتقّ حقيقةً في المتلبّس بالمبدأ في </w:t>
      </w:r>
    </w:p>
    <w:p>
      <w:pPr>
        <w:pStyle w:val="BookText"/>
        <w:rPr/>
      </w:pPr>
      <w:r>
        <w:rPr>
          <w:rFonts w:ascii="Amiri" w:hAnsi="Amiri" w:eastAsia="Amiri" w:cs="Amiri"/>
          <w:color w:val="111111"/>
          <w:sz w:val="28"/>
          <w:sz w:val="28"/>
          <w:szCs w:val="28"/>
          <w:rtl w:val="true"/>
          <w:lang w:bidi="ar-SA"/>
        </w:rPr>
        <w:t>الحال، أي في حال الجري والنسبة، بل هو أعمّ منه وممّا انقضى عنه المبدأ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الملاك في عدم نيل الظالم الإمامة هو صدور الظلم عنه، فما يمنع شارب الخمر وقاتل النفس المحترمة، والسارق وغيرهم من الظالمين عن التشرّف بمقام الإمامة هو شرب الخمر وقتل النفس والسرقة، وإن صدر عنهم في الماضي وتابوا بعده، وليس المراد أنّ الشارب حال تلبّسه بشرب الخمر، والزاني في حال تلبّسه بالزنی، والسارق في حال تلبّسه بالسرقة، وعابد الأصنامفي حال تلبّسه بعبادة الأصنام وعدم توبته عن هذه الأفعال غير صالح لهذا المقام، أمّا بعد هذا الحال ولو بساعة ولحظة وبعد التوبة لا تقدح هذه المعاصي في صلاحيته، وهذا واضح يُعرَف بأدنى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ذلك، ولكن قد بيّنّا لك أنّ الشرع إنّما يحكم تأسيساً، </w:t>
      </w:r>
    </w:p>
    <w:p>
      <w:pPr>
        <w:pStyle w:val="BookText"/>
        <w:rPr/>
      </w:pPr>
      <w:r>
        <w:rPr>
          <w:rFonts w:ascii="Amiri" w:hAnsi="Amiri" w:eastAsia="Amiri" w:cs="Amiri"/>
          <w:color w:val="111111"/>
          <w:sz w:val="28"/>
          <w:sz w:val="28"/>
          <w:szCs w:val="28"/>
          <w:rtl w:val="true"/>
          <w:lang w:bidi="ar-SA"/>
        </w:rPr>
        <w:t xml:space="preserve">وهو المرجع الأوّل فيما لا حكم فيه للعقل، ففي دائرة الأحكام والتكاليف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كانت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 ويذهب بالآثار الشرعية المترتّبة على الأفعال الّتي ارتكبها الشخص قبل إسلامه على التفصيل المذكور في الفقه، أمّا الآثار الوضعية الحقيقية فليست بتشريعية، ولا تنالها يد الإنشاء والاعتبار، فليست قابلةً للمحو بالإسلام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فتنفُّر الطباع عمّن ارتكب قبائح الأعمال والشرور وعبد الأصنام قبل إسلامه وتوبته لا يزول بهما، وكذا عدم الاعتماد على الكذّابين والخائنين وأهل الفجور والشرّ والفساد أمر طبيعيّ لا يمكن رفعه بالإنشاء، ومصلحة النبوّات وتربية العباد، وسياسة اُمورهم تقتضي أن يكون النبيّ والإمام من غيرهم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فرق بين من لم يكفر بالله طرفة عين، وكان له في سالف عمره سوابق حسنة، وكانت حياته مضيئةً بالخيرات مشرقةً بالصلحوالسلم والكرامة الإنسانية والرشد والفلاح ومنع الظلم ورحمة الأيتام والضعفاء والمستضعفين، وبين من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برهة من عمره في عبادة الأصنام وارتكاب القبائح حتى وَأْد البنات بقساوة شديدة قلّما يرى مثلها في تاريخ الإنسان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نيلِ الظالم عهدَ الله تعالى في حال ظلمه، سيّما إذا كان ظلمه عبادة الأصنام وارتكاب الفجور، والظلم للعباد بالاستعلاء عليهم واستضعافهم واضح لا يحتاج توهّمه إلى دافع، سيّما إذا كان السائل نبيّاً جليلاً كإبراهيم الخليل الّذي بلغ في معرفة الله تعالى الغاية القصوى، ودفع توهّمه خلاف البلاغة، فإذن ليس المراد منه إلّا مطلق من صدر عنه الظلم، بل خصوص من صدر عنه الظلم في الماضي، أو يعلم الله بصدوره عنه في المستقبل، وأمّا المتلبّس بالظلم، فعدم أهليّته معلوم بالضرورة لا حاجة إلى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الآية لا تدلّ على أزيد من عصمتهم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تدلّ على وجوب إطاعة الرسول، واُولي الأمر في كلّ ما يأمرون به وينهون عنه، ولو لم يكونوا معصومين لزم الأمر بإطاعة غير </w:t>
      </w:r>
    </w:p>
    <w:p>
      <w:pPr>
        <w:pStyle w:val="BookText"/>
        <w:rPr/>
      </w:pPr>
      <w:r>
        <w:rPr>
          <w:rFonts w:ascii="Amiri" w:hAnsi="Amiri" w:eastAsia="Amiri" w:cs="Amiri"/>
          <w:color w:val="111111"/>
          <w:sz w:val="28"/>
          <w:sz w:val="28"/>
          <w:szCs w:val="28"/>
          <w:rtl w:val="true"/>
          <w:lang w:bidi="ar-SA"/>
        </w:rPr>
        <w:t>المعصوم، والأمر بإطاعته قبيح؛ لكونهمعرّضاً للأمر بالقبيح والنهي عن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يدلّ على وجوب الكون مع الصادقين، والكون معهم عبارة عن متابعة أقوالهم والاقتداء بأفعالهم، والتزام سيرتهم وعدم مفارقتهم، فيجب أوّلاً عدم خلوّ الزمان منهم، وثانياً كونهم معصومين عن المعاصي والخطأ والسهو، بل وترك الأولى، وقد روي من طرق الشيعة وأهل السنّة أنّ الصادقين هم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وللفخر الرازي في تفسيره الكبير كلام حول تفسير هذه الآية يؤيّد بالإفصاح مذهب الشيعة الإمامية، وكلامه في غاية التحقيق، ولا عبرة بما قال في ذيل كلامه من الجواب عمّا تفطّن به، فإنّه في غاية الضعف، </w:t>
      </w:r>
    </w:p>
    <w:p>
      <w:pPr>
        <w:pStyle w:val="BookText"/>
        <w:rPr/>
      </w:pPr>
      <w:r>
        <w:rPr>
          <w:rFonts w:ascii="Amiri" w:hAnsi="Amiri" w:eastAsia="Amiri" w:cs="Amiri"/>
          <w:color w:val="111111"/>
          <w:sz w:val="28"/>
          <w:sz w:val="28"/>
          <w:szCs w:val="28"/>
          <w:rtl w:val="true"/>
          <w:lang w:bidi="ar-SA"/>
        </w:rPr>
        <w:t>ويستبعد خفاء ضعفه عن مثله، فلعلّه إنّما قاله خوفاً من النواصب الّذين يرون إنكار فضائل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وبغضهم من علائم كون الشخص من أهل السنّة، مع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الآيات الدالّة على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حكايةً 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w:t>
      </w:r>
    </w:p>
    <w:p>
      <w:pPr>
        <w:pStyle w:val="BookText"/>
        <w:rPr/>
      </w:pPr>
      <w:r>
        <w:rPr>
          <w:rFonts w:ascii="Amiri" w:hAnsi="Amiri" w:eastAsia="Amiri" w:cs="Amiri"/>
          <w:color w:val="111111"/>
          <w:sz w:val="28"/>
          <w:sz w:val="28"/>
          <w:szCs w:val="28"/>
          <w:rtl w:val="true"/>
          <w:lang w:bidi="ar-SA"/>
        </w:rPr>
        <w:t>إِلَّا أَنْ يُهْدَى فَمَا لَكُمْ كَيْفَ تَحْكُمُونَ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ممّا يطول بنا المقام بذكرها وبيان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بإطاعة غير المعصوم قبيحاً لا يصدر عن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ذكرتم في بيان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الرَّسُولَ وَأُوْلِي الْأَمْرِ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تقولون في اُمراء السرايا، وحكّام البلاد، والمفتي والقاضي، مع أنّ الاُمّة اتّفقت على وجوب إطاعتهم وعدم عصمتهم؟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كانوا ممّن تجب طاعته فيما علم بعدم خطئهم، وفيما لا طريق إلى العلم بخطئهم، إلّا أنّه لو علم بخطئهم لم تجب إطاعتهم؛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أمر اُمراء </w:t>
      </w:r>
    </w:p>
    <w:p>
      <w:pPr>
        <w:pStyle w:val="BookText"/>
        <w:rPr/>
      </w:pPr>
      <w:r>
        <w:rPr>
          <w:rFonts w:ascii="Amiri" w:hAnsi="Amiri" w:eastAsia="Amiri" w:cs="Amiri"/>
          <w:color w:val="111111"/>
          <w:sz w:val="28"/>
          <w:sz w:val="28"/>
          <w:szCs w:val="28"/>
          <w:rtl w:val="true"/>
          <w:lang w:bidi="ar-SA"/>
        </w:rPr>
        <w:t>السرايا وحكم حكّام البلاد بحيث لا يمكن تخلّفه عن الواقع وفرض الخطأ فيه، كما هو الأمر في أمر النبيّ والإمام وحكمهما، لأنّه لا يتخلّف عن الواقع، ودليل على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يعرف به كما يعرف بغيره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والإمام إذا أخطآ ليس من ورائهما نبيّ أو إمام ينبّه على خطئهما، بخلاف اُمراء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 والحكّام فإنّ النبيّ والإمام من ورائهم يحفظان الشريعة من التحريف والتغيير، وينبّهان على خطأ اُمراء السرايا والعمّال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بوجوب إطاعة الإمام في جميع الأوقات، أو يخصّص عمومه ببعض الأوقات، لا سبيل إلى الثاني، فإنّ الاُمّة اتّفقت على وجوب إطاعته مطلقاً وفي جميع الأوقات، وعلى هذا لو فرض كون الإمام غير معصوم يمكن أن يقع في الخطأ في وقت مّا، ويأمر على خلاف ما أمر به النبيّ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تجب إطاعته ومخالفة النبيّ، وهذا باطل قطعاً، وإمّا أن تجب إطاعة النبيّ ومخالفة الإمام، وهو مخالف لوجوب إطاعة كلّ واحد منهما؛ لأنّ الله ساوى بينهما في الأمر بإطاعتهما، وإمّا أن تجب إطاعة كلّ واحد </w:t>
      </w:r>
    </w:p>
    <w:p>
      <w:pPr>
        <w:pStyle w:val="BookText"/>
        <w:rPr/>
      </w:pPr>
      <w:r>
        <w:rPr>
          <w:rFonts w:ascii="Amiri" w:hAnsi="Amiri" w:eastAsia="Amiri" w:cs="Amiri"/>
          <w:color w:val="111111"/>
          <w:sz w:val="28"/>
          <w:sz w:val="28"/>
          <w:szCs w:val="28"/>
          <w:rtl w:val="true"/>
          <w:lang w:bidi="ar-SA"/>
        </w:rPr>
        <w:t>منهما وهو محال وتكليف بما لا يطاق، فلا يبقى إلّا الأمر الرابع وهو عصمة الإمام كالنبيّ، وعدم وقوع المخالفة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إطاعة الإمام وإطاعة اُمراء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 والحكّام، فإنّ الله لم يساوِ بين إطاعتهم وإطاعة الإمام والنبيّ، وإنّما وجبت إطاعتهم بأمر النبيّ أو الإمام بتعيينهما إيّاهم لهذه المناصب؛ ولذا يجب أن يكون الإمام كالنبيّ معصوماً دون غيرهما من اُمراء السرايا والحكّام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بعض الأدلّة الّتي اُقيمت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المجيد المصدر الأوّل للتشريع الإسلامي بتقرير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أيضاً أدلّة كثيرة من السنّة الّتي هي المصدر الثاني للتش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نشير إلى طائفة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المتواترة المشهورة بين الفريقين بأحاديث الثقلين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اُدْعَی فَاُجيبَ، وَإِنِّي تَارِكٌ فِيكُمُ الثَّقَلَيْنِ،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وَجَلَّ، وَعِتْرَتِي، کِتَابُ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حَبْلٌ مَمْدُودٌ مِنَ السَّمَاءِ إِلَى الْأَرْضِ، وَعِتْرَتِي أَهْلُ بَيْتِي، وَإِنَّ اللَّطِيفَ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أَخْبَرَنِي أَنَّهُمَا لَنْ يَفْتَرِقا حَتَّی يَرِدَا عَلَيَّ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فَانْظُرُوني كَيْفَ تَخْلُفُونَنِي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مسند،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وتواترها، وكثرة مُخرِجِيها ورواتها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عدم خلوّ الزمان من إمام معصوم عن الذنب والسهو والخطأ، وحصر طريق الأمن من الضلال والاختلاف بالتمسّك بالكتاب والعترة الهادية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السفينة</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أيضاً دلّت على وجود إمام معصوم من أهل البيت في جميع الأعصار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الأمان،</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أيضاً دلّت على عدمخلوّ الزمان من معصوم من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أماناً </w:t>
      </w:r>
    </w:p>
    <w:p>
      <w:pPr>
        <w:pStyle w:val="BookText"/>
        <w:rPr/>
      </w:pPr>
      <w:r>
        <w:rPr>
          <w:rFonts w:ascii="Amiri" w:hAnsi="Amiri" w:eastAsia="Amiri" w:cs="Amiri"/>
          <w:color w:val="111111"/>
          <w:sz w:val="28"/>
          <w:sz w:val="28"/>
          <w:szCs w:val="28"/>
          <w:rtl w:val="true"/>
          <w:lang w:bidi="ar-SA"/>
        </w:rPr>
        <w:t>لأهل الأرض، والتمسّك به أماناً من الضلالة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أشبعنا الكلام حول هذه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وأسنادها ومتونها ودلالتها في كتابنا أمان الاُمّة من الضلال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الأحاديث في عصمة النبيّ والإمام كثيرة جدّاً، والأحاديث المذكورة وإن لم تدلّ على عصمة النبيّ إلّا أنّها بعد الدلالة على عصمة الإمام تدلّ على عصمة النبيّ بالطريق الأولى، وإنّما استشهدنا بهذه الأحاديث لتواترها وشهرتها بين الفريقين، ومن أراد أكثر من ذلك فليراجع الموسوعات والجوامع، كالكافي والبحار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ثبت بالأدلّة العقلية والنقلية عصمة النبيّ والإمام عن جميع المعاصي عمداً وخطأً وسهواً، وعن السهو والنسيان فيما يؤول إلى تبليغ أحكام الله تعالى، وشؤون الرسالة والإمامة، وأمّا العصمة عن الخطأ والنسيان والسهو في الاُمور العاديّة وترك الأولى لغير نبيّنا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الأنبياء الماضين فغير ثابتة، بل ربما يستظهر من بعض الآيات والأحاديث صدور هذه الاُمور من بعضهم، وهذا وإن كان قابلاً للتأويل إلّا أنّه ليس في البحث عنه كثير فائدة؛ لأنّ مثل ذلك غير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بشؤون رسالاتهم ومقاماتهم العليّة الثابتة، وليس من الاُمور الاعتقادية </w:t>
      </w:r>
    </w:p>
    <w:p>
      <w:pPr>
        <w:pStyle w:val="BookText"/>
        <w:rPr/>
      </w:pPr>
      <w:r>
        <w:rPr>
          <w:rFonts w:ascii="Amiri" w:hAnsi="Amiri" w:eastAsia="Amiri" w:cs="Amiri"/>
          <w:color w:val="111111"/>
          <w:sz w:val="28"/>
          <w:sz w:val="28"/>
          <w:szCs w:val="28"/>
          <w:rtl w:val="true"/>
          <w:lang w:bidi="ar-SA"/>
        </w:rPr>
        <w:t>الّتي تجب معرفتها، فيكفينا الاعتقاد في ذلك إن قيل بوجوب الاعتقاد فيه بما هو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هي أعلى مراتب حضور العبد عند مولاه، ونورانية نفسانية ملكوتية تذهب بكلّ الظلام، 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كلّ وجود صاحبها فلا شكّ أنّ لهذه النورانية مراتبَ ودرجاتٍ أعلاهاما حصل لنبيّنا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وأدناها ما يصون الشخص عن المعاصي عمداً وسهواً، وعن الاشتباه والسهو والنسيان في أمر الرسالة وشؤونها، فعلى هذا يمكن أن يوجد في عظماء الأنبياء نورانية وعناية ربّانية دائمة تصرفهم عن ترك الأولى، وتدفع عن قلبهم غطاء السهو و حجاب النسيان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إلى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وخلفائه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 إنّهم في أعلى مراتب القوّة القدسية والنورانية الربّانية، ولا تفوق رتبتَهم في الحضور عند المولى والجلوس على بساط قربه واُنسه رتبة، فعدم صدور ترك الأولى عنهم كعدم صدور المعاصي في نهاية الوضوح، يظهر ذلك لكلّ من درس تاريخ حياتهم النورية وأخلاقهم الإلهية، وأدعيتهم ومناجاتهم، وخشيتهم من الله تعالى، وإنابتهم إليه وانقطاعهم عن الخلق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أكمل المظاهر لإخلاص العبد وترك الاشتغال بغير الله تعالى، </w:t>
      </w:r>
    </w:p>
    <w:p>
      <w:pPr>
        <w:pStyle w:val="BookText"/>
        <w:rPr/>
      </w:pPr>
      <w:r>
        <w:rPr>
          <w:rFonts w:ascii="Amiri" w:hAnsi="Amiri" w:eastAsia="Amiri" w:cs="Amiri"/>
          <w:color w:val="111111"/>
          <w:sz w:val="28"/>
          <w:sz w:val="28"/>
          <w:szCs w:val="28"/>
          <w:rtl w:val="true"/>
          <w:lang w:bidi="ar-SA"/>
        </w:rPr>
        <w:t>لا يصدرون إلّا عن أمره، كلّ أفعالهم محمودة مرضيّة، وكلّ حالاتهم حميدة شريفة، لا تؤثّر فيهم الدواعي إلّا داعي الله، فكمال إخلاصهم يمنعهم عن الاعتناء بغير داعي الله تعالى، وعن الاشتغال بغير ذكره وامتثال أوامره ونواهيه، قد خرقت أبصار قلوبهم حجب النور فوصلت إلى معدن العظمة، وصارت أرواحهم معلّقة بعزّ قدسه، جباههم ساجدة لعظمته، وعيونهم ساهرة في خدمته، ودموعهم سائلة من خشيته، وقلوبهم متعلّقة بمحبّته، وأفئدتهم منخلعة من مهابته، انقطعت همّتهم إليه،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رغبتهم نحوه، لقاؤه قرّة أعينهم، وقربه غاية سؤلهم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فكيف يصدر ترك الأولى ممّن بعض شؤونه وحالاته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محبّتهم وولايتهم وشفاعتهم، وحشرنا في زمرتهم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ترك الأولى ليس معناه ترك المستحبّ أو فعل المكروه فحسب، بل ربّما يكون بترك المستحبّ أو فعل المكروه، وربّما يكون بفعل المستحبّ وترك المكروه، والنبيّوالإمام أعلم بموارد ترك الأولى، فلا يجوز نسبة ترك الأولى إلى النبيّ والوليّ، بل إلى غيرهما من الفقهاء العارفين بأحكام الله تعالى، وموارد تزاحم المستحبّات والمكروهات، بعضها من بعض، بمجرّد ترك المستحبّ أو فعل المكروه، </w:t>
      </w:r>
    </w:p>
    <w:p>
      <w:pPr>
        <w:pStyle w:val="BookText"/>
        <w:rPr/>
      </w:pPr>
      <w:r>
        <w:rPr>
          <w:rFonts w:ascii="Amiri" w:hAnsi="Amiri" w:eastAsia="Amiri" w:cs="Amiri"/>
          <w:color w:val="111111"/>
          <w:sz w:val="28"/>
          <w:sz w:val="28"/>
          <w:szCs w:val="28"/>
          <w:rtl w:val="true"/>
          <w:lang w:bidi="ar-SA"/>
        </w:rPr>
        <w:t>بل يمكن الاستدلال بفعلها على عدم كون هذا الفعل أو الترك مستحبّاً أو مكروهاً بقول مطلق، وإلّا لَما كان يصدر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بقي مطلب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الآيات والأحاديث الّتي تُوُهِّم منها عدم عصمة الأنبياء، ولئلّا يطول بنا المقام نحيل الباحثين إلى التفاسير المأثورة عن أهل بيت النبوّة أعدال القرآن الكريم، وكتاب تنزيه</w:t>
      </w:r>
    </w:p>
    <w:p>
      <w:pPr>
        <w:pStyle w:val="BookText"/>
        <w:rPr/>
      </w:pPr>
      <w:r>
        <w:rPr>
          <w:rFonts w:ascii="Amiri" w:hAnsi="Amiri" w:eastAsia="Amiri" w:cs="Amiri"/>
          <w:color w:val="111111"/>
          <w:sz w:val="28"/>
          <w:sz w:val="28"/>
          <w:szCs w:val="28"/>
          <w:rtl w:val="true"/>
          <w:lang w:bidi="ar-SA"/>
        </w:rPr>
        <w:t>الأنبياء و الشافي وتلخيصه، و اللوامع الإلهية، و بحار الأنوار وغيرها من كتب الكلام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ظاهرة في عدم عصمة الأنبياء، ولو سلّم ظهور لبعضها يجب تأويله وحمله على المجاز، لدلالة هذه القرائن العقلية على عدم إرادة ظاهرها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الأحاديث فأكثرها من الإسرائيليّات، ومخرَّجة في كتب العامّة، فهي إمّا موضوعة لا سند لها ولا أصل، كخبر الغرانيق والإسرائيليّات الّتي اُخذت من اليهود،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قصص الاُمم الماضية وأنبيائهم، تجد فيها من الخرافات والأعاجيب ما تضحك له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ضعيفة السند لا يعتمد عليها، سيّما في اُصول الدين، ومعارضة بأحاديث اُخرى صحيحة معتضدة بحكم العقل</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 في الأخبار ما يصحّ التعويل عليه، والركون إليه في نفي العصمة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الهادي إلى الصواب</w:t>
      </w:r>
      <w:r>
        <w:rPr>
          <w:rFonts w:eastAsia="IRNazanin" w:cs="IRNazanin"/>
          <w:color w:val="111111"/>
          <w:sz w:val="28"/>
          <w:szCs w:val="28"/>
          <w:rtl w:val="true"/>
          <w:lang w:bidi="fa-IR"/>
        </w:rPr>
        <w:t xml:space="preserve">. </w:t>
      </w:r>
      <w:bookmarkStart w:id="36" w:name="pg7441_93875"/>
    </w:p>
    <w:p>
      <w:pPr>
        <w:pStyle w:val="Heading2"/>
        <w:numPr>
          <w:ilvl w:val="1"/>
          <w:numId w:val="1"/>
        </w:numPr>
        <w:rPr/>
      </w:pPr>
      <w:bookmarkStart w:id="37" w:name="__RefHeading___Toc1885645_1051229030"/>
      <w:bookmarkStart w:id="38" w:name="_Toc13"/>
      <w:bookmarkEnd w:id="36"/>
      <w:bookmarkEnd w:id="37"/>
      <w:r>
        <w:rPr>
          <w:rtl w:val="true"/>
        </w:rPr>
        <w:t>المبحث الثانی</w:t>
      </w:r>
      <w:r>
        <w:rPr>
          <w:rtl w:val="true"/>
        </w:rPr>
        <w:t xml:space="preserve">: </w:t>
      </w:r>
      <w:r>
        <w:rPr>
          <w:rtl w:val="true"/>
        </w:rPr>
        <w:t>في علم الإمام</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وإليك سؤال السائل العزيز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يزداد علم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الأيّام؟ وهل أنّ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تولّيه الإمامة يختلف عنه قبل ذلك؟ وإذا كان الأمر كذلك فكيف يمكننا والحالة هذه الحكم بأفضليّة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الإمامة وهو ابن تسع سنين؟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شيخ المحدّثين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الحجّة من الجامع الكافي أبواباً في علومهم،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لولا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يزدادون لنفد ما عندهم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وإبداء الرأي في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بكون بعضها من متشابهات كلامهم وأسرارهم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 على ملاحظة جميعها، وما فيها من الأحاديث، وردّ مجملها على مفصّلها، وظاهرها على صريحها، </w:t>
      </w:r>
    </w:p>
    <w:p>
      <w:pPr>
        <w:pStyle w:val="BookText"/>
        <w:rPr/>
      </w:pPr>
      <w:r>
        <w:rPr>
          <w:rFonts w:ascii="Amiri" w:hAnsi="Amiri" w:eastAsia="Amiri" w:cs="Amiri"/>
          <w:color w:val="111111"/>
          <w:sz w:val="28"/>
          <w:sz w:val="28"/>
          <w:szCs w:val="28"/>
          <w:rtl w:val="true"/>
          <w:lang w:bidi="ar-SA"/>
        </w:rPr>
        <w:t>وملاحظة أسنادها، ثمّ شرحها وتفسيرها بما لا يخالف اُصول المذهب، كأفضلية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وأفضلية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فرض وجود حديث معتبر يدلّ بلازمه الخفيّ مثلاً على أفضلية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يحتجّ به؛ لأنّ المعلوم من ضرورة المذهب، وما يعرفه الخاصّ والعامّ من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اتّفاقهم على أفضليّة أمير المؤمنين من غيره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هذا اللازم ليس المراد قطعاً، وهذه القرينة القطعية تكفي في تعيين المراد، وعدم اعتبار مثل هذه اللوازم بل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عرضت هذه الأحاديث على أهل الفنّ وعلى من له اُنس بأحاديثهم ومعرفة مذاهبهم، لا يعتني بمثل هذه الاحتمالات، كما أنّك لا تحتمل إذا سمعت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الأسد هو الحيوان المفترس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ازدياد علم الإمام المعصوم أمر ممكن معقول قد ورد في الأحاديث، ولا شكّ في أنّ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عُلِّموا الأسماء كلّها، وأنّ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علم ما كان وما يكون،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 لا شكّ في أنّ علم الجميع عند علم الله ليسإلّا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خاطب نبيّه الّذي علَّمه ما لم يكن يعلم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كالنبيّ في حركته الكمالية، وسيره إلى الله تعالى لا يقف على حدٍّ، كما أنّ السير إلى الله تعالى، في عين أنّه في كلّ مرحلة من مراحله مرتبة من الوصول ونيل للمقصود، فإنّه لا نهاية له، ولا ينتهي إلى حدّ، ففي هذا </w:t>
      </w:r>
    </w:p>
    <w:p>
      <w:pPr>
        <w:pStyle w:val="BookText"/>
        <w:rPr/>
      </w:pPr>
      <w:r>
        <w:rPr>
          <w:rFonts w:ascii="Amiri" w:hAnsi="Amiri" w:eastAsia="Amiri" w:cs="Amiri"/>
          <w:color w:val="111111"/>
          <w:sz w:val="28"/>
          <w:sz w:val="28"/>
          <w:szCs w:val="28"/>
          <w:rtl w:val="true"/>
          <w:lang w:bidi="ar-SA"/>
        </w:rPr>
        <w:t>المسير يسير الإمام دائماً إلى الأمام، ولا يتساوى يوماه، بل كلّ يوم من أيّامه أفضل من أمسه، وليس ابتداء هذا السير من حين الولادة الجسمانية، بل يبتدئ من حين وجوده النوري، ويستمرّ في العوالم والنشئآت الّتي يُسار به قبل هذا العالم، كما أنّ أمده لا ينتهي بارتحاله من هذه الدنيا، ولعلّ سائر الناس من الصلحاء في عالم البرزخ كان هذا حالهم، لا ينتهي سيرهم الكمالي بالموت العنص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بل يمكن أن يكون الموت لهم بحسب صلاحياتهم وقابلياتهم مبدأً لمثل هذا السير،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السير لازم لكلّ سالك إلى الله، ولا نهاية له، فهو لا يزال في حال الرجوع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إِلَيْهِ رَاجِعُونَ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إِلَى اللهِ تَصِيرُ الْأُمُورُ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لسلوكه وسيره ورجوعه هذا انتهاء فلا دخل لطول حياته العنص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وقصرها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أنّا وإن عجزنا عن درك حقيقة هذا الشأن والعلوم الّتي تفاض على الإمام، إلّا أنّه لا وجه لاستبعاد مثل هذا الشأن لهم وكم لهم من الشؤون بل ولغيرهم ممّا لا ندرك حقيقته، ولكن نعرفه </w:t>
      </w:r>
    </w:p>
    <w:p>
      <w:pPr>
        <w:pStyle w:val="BookText"/>
        <w:rPr/>
      </w:pPr>
      <w:r>
        <w:rPr>
          <w:rFonts w:ascii="Amiri" w:hAnsi="Amiri" w:eastAsia="Amiri" w:cs="Amiri"/>
          <w:color w:val="111111"/>
          <w:sz w:val="28"/>
          <w:sz w:val="28"/>
          <w:szCs w:val="28"/>
          <w:rtl w:val="true"/>
          <w:lang w:bidi="ar-SA"/>
        </w:rPr>
        <w:t>بآثاره ونلمسه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دخل لتولّي الإمامة وعدمه في العلم الّذي يزداده الإمام حتى يشكل الحكم بأفضلية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 المشار إليها بقوله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 آدَمَ الْأَسْمَاءَ كُلَّهَا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هو من مؤهّلات الإمامة سواء، لا يتفاوت علمهم هذا بعد تولية الإمامة من قبلها، ولا يزدادون فيه بتولّيهم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يدفع توهّم الإشكال في 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لتولّيه الإمامة في صغر سنّه؛ لعدم ثبوت أفضليّته من سائر الأئمّة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تولِّي أمر الإمامة أمر إداريّ منظَّم يرجع إلى الحكم والإدارة، لا تنحصر شؤون الإمامة فيه، والإمام صاحب هذه الشؤون هو قبل تولّيه الإمامة كبعد تولِّيه، فمن جملة هذه الشؤون حجّية أقواله وأفعاله في الأحكام الشرعية، والمعارف الإسلامية، فهذه ثابتة له مطلقاً، ولا دخل لتولّيه الإمامة في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واُسوة، وأقواله وأفعاله وسيرته </w:t>
      </w:r>
    </w:p>
    <w:p>
      <w:pPr>
        <w:pStyle w:val="BookText"/>
        <w:rPr/>
      </w:pPr>
      <w:r>
        <w:rPr>
          <w:rFonts w:ascii="Amiri" w:hAnsi="Amiri" w:eastAsia="Amiri" w:cs="Amiri"/>
          <w:color w:val="111111"/>
          <w:sz w:val="28"/>
          <w:sz w:val="28"/>
          <w:szCs w:val="28"/>
          <w:rtl w:val="true"/>
          <w:lang w:bidi="ar-SA"/>
        </w:rPr>
        <w:t>وهديه حجّة يجب الأخذ بها، ويحرم ردّها في حياة أبيه وقبل تولِّيه الإمامة واُمور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قبل تولِّيه الاُمور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أبيه وعص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أخيه كان إماماً، كما نصّ على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إِمَامَانِ قَامَا أَوْ قَعَدَا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إمامان حتى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صغر 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 إماماً ووليّاً قبل تولِّيه الإمامة والولاية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الرسالة أيضاً، ولا ينافي ذلك كونه مأموراً بإطاعة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متبوعاً ونبيّاً وحاكم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عليه،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لهومقتدياً به، وواحداً من اُمّته، ومستضيئاً من أنوار علومه، ومتَّبعاً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ريعته، وكون إمامة الإمام 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جزءاً من شريعته ورسالاته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الحديث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حالات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الحجّة من الكافي، والحديث طويل أخرجه بإسناده عن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الله ورسوله على هذه الاُمّة في حياة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يَوْمَ أَقَامَهُ لِلنَّاسِ وَنَصَبَهُ عَلَماً وَدَعَاهُمْ إِلَى وِلَايَتِهِ، وَأَمَرَهُمْ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على الناس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وَلَكِنَّهُ صَمَتَ فَلَمْ يَتَكَلَّمْ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اُمَّتِهِ 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الطَّاعَةُ مِنَ اللهِ وَمِنْ رَسُولِهِ عَلَى النَّاسِ كُلِّهِمْ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عَالِماً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كلاماً في المقام لا بأس بالإشارة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أفضلية بعض الناس من بعض، وبعض الأنبياء من بعض، وبعض الأئمّة من بعض إنّما تكون بقول مطلق في الصفات النفسية والخصائص الذاتية، والتخلّق بالأخلاق الإلهية إذا كان المفضّل في كلّ هذه الكمالات أقوى وأفضل من غيره، أمّا في غيرها من الفضائل فربّما لا يوجد من يكون باعتبار جميع العناوين والأوصاف أفضل من غيره؛ فإنّ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ابنيه سبطَي نبيّ الرحمة، من جهة أنّه ابن عم الرسول، وزوج البتول، وأبو السبطين، فليس لهما ابن عمّ كابن عمّ أبيهما، وزوجة كزوجته، وابنان كابنيه، وهما أفضل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لهما أباً مثل الإمام، وجدّاً مثل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مثل سيّدة نساء العالمين، </w:t>
      </w:r>
    </w:p>
    <w:p>
      <w:pPr>
        <w:pStyle w:val="BookText"/>
        <w:rPr/>
      </w:pPr>
      <w:r>
        <w:rPr>
          <w:rFonts w:ascii="Amiri" w:hAnsi="Amiri" w:eastAsia="Amiri" w:cs="Amiri"/>
          <w:color w:val="111111"/>
          <w:sz w:val="28"/>
          <w:sz w:val="28"/>
          <w:szCs w:val="28"/>
          <w:rtl w:val="true"/>
          <w:lang w:bidi="ar-SA"/>
        </w:rPr>
        <w:t>وليس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الفضائل، وجعفر الطيّار الشهيد أفضل من أخيه الإمام، من جهة أنّ له أخاً كالإمام، وليس للإمامأخٌ كأخي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تولّي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صغر السنّ فضيلة، وإن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من هذا القبيل، فالإمام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وابنه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 السنّ لابدّ له من تولّي الإمامة بعد أبيه، وقيامه مقامه؛ لأنّه 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مؤهّلات تولّي الأمر في حال صغرهم وكبرهم سواء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نبوّة عيسى ويحيى في صغرهما وكونهما صبيَّين لا يدلّ على أفضليّتهما من غيرهما من الأنبياء؛ لأنّ نبوّتهما في حال الصغر ليس لأنّهما استأهلا لذلك وغيرهما ممّن صار نبيّاً بعد ما بلغ أشُدَّه لم يستأهل لذلك في حال الصغر، بل ربّما ذلك كان لحكمة ومصلحة اقتضت ذلك فيهما، وتلك في غيرهما، فبقاء النبيّ في القوم أربعين سنة، وظهور صدقه وأمانته، ومكارم أخلاقه في الناس ربّما كان هي المصلحة الموجبة لتأخّر بعثه ومأموريته للدعوة إلى الله تعالى، كما ربّما يكون ذلك لحصول الاستعداد اللازم في الناس لقبول الإسلام، وغير ذلك من المصالح الّتي لا يعلمها إلّا الله والراسخون في العلم اللهُ أَعْلَمُ حَيْثُ يَجْعَلُ رِسَالَتَهُ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9" w:name="pg7441_93883"/>
    </w:p>
    <w:p>
      <w:pPr>
        <w:pStyle w:val="Heading2"/>
        <w:numPr>
          <w:ilvl w:val="1"/>
          <w:numId w:val="1"/>
        </w:numPr>
        <w:rPr/>
      </w:pPr>
      <w:bookmarkStart w:id="40" w:name="__RefHeading___Toc1885647_1051229030"/>
      <w:bookmarkStart w:id="41" w:name="_Toc14"/>
      <w:bookmarkEnd w:id="39"/>
      <w:bookmarkEnd w:id="40"/>
      <w:r>
        <w:rPr>
          <w:rtl w:val="true"/>
        </w:rPr>
        <w:t>المبحث الثالث في اختلاف مستويات الأئمّة</w:t>
      </w:r>
      <w:r>
        <w:rPr>
          <w:rtl w:val="true"/>
        </w:rPr>
        <w:t>(</w:t>
      </w:r>
      <w:r>
        <w:rPr>
          <w:rtl w:val="true"/>
        </w:rPr>
        <w:t>علیهم السلام</w:t>
      </w:r>
      <w:r>
        <w:rPr>
          <w:rtl w:val="true"/>
        </w:rPr>
        <w:t xml:space="preserve">) </w:t>
      </w:r>
      <w:r>
        <w:rPr>
          <w:rtl w:val="true"/>
        </w:rPr>
        <w:t>في الإيمان والعلم والأخلاق</w:t>
      </w:r>
      <w:bookmarkEnd w:id="41"/>
    </w:p>
    <w:p>
      <w:pPr>
        <w:pStyle w:val="BookText"/>
        <w:rPr/>
      </w:pPr>
      <w:r>
        <w:rPr>
          <w:rFonts w:ascii="IRNazanin" w:hAnsi="IRNazanin" w:eastAsia="IRNazanin"/>
          <w:color w:val="111111"/>
          <w:sz w:val="28"/>
          <w:sz w:val="28"/>
          <w:szCs w:val="28"/>
          <w:rtl w:val="true"/>
          <w:lang w:bidi="fa-IR"/>
        </w:rPr>
        <w:t xml:space="preserve">قال السائل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في سداده ورشاده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يمكننا درء الشبهة القائلة باختلاف مستويات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وعلماً وخُلُقاً؟ وذلك باعتبار ما يرويه لنا التاريخ من سيرهم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المراد من المستويات مقوّمات الأهلية للإمامة، وتولّي الزعامة والقيادة، فكلّ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لتلك المرتبة، وإن كان المراد اختلاف مستوياتهم في الزائد على هذه المرتبة فالّذي دلّ عليه الدليل هو أفضلية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الأئمّة ومن الأنبياء السلف على نبيّنا وآله وعليهم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بعض الأحاديث أنّ مولانا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تاسع الأئمّة من 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الأحاديث </w:t>
      </w:r>
    </w:p>
    <w:p>
      <w:pPr>
        <w:pStyle w:val="BookText"/>
        <w:rPr/>
      </w:pPr>
      <w:r>
        <w:rPr>
          <w:rFonts w:ascii="Amiri" w:hAnsi="Amiri" w:eastAsia="Amiri" w:cs="Amiri"/>
          <w:color w:val="111111"/>
          <w:sz w:val="28"/>
          <w:sz w:val="28"/>
          <w:szCs w:val="28"/>
          <w:rtl w:val="true"/>
          <w:lang w:bidi="ar-SA"/>
        </w:rPr>
        <w:t>الكثيرة الّتي دلّت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عيسى بن مريم وعيسى يقتدي به صريحةٌ في أفضليّته من عيسى على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سيرهم التاريخية دلّت على اختلاف مستوياتهم،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سيرهم التاريخية إنّما دلّت على علوِّ مستوى أرباب هذه السيرة، ولم نجد فيها ما يدلّ على اختلاف مستوياتهم، ومجرّد عدم حفظ التاريخ سيرة بعضهم، وما صدر عنه من العلوم لا يدلّ على أنّ مستوى غيره ممّن حفظ عنه التاريخ ذلك كان أرفع وأعلى منه، لاسيّما مع ما نعلم بأنّ السبب الوحيد في عدم حفظ ما صدر عن بعض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الإمامين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إلّاالنزر اليسير، هو السياسات الغاشمة الجبّارة الحاكمة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أن تعرف أفاعيل السياسة في ذلك، والخسارات العلمية الّتي منيت بها هذه الاُمّة من أرباب هذه السياسات، الّتي حرمت الناس حرّيّاتهم في أخذ العلوم الإسلامية من منابعها الأصلية ومصادرها الأوّلية راجع كتب التاريخ، وكتاب النصائح الكافية، وكتابنا أمان الاُمّة من الضلال والاختلاف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مرّت على هذه الاُمّة أزمنة كان أخذ العلم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وروايته من أعظم الجرائم السياسية، يُعذَّب مُحِبُّوهم وشيعتهم شرَّ تعذيب، ويُنكَّل بهم أشدّ التنكيل، يُقطِّعون أيديهم وألسنتهم، ويقتلونهم شرّ قتلة، ويسبّون بطل الإسلام ونفس الرسول وباب علمه وخليفته ووصيّه على المنابر الّتي لم تقم في الإسلام إلّا بمجاهداته وتضحياته وبطولاته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هذه الظروف والأحوال لم تسمح الفرص لبعض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ببثِّ العلم كما سمحت للبعض الآخر مثل الإمام الباقر والإمام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فما في أيدينا منهم يكفي في الدلالة على علومهم اللدُنِّية، وأنّ مستوى كلّ واحد منهم في الإيمان والعلم والأخلاق أعلى المستويات، وأنّهم خُزّان العلم، ومعادن الإيمان، وينابيع الحكم، وكنوز الرحمن، إليهم يفيء الغالي، وبهم يلحق التالي، وعلم كلّ واحد منهم علم الجميع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العلم منه جماعة يربو عددهم على أربعة آلاف رجل، حتّى أنّ الحافظ الشهير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في أسماء الرجال الّذين رووا عنه أربعة آلاف رجل، وأخرج لكلّ رجل حديثاً وعلماً رواه عن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أيضاً كتاب من روى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من روى عن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من روى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من روى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قال في مجلس مناظرة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يجيب بثلاثمائة ألف حديث من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سَبر غور كتب الحديث، واُصول الشيعة، وكتب التراجم والرجال، وما بقي ممّا صدر عنهم في الأجواء المملوءة بالاضطهاد والضغط والقمع، في جميع حاجات الإنسان المعنوية والماديّة يعرف أنّ مستواهم في جميع الكمالات أعلى وأنبل من أن يُقاس إليهم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تعالى من شيعتهم، ووفّقنا لمتابعتهم، والاقتداء بهم، والمنتظرين لفرج قائمهم،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السابع عشر من رجب المرجّب،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2" w:name="pg7441_93887"/>
    </w:p>
    <w:p>
      <w:pPr>
        <w:pStyle w:val="Heading2"/>
        <w:numPr>
          <w:ilvl w:val="1"/>
          <w:numId w:val="1"/>
        </w:numPr>
        <w:rPr/>
      </w:pPr>
      <w:bookmarkStart w:id="43" w:name="__RefHeading___Toc1885649_1051229030"/>
      <w:bookmarkStart w:id="44" w:name="_Toc15"/>
      <w:bookmarkEnd w:id="42"/>
      <w:bookmarkEnd w:id="43"/>
      <w:r>
        <w:rPr>
          <w:rtl w:val="true"/>
        </w:rPr>
        <w:t>مصادر التحقیق</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الأمين العاملي،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التعارف،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الألفين في إمامة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العلّامه الحلّي،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الکويت، مکتبة الألفين،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البهيّة في تواريخ الحجج الإلهية، المحدّث 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البحراني، السيّد هاشم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مؤسّسة البعثة،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في فضائل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الصفار،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موسّسة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تجريد الاعتقاد، الخواجة نصير الدين الطوسي، محمد بن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تخمیس قصيدة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للبوصیري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الأعرجي، السیّد حسن،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تراثنا،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الإمامية، 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الصافي، الفيض الکاشاني، محسن بن مرتضی</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القمّي،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إسماعيليان،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السيّد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حضارة الإسلام، الأفغاني، محمد سعيد، دمشق،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في معرفة اُصول الدين، شبّر، السيّد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أنوار الهدی،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قطب الدین الراوندي،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الوحي المبين، ابن البطريق، يحيی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الکريم،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التفسير بالمأثور، السيوطي،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وروح الجنان في تفسير القرآن، أبو الفتوح الرازي،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المشهد، آستان القدس الرضوي،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السالکين في شرح صحيفة سيّد الساجدين، المدني الشيرازي، السيّد عليّ خان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في سيرة خير العباد، الصالحي الشامي،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سنن ابن ماجة، ابن ماجة القزويني،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الترمذي، الترمذي،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البيهقي،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النسائي، أحمد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النسائي، 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المغربي، قاضي نعمان بن محمد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الأسماء الحسنی، السبزواري، ملّا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الحاکم الحسکانی، عبيد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الحيدریة،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عوالي اللئالي العزيزية في الأحاديث الدينية، ابن أبی جمهور الأحسائي،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في شرح تجريد الاعتقاد، العلّامة الحلّي،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الإلهية في المباحث الکلامية، الفاضل المقداد، مقداد بن عبد الله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الطبرسي، 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منشورات ناصر خسرو،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مستدرﻙ الوسائل ومستنبط المسائل، المحدّث النوري، ميرزا 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الصحيحين، الحاکم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يعلی الموصلي، أبو يعلی الموصلي، إسماعيل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الراغب الأصفهاني،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الطبرسي،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الحيدرية،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الکوفي،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إحياء الثقافة الإسلامية،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مسند عبد بن حميد،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النهضة العربیة،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الاعتقادیة،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تحقيق وشرح محمد عبده، بيروت،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إلی تحصيل مسائل الشريعة،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441_93895"/>
      <w:bookmarkStart w:id="46" w:name="pg7441_93895"/>
      <w:bookmarkEnd w:id="46"/>
    </w:p>
    <w:p>
      <w:pPr>
        <w:pStyle w:val="Heading2"/>
        <w:numPr>
          <w:ilvl w:val="1"/>
          <w:numId w:val="1"/>
        </w:numPr>
        <w:rPr/>
      </w:pPr>
      <w:bookmarkStart w:id="47" w:name="pg7441_93895"/>
      <w:bookmarkStart w:id="48" w:name="__RefHeading___Toc1885651_1051229030"/>
      <w:bookmarkStart w:id="49" w:name="_Toc16"/>
      <w:bookmarkEnd w:id="47"/>
      <w:bookmarkEnd w:id="48"/>
      <w:r>
        <w:rPr>
          <w:rtl w:val="true"/>
        </w:rPr>
        <w:t>الفهرس</w:t>
      </w:r>
      <w:bookmarkEnd w:id="4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نصّ الرسالة وأسئلتها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جواب آية الله الصافي الگپایگاني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أنواع العصمة؟ وما هو النوع الّذي یجب أن یکون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الّتي تقام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الدلائل العقلية على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عصمتهم من مصادر التشريع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اختلاف مستويات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الإيمان والعلم والأخلاق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441_93897"/>
      <w:bookmarkStart w:id="51" w:name="pg7441_93897"/>
      <w:bookmarkEnd w:id="51"/>
    </w:p>
    <w:p>
      <w:pPr>
        <w:pStyle w:val="Heading2"/>
        <w:numPr>
          <w:ilvl w:val="1"/>
          <w:numId w:val="1"/>
        </w:numPr>
        <w:rPr/>
      </w:pPr>
      <w:bookmarkStart w:id="52" w:name="pg7441_93897"/>
      <w:bookmarkStart w:id="53" w:name="__RefHeading___Toc1885653_1051229030"/>
      <w:bookmarkStart w:id="54" w:name="_Toc17"/>
      <w:bookmarkEnd w:id="52"/>
      <w:bookmarkEnd w:id="53"/>
      <w:r>
        <w:rPr>
          <w:rtl w:val="true"/>
        </w:rPr>
        <w:t>آثار سماحة آية الله العظمى الصافي الگلپايگاني مدّ ظلّه الوارف</w:t>
      </w:r>
      <w:bookmarkEnd w:id="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 اليقين،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الشيرازي، رياض السالكين،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الروضة السادسة عشرة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ألفاظ القرآن،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تصحيح اعتقادات الإمامیة،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النكت الاعتقادية،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الألفين،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البحث السابع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اللوامع الإلهية،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اللوامع الإلهية،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بطلان هذه المقالة؛ لأنّ القدرة على الطاعة لا تُحقَّق إلّا مع القدرة على تركها، والقدرة على ترك الطاعة هي القدرة على المعصية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اللوامع الإلهية،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اللوامع الإلهية،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اللوامع الإلهية،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أبو الفتوح الرازي، روض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الحويزي، تفسیر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فخر الرازي، التفسير الکبير،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البحراني،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تصديق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المرتضی، تنزيه الأنبياء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شرح الأسماء الحسنى،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الکاشاني،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السبزواري، شرح الأسماء 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نصير الدين الطوسي، تجريد الإعتقاد،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راجع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کشف المراد،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الأعرجي، تخميس قصيدة البردة،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الأمين العاملي، أعيان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المحدّث القمّي، الأنوار البهيّة،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القمّي، تفسير،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البيهقي، السنن الکبری،ج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الکليني،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البيهقي،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عمر بن الخطّاب قد دفن فيما روي ستّاً من بناته في الجاهلية، وإن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ليحفر لإحداهنّ الحفرة يريد أن يئدها فيها فيتخلّله غبار الحفر فتنفض البنت عن أبيها غباره، وتمشّط لحيته بأصابعها حناناً ورقّةً فلا يُلين ذلك من قلبه شيئاً، حتى إذا انتهى زجّها في قبرها وأهال التراب بين بكائها وعويلها واستنجادها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الاُستاذ محمد سعيد الأفغاني، مجلّة حضارة الإسلام، طبع دمشق،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ابن البطریق، خصائص الوحي المبين، الفصل</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السيوطي،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وغيرها من كتب أعلام الشيعة وأهل السنّة، ولابن البطريق هنا استدلال على أنّ الإيمان والتقوى لا ينفعان إلّا بعد الكون مع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أبو يعلی الموصلي، مسند،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النسائي، سنن،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النسائی،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الصدوق، من لا يحض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الطبرسي، مکارم الأخلاق،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عبد بن حميد في مسنده، 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كِتَابَ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وَعِتْرَتِي أَهْلَ بَيْتي، إِنَّهُمَا لَنْ يَفْتَرِقَا حَتَّی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منتخب مسند عبد بن حميد،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الأحاديث من أعلام العامّة ما يربو على المائة عن جمع من الصحابة، وألفاظها في بعض طرقها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الکوفي، 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المغربي، 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الحاکم النيسابوري،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ولفظها في بعض طرقها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مِنَ الْغَرَقِ، وأَهْلُ بَيْتي أَمَانٌ لِاُمَّتي مِنَ الْإِخْتِلَافِ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النيسابوري،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الصالحي الشامي،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في الكافي باباً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علم ما كان 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وأنّه لا يخفی عليهم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الکليني،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عقد باباً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جميع العلوم الّتي اُخرجت إلى الملائكة والأنبياء والرسل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الکليني،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مولانا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لَوْ شِئْتُ أَنْ اُخْبِرَ كُلَّ رَجُلٍ مِنْكُمْ بِمَخْرَجِهِ وَمَوْلِجِهِ وَجَمِيعِ شَأْنِهِ لَفَعَلْتُ، وَلَكِنْ أَخَافُ أَنْ تَكْفُرُوا فِيَّ بِرَسُولِ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وَإِنِّي مُفْضِيهِ إِلَى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مِمَّنْ يُؤْمَنُ ذَلِكَ مِنْهُ، وَالَّذِي بَعَثَهُ بِالْح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وَاصْطَفَاهُ عَلَى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مَا أَنْطِقُ إِلَّا صَادِقاً، وَقَدْ عَهِدَ إِلَيَّ بِذَلِكَ كُلِّهِ وَبِمَهْلِكِ مَنْ يَهْلِكُ وَمَنْجَى مَنْ يَنْجُو، وَمَآلِ هَذَا الْأَمْرِ، وَمَا أَبْقَى شَيْئاً يَمُرُّ عَلَى رَأْسِي إِلَّا أَفْرَغَهُ فِي أُذُنَيَّ وَأَفْضَ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بِهِ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فَاسْأَلُونِي قَبْلَ أَنْ تَفْقِدُونِي فَوَ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وَيَمُوتُ مِنْهُمْ 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9927</Words>
  <Characters>47466</Characters>
  <CharactersWithSpaces>56960</CharactersWithSpaces>
  <Paragraphs>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2026-08-27T09:32:26Z</dcterms:created>
  <dc:creator>ghaemiyeh.com</dc:creator>
  <dc:description/>
  <dc:language>en-US</dc:language>
  <cp:lastModifiedBy/>
  <dcterms:modified xsi:type="dcterms:W3CDTF">2026-08-27T13:02:29Z</dcterms:modified>
  <cp:revision>1</cp:revision>
  <dc:subject/>
  <dc:title>عصمه الانبیاء والایمه علیهم السلام</dc:title>
</cp:coreProperties>
</file>

<file path=docProps/custom.xml><?xml version="1.0" encoding="utf-8"?>
<Properties xmlns="http://schemas.openxmlformats.org/officeDocument/2006/custom-properties" xmlns:vt="http://schemas.openxmlformats.org/officeDocument/2006/docPropsVTypes"/>
</file>