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گاطع حجیة الاستخارة فی العقائد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29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830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8302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478304_1051229030">
            <w:r>
              <w:rPr>
                <w:webHidden/>
                <w:rStyle w:val="IndexLink"/>
                <w:rtl w:val="true"/>
              </w:rPr>
              <w:t>الدليل الأوَّل</w:t>
            </w:r>
            <w:r>
              <w:rPr>
                <w:rStyle w:val="IndexLink"/>
                <w:rtl w:val="true"/>
              </w:rPr>
              <w:t xml:space="preserve">: </w:t>
            </w:r>
            <w:r>
              <w:rPr>
                <w:rStyle w:val="IndexLink"/>
                <w:rtl w:val="true"/>
              </w:rPr>
              <w:t>رواية صفوان بن يحيى</w:t>
            </w:r>
            <w:r>
              <w:rPr>
                <w:rStyle w:val="IndexLink"/>
                <w:rtl w:val="true"/>
              </w:rPr>
              <w:t>:</w:t>
              <w:tab/>
            </w:r>
            <w:r>
              <w:rPr>
                <w:rStyle w:val="IndexLink"/>
              </w:rPr>
              <w:t>8</w:t>
            </w:r>
          </w:hyperlink>
        </w:p>
        <w:p>
          <w:pPr>
            <w:pStyle w:val="Contents2"/>
            <w:tabs>
              <w:tab w:val="clear" w:pos="8743"/>
              <w:tab w:val="right" w:pos="9026" w:leader="dot"/>
            </w:tabs>
            <w:rPr/>
          </w:pPr>
          <w:hyperlink w:anchor="__RefHeading___Toc478306_1051229030">
            <w:r>
              <w:rPr>
                <w:webHidden/>
                <w:rStyle w:val="IndexLink"/>
                <w:rtl w:val="true"/>
              </w:rPr>
              <w:t>الدليل الثاني</w:t>
            </w:r>
            <w:r>
              <w:rPr>
                <w:rStyle w:val="IndexLink"/>
                <w:rtl w:val="true"/>
              </w:rPr>
              <w:t xml:space="preserve">: </w:t>
            </w:r>
            <w:r>
              <w:rPr>
                <w:rStyle w:val="IndexLink"/>
                <w:rtl w:val="true"/>
              </w:rPr>
              <w:t>رواية سليمان بن بلال</w:t>
            </w:r>
            <w:r>
              <w:rPr>
                <w:rStyle w:val="IndexLink"/>
                <w:rtl w:val="true"/>
              </w:rPr>
              <w:t>:</w:t>
              <w:tab/>
            </w:r>
            <w:r>
              <w:rPr>
                <w:rStyle w:val="IndexLink"/>
              </w:rPr>
              <w:t>9</w:t>
            </w:r>
          </w:hyperlink>
        </w:p>
        <w:p>
          <w:pPr>
            <w:pStyle w:val="Contents2"/>
            <w:tabs>
              <w:tab w:val="clear" w:pos="8743"/>
              <w:tab w:val="right" w:pos="9026" w:leader="dot"/>
            </w:tabs>
            <w:rPr/>
          </w:pPr>
          <w:hyperlink w:anchor="__RefHeading___Toc478308_1051229030">
            <w:r>
              <w:rPr>
                <w:webHidden/>
                <w:rStyle w:val="IndexLink"/>
                <w:rtl w:val="true"/>
              </w:rPr>
              <w:t>الدليل الثالث</w:t>
            </w:r>
            <w:r>
              <w:rPr>
                <w:rStyle w:val="IndexLink"/>
                <w:rtl w:val="true"/>
              </w:rPr>
              <w:t xml:space="preserve">: </w:t>
            </w:r>
            <w:r>
              <w:rPr>
                <w:rStyle w:val="IndexLink"/>
                <w:rtl w:val="true"/>
              </w:rPr>
              <w:t>عمومات رجحان الاستخارة</w:t>
            </w:r>
            <w:r>
              <w:rPr>
                <w:rStyle w:val="IndexLink"/>
                <w:rtl w:val="true"/>
              </w:rPr>
              <w:t>:</w:t>
              <w:tab/>
            </w:r>
            <w:r>
              <w:rPr>
                <w:rStyle w:val="IndexLink"/>
              </w:rPr>
              <w:t>10</w:t>
            </w:r>
          </w:hyperlink>
        </w:p>
        <w:p>
          <w:pPr>
            <w:pStyle w:val="Contents2"/>
            <w:tabs>
              <w:tab w:val="clear" w:pos="8743"/>
              <w:tab w:val="right" w:pos="9026" w:leader="dot"/>
            </w:tabs>
            <w:rPr/>
          </w:pPr>
          <w:hyperlink w:anchor="__RefHeading___Toc478310_1051229030">
            <w:r>
              <w:rPr>
                <w:webHidden/>
                <w:rStyle w:val="IndexLink"/>
                <w:rtl w:val="true"/>
              </w:rPr>
              <w:t>مناقشة الأدلَّة الثلاثة</w:t>
            </w:r>
            <w:r>
              <w:rPr>
                <w:rStyle w:val="IndexLink"/>
                <w:rtl w:val="true"/>
              </w:rPr>
              <w:t>:</w:t>
              <w:tab/>
            </w:r>
            <w:r>
              <w:rPr>
                <w:rStyle w:val="IndexLink"/>
              </w:rPr>
              <w:t>10</w:t>
            </w:r>
          </w:hyperlink>
        </w:p>
        <w:p>
          <w:pPr>
            <w:pStyle w:val="Contents3"/>
            <w:tabs>
              <w:tab w:val="clear" w:pos="8459"/>
              <w:tab w:val="right" w:pos="9026" w:leader="dot"/>
            </w:tabs>
            <w:rPr/>
          </w:pPr>
          <w:hyperlink w:anchor="__RefHeading___Toc478312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78314_1051229030">
            <w:r>
              <w:rPr>
                <w:webHidden/>
                <w:rStyle w:val="IndexLink"/>
                <w:rtl w:val="true"/>
              </w:rPr>
              <w:t>الملاحظة الأُولى</w:t>
            </w:r>
            <w:r>
              <w:rPr>
                <w:rStyle w:val="IndexLink"/>
                <w:rtl w:val="true"/>
              </w:rPr>
              <w:t xml:space="preserve">: </w:t>
            </w:r>
            <w:r>
              <w:rPr>
                <w:rStyle w:val="IndexLink"/>
                <w:rtl w:val="true"/>
              </w:rPr>
              <w:t>تفرّد الشيخ الطوسي بنقلها</w:t>
            </w:r>
            <w:r>
              <w:rPr>
                <w:rStyle w:val="IndexLink"/>
                <w:rtl w:val="true"/>
              </w:rPr>
              <w:t>:</w:t>
              <w:tab/>
            </w:r>
            <w:r>
              <w:rPr>
                <w:rStyle w:val="IndexLink"/>
              </w:rPr>
              <w:t>10</w:t>
            </w:r>
          </w:hyperlink>
        </w:p>
        <w:p>
          <w:pPr>
            <w:pStyle w:val="Contents3"/>
            <w:tabs>
              <w:tab w:val="clear" w:pos="8459"/>
              <w:tab w:val="right" w:pos="9026" w:leader="dot"/>
            </w:tabs>
            <w:rPr/>
          </w:pPr>
          <w:hyperlink w:anchor="__RefHeading___Toc478316_1051229030">
            <w:r>
              <w:rPr>
                <w:webHidden/>
                <w:rStyle w:val="IndexLink"/>
                <w:rtl w:val="true"/>
              </w:rPr>
              <w:t>الملاحظة الثانية</w:t>
            </w:r>
            <w:r>
              <w:rPr>
                <w:rStyle w:val="IndexLink"/>
                <w:rtl w:val="true"/>
              </w:rPr>
              <w:t xml:space="preserve">: </w:t>
            </w:r>
            <w:r>
              <w:rPr>
                <w:rStyle w:val="IndexLink"/>
                <w:rtl w:val="true"/>
              </w:rPr>
              <w:t>جهالة علي بن معاذ</w:t>
            </w:r>
            <w:r>
              <w:rPr>
                <w:rStyle w:val="IndexLink"/>
                <w:rtl w:val="true"/>
              </w:rPr>
              <w:t>:</w:t>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5_60057"/>
      <w:bookmarkStart w:id="1" w:name="pg7265_60057"/>
      <w:bookmarkEnd w:id="1"/>
    </w:p>
    <w:p>
      <w:pPr>
        <w:pStyle w:val="Heading2"/>
        <w:numPr>
          <w:ilvl w:val="1"/>
          <w:numId w:val="1"/>
        </w:numPr>
        <w:rPr/>
      </w:pPr>
      <w:bookmarkStart w:id="2" w:name="pg7265_60057"/>
      <w:bookmarkStart w:id="3" w:name="__RefHeading___Toc47829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على ابن گاطع</w:t>
      </w:r>
    </w:p>
    <w:p>
      <w:pPr>
        <w:pStyle w:val="BookText"/>
        <w:rPr/>
      </w:pPr>
      <w:r>
        <w:rPr>
          <w:rFonts w:ascii="Amiri" w:hAnsi="Amiri" w:eastAsia="Amiri" w:cs="Amiri"/>
          <w:color w:val="111111"/>
          <w:sz w:val="28"/>
          <w:sz w:val="28"/>
          <w:szCs w:val="28"/>
          <w:rtl w:val="true"/>
          <w:lang w:bidi="ar-SA"/>
        </w:rPr>
        <w:t>حجّية الاستخارة</w:t>
      </w:r>
    </w:p>
    <w:p>
      <w:pPr>
        <w:pStyle w:val="BookText"/>
        <w:rPr/>
      </w:pPr>
      <w:r>
        <w:rPr>
          <w:rFonts w:ascii="Amiri" w:hAnsi="Amiri" w:eastAsia="Amiri" w:cs="Amiri"/>
          <w:color w:val="111111"/>
          <w:sz w:val="28"/>
          <w:sz w:val="28"/>
          <w:szCs w:val="28"/>
          <w:rtl w:val="true"/>
          <w:lang w:bidi="ar-SA"/>
        </w:rPr>
        <w:t>في العقائد</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30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حجّية الاستخارة في العقائد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65_6006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78302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كثر الحديث عن المدعو أحمد إسماعيل گاطع وما جاء به من دعاوى وأكاذيب وصلت إلى أكثر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ما أنزل الله بها من سلطان رأى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كتبه وكتب أصحابه خير شاهد على ما نقول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هذا الكرّاس</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على ابن گاطع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65_60065"/>
    </w:p>
    <w:p>
      <w:pPr>
        <w:pStyle w:val="BookText"/>
        <w:rPr/>
      </w:pPr>
      <w:bookmarkEnd w:id="10"/>
      <w:r>
        <w:rPr>
          <w:rFonts w:ascii="Amiri" w:hAnsi="Amiri" w:eastAsia="Amiri" w:cs="Amiri"/>
          <w:color w:val="111111"/>
          <w:sz w:val="28"/>
          <w:sz w:val="28"/>
          <w:szCs w:val="28"/>
          <w:rtl w:val="true"/>
          <w:lang w:bidi="ar-SA"/>
        </w:rPr>
        <w:t>استند أدعياء المهدوية إلى الاستخارة كطريق ثانٍ لإثبات إمامة المدعو أحمد بن إسماعيل، وقد تشبَّثوا لإثبات حجّية الاستخارة، بأدلَّة ثلاثة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78304_1051229030"/>
      <w:bookmarkStart w:id="12" w:name="_Toc4"/>
      <w:bookmarkEnd w:id="11"/>
      <w:r>
        <w:rPr>
          <w:rtl w:val="true"/>
        </w:rPr>
        <w:t>الدليل الأوَّل</w:t>
      </w:r>
      <w:r>
        <w:rPr>
          <w:rtl w:val="true"/>
        </w:rPr>
        <w:t xml:space="preserve">: </w:t>
      </w:r>
      <w:r>
        <w:rPr>
          <w:rtl w:val="true"/>
        </w:rPr>
        <w:t>رواية صفوان بن يحيى</w:t>
      </w:r>
      <w:r>
        <w:rPr>
          <w:rtl w:val="true"/>
        </w:rPr>
        <w:t>:</w:t>
      </w:r>
      <w:bookmarkEnd w:id="12"/>
    </w:p>
    <w:p>
      <w:pPr>
        <w:pStyle w:val="BookText"/>
        <w:rPr/>
      </w:pPr>
      <w:r>
        <w:rPr>
          <w:rFonts w:ascii="Amiri" w:hAnsi="Amiri" w:eastAsia="Amiri" w:cs="Amiri"/>
          <w:color w:val="111111"/>
          <w:sz w:val="28"/>
          <w:sz w:val="28"/>
          <w:szCs w:val="28"/>
          <w:rtl w:val="true"/>
          <w:lang w:bidi="ar-SA"/>
        </w:rPr>
        <w:t xml:space="preserve">وهي التي 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عن علي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ودعوت الله واستخرت عليه وقطعت عليه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الإستدلال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صفوان بن يحيى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أحد أعلام مدرسة أهل البيت في زمانه، وأحد تلامذة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قد أثبت أنَّ الإمامة في سيّدنا </w:t>
      </w:r>
      <w:bookmarkStart w:id="13" w:name="pg7265_60067"/>
    </w:p>
    <w:p>
      <w:pPr>
        <w:pStyle w:val="BookText"/>
        <w:rPr/>
      </w:pPr>
      <w:bookmarkEnd w:id="13"/>
      <w:r>
        <w:rPr>
          <w:rFonts w:ascii="IRNazanin" w:hAnsi="IRNazanin" w:eastAsia="IRNazanin"/>
          <w:color w:val="111111"/>
          <w:sz w:val="28"/>
          <w:sz w:val="28"/>
          <w:szCs w:val="28"/>
          <w:rtl w:val="true"/>
          <w:lang w:bidi="fa-IR"/>
        </w:rPr>
        <w:t xml:space="preserve">ومولانا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بالاستخارة، فدلَّ ذلك على حجّية الاستخارة وتحصيلها لليقين، إذ من البعيد جدَّاً في حقِّ مثل صفوان بن يحيى أن يستند إلى الاستخارة من تلقاء نفسه، ومن غير الاستناد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4" w:name="__RefHeading___Toc478306_1051229030"/>
      <w:bookmarkStart w:id="15" w:name="_Toc5"/>
      <w:bookmarkEnd w:id="14"/>
      <w:r>
        <w:rPr>
          <w:rtl w:val="true"/>
        </w:rPr>
        <w:t>الدليل الثاني</w:t>
      </w:r>
      <w:r>
        <w:rPr>
          <w:rtl w:val="true"/>
        </w:rPr>
        <w:t xml:space="preserve">: </w:t>
      </w:r>
      <w:r>
        <w:rPr>
          <w:rtl w:val="true"/>
        </w:rPr>
        <w:t>رواية سليمان بن بلال</w:t>
      </w:r>
      <w:r>
        <w:rPr>
          <w:rtl w:val="true"/>
        </w:rPr>
        <w:t>:</w:t>
      </w:r>
      <w:bookmarkEnd w:id="15"/>
    </w:p>
    <w:p>
      <w:pPr>
        <w:pStyle w:val="BookText"/>
        <w:rPr/>
      </w:pPr>
      <w:r>
        <w:rPr>
          <w:rFonts w:ascii="IRNazanin" w:hAnsi="IRNazanin" w:eastAsia="IRNazanin"/>
          <w:color w:val="111111"/>
          <w:sz w:val="28"/>
          <w:sz w:val="28"/>
          <w:szCs w:val="28"/>
          <w:rtl w:val="true"/>
          <w:lang w:bidi="fa-IR"/>
        </w:rPr>
        <w:t xml:space="preserve">وقد رواها الشيخ النعماني في الغيبة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متحدِّثاً عن صفات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مطوَّلة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أوسعكم كهفاً، وأكثركم علماً، وأوصلكم رحماً، اللّهمّ فاجعل بعثه خروجاً من الغمَّة، واجمع به شمل الأُمَّة، فإن خار الله لك فاعزم، ولا تنثن عنه إن وُفِّقت له، ولا تجوزنَّ عنه إن هُديت إليه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 الاستخارة طريقاً من طرق إثبات الإمامة، إذ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خار الله لك فاعزم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ذلك</w:t>
      </w:r>
      <w:r>
        <w:rPr>
          <w:rFonts w:eastAsia="IRNazanin" w:cs="IRNazanin"/>
          <w:color w:val="111111"/>
          <w:sz w:val="28"/>
          <w:szCs w:val="28"/>
          <w:rtl w:val="true"/>
          <w:lang w:bidi="fa-IR"/>
        </w:rPr>
        <w:t xml:space="preserve">. </w:t>
      </w:r>
      <w:bookmarkStart w:id="16" w:name="pg7265_60069"/>
    </w:p>
    <w:p>
      <w:pPr>
        <w:pStyle w:val="Heading2"/>
        <w:numPr>
          <w:ilvl w:val="1"/>
          <w:numId w:val="1"/>
        </w:numPr>
        <w:rPr/>
      </w:pPr>
      <w:bookmarkStart w:id="17" w:name="__RefHeading___Toc478308_1051229030"/>
      <w:bookmarkStart w:id="18" w:name="_Toc6"/>
      <w:bookmarkEnd w:id="16"/>
      <w:bookmarkEnd w:id="17"/>
      <w:r>
        <w:rPr>
          <w:rtl w:val="true"/>
        </w:rPr>
        <w:t>الدليل الثالث</w:t>
      </w:r>
      <w:r>
        <w:rPr>
          <w:rtl w:val="true"/>
        </w:rPr>
        <w:t xml:space="preserve">: </w:t>
      </w:r>
      <w:r>
        <w:rPr>
          <w:rtl w:val="true"/>
        </w:rPr>
        <w:t>عمومات رجحان الاستخارة</w:t>
      </w:r>
      <w:r>
        <w:rPr>
          <w:rtl w:val="true"/>
        </w:rPr>
        <w:t>:</w:t>
      </w:r>
      <w:bookmarkEnd w:id="18"/>
    </w:p>
    <w:p>
      <w:pPr>
        <w:pStyle w:val="BookText"/>
        <w:rPr/>
      </w:pPr>
      <w:r>
        <w:rPr>
          <w:rFonts w:ascii="IRNazanin" w:hAnsi="IRNazanin" w:eastAsia="IRNazanin"/>
          <w:color w:val="111111"/>
          <w:sz w:val="28"/>
          <w:sz w:val="28"/>
          <w:szCs w:val="28"/>
          <w:rtl w:val="true"/>
          <w:lang w:bidi="fa-IR"/>
        </w:rPr>
        <w:t xml:space="preserve">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استخار الله مسلم إلَّا خار له البتَّة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إذا استخرت الله على أيِّ طريق وقعت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الروايات وأمثالها الكثير تدلُّ على محبوبية الاستخارة، وأنَّ الإنسان إذا استخار الله فإنَّه يريه الخير، وإمامة أحمد الحسن لا تخرج عن هذا العموم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78310_1051229030"/>
      <w:bookmarkStart w:id="20" w:name="_Toc7"/>
      <w:bookmarkEnd w:id="19"/>
      <w:r>
        <w:rPr>
          <w:rtl w:val="true"/>
        </w:rPr>
        <w:t>مناقشة الأدلَّة الثلاثة</w:t>
      </w:r>
      <w:r>
        <w:rPr>
          <w:rtl w:val="true"/>
        </w:rPr>
        <w:t>:</w:t>
      </w:r>
      <w:bookmarkEnd w:id="20"/>
    </w:p>
    <w:p>
      <w:pPr>
        <w:pStyle w:val="Heading3"/>
        <w:numPr>
          <w:ilvl w:val="2"/>
          <w:numId w:val="1"/>
        </w:numPr>
        <w:rPr/>
      </w:pPr>
      <w:bookmarkStart w:id="21" w:name="__RefHeading___Toc478312_105122903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أمَّا رواية صفوان بن يحيى، فترد عليها ثلاثملاحظات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78314_1051229030"/>
      <w:bookmarkStart w:id="24" w:name="_Toc9"/>
      <w:bookmarkEnd w:id="23"/>
      <w:r>
        <w:rPr>
          <w:rtl w:val="true"/>
        </w:rPr>
        <w:t>الملاحظة الأُولى</w:t>
      </w:r>
      <w:r>
        <w:rPr>
          <w:rtl w:val="true"/>
        </w:rPr>
        <w:t xml:space="preserve">: </w:t>
      </w:r>
      <w:r>
        <w:rPr>
          <w:rtl w:val="true"/>
        </w:rPr>
        <w:t>تفرّد الشيخ الطوسي بنقلها</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لم ينقلها أحدٌ من الأعلام والمحدِّثين </w:t>
      </w:r>
    </w:p>
    <w:p>
      <w:pPr>
        <w:pStyle w:val="BookText"/>
        <w:rPr/>
      </w:pPr>
      <w:r>
        <w:rPr>
          <w:rFonts w:ascii="Amiri" w:hAnsi="Amiri" w:eastAsia="Amiri" w:cs="Amiri"/>
          <w:color w:val="111111"/>
          <w:sz w:val="28"/>
          <w:sz w:val="28"/>
          <w:szCs w:val="28"/>
          <w:rtl w:val="true"/>
          <w:lang w:bidi="ar-SA"/>
        </w:rPr>
        <w:t xml:space="preserve">سوى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وتفرّد الشيخ بنقلها ليس إشكالاً في حدِّ ذاته، فكم لذلك من نظير، ولكن الإشكال بلحاظ التالي، فإنَّ علَّة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كان في صدد مناقشة ما يدَّعيه الواقفة من أنَّ الإمام الغائب والخاتم هو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ترويه الواقفة فكلّها أخبار آحاد لا يعضدها حجَّة، ولا يمكن ادِّعاء العلم بصحَّتها، ومع هذا فالرواة لها مطعون عليهم، لا يوثق بقولهم ورواياتهم، وبعد هذا كلّه فهي متأوَّلة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جملاً ممَّا رووه ونُبيِّن القول فيها، فمن ذلك أخبار ذكرها أبو محمّد علي بن أحمد العلوي الموسوي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الواقفة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المدعو علي بن أحمد العلوي الموسوي قد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الكتاب واضح من عنوان، فتصدَّى شيخ </w:t>
      </w:r>
    </w:p>
    <w:p>
      <w:pPr>
        <w:pStyle w:val="BookText"/>
        <w:rPr/>
      </w:pPr>
      <w:r>
        <w:rPr>
          <w:rFonts w:ascii="Amiri" w:hAnsi="Amiri" w:eastAsia="Amiri" w:cs="Amiri"/>
          <w:color w:val="111111"/>
          <w:sz w:val="28"/>
          <w:sz w:val="28"/>
          <w:szCs w:val="28"/>
          <w:rtl w:val="true"/>
          <w:lang w:bidi="ar-SA"/>
        </w:rPr>
        <w:t>الطائفة لنقضه وردّه وإبطال دعاواه، ونقل من كتابه مجموعة روايات لأجل ردّها وتزييفها، وإحداها هذه الرواية التي هي محلّ البحث والنقاش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العجيب جدَّاً استناد أدعياء المهدوية إلى هذه الرواية، مع كونها من متفرّدات الواقفة التي راموا بها الطعن في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وإثبات أنَّه لا نصَّ عليه، ولذا اضطرَّ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يلجأ إلى الاستخارة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وكيفما كان، فإنَّ هذه ليست أوَّلَ قارورة تُكسَ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الإسلام، والذي يهمّنا في المقام هو أن نُبيِّن موقف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هذه الرواية، ويمكننا تلخيصه في ثلاثة أُمور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 أنَّ هذه الرواية هي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لمؤلِّفه متقدِّم الذكر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شخص مجهول الحال، ولكن يُعلَم أنَّه كان من المتَّصلبين لمذهب الواقفة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وأنَّها رواية آحاد لا تعضدها حجَّة ولا يمكن ادِّعاء العلم بصحَّتها، والرواة لها مطعون عليهم لا يوثق بقولهم ولا رواياتهم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التسليم بصحَّة هذه الرواية، فإنَّها رواية متأوَّلة لا يُمكن الالتزام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ليس فيه أكثر من التشنيع على رجل بالتقليد، وإن صحَّ ذلك فليس فيه حجَّة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الرجل الذي ذكر ذلك عنه فوق هذه المنزلة لموضعه وفضله وزهده ودينه، فكيف يستحسن أن يقول لخصمه في مسألة علمية إنَّه قال فيها بالاستخارة، اللّهمّ إلَّا أن يعتقد فيه من البله والغفلة ما يُخرجه عن التكليف،فيسقط المعارضة لقوله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تعريض ما بعده تعريض بمن يستند إلى الاستخارة في إثبات الإمامة لأحد الأشخاص، وكيف جاز لأدعياء المهدوية أن يتمسَّكوا بما يكشف عن بلههم وغفلتهم إلى حدٍّ يُدخِلهم في دائرة المجانين؟</w:t>
      </w:r>
      <w:r>
        <w:rPr>
          <w:rFonts w:eastAsia="Amiri" w:cs="Amiri" w:ascii="Amiri" w:hAnsi="Amiri"/>
          <w:color w:val="111111"/>
          <w:sz w:val="28"/>
          <w:szCs w:val="28"/>
          <w:rtl w:val="true"/>
          <w:lang w:bidi="ar-SA"/>
        </w:rPr>
        <w:t xml:space="preserve">! </w:t>
      </w:r>
      <w:bookmarkStart w:id="25" w:name="pg7265_60077"/>
    </w:p>
    <w:p>
      <w:pPr>
        <w:pStyle w:val="BookText"/>
        <w:rPr/>
      </w:pPr>
      <w:bookmarkEnd w:id="25"/>
      <w:r>
        <w:rPr>
          <w:rFonts w:ascii="Amiri" w:hAnsi="Amiri" w:eastAsia="Amiri" w:cs="Amiri"/>
          <w:color w:val="111111"/>
          <w:sz w:val="28"/>
          <w:sz w:val="28"/>
          <w:szCs w:val="28"/>
          <w:rtl w:val="true"/>
          <w:lang w:bidi="ar-SA"/>
        </w:rPr>
        <w:t>فأين العقول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العفو والعافية، والسلامة في الدين والدنيا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78316_1051229030"/>
      <w:bookmarkStart w:id="27" w:name="_Toc10"/>
      <w:bookmarkEnd w:id="26"/>
      <w:r>
        <w:rPr>
          <w:rtl w:val="true"/>
        </w:rPr>
        <w:t>الملاحظة الثانية</w:t>
      </w:r>
      <w:r>
        <w:rPr>
          <w:rtl w:val="true"/>
        </w:rPr>
        <w:t xml:space="preserve">: </w:t>
      </w:r>
      <w:r>
        <w:rPr>
          <w:rtl w:val="true"/>
        </w:rPr>
        <w:t>جهالة علي بن معاذ</w:t>
      </w:r>
      <w:r>
        <w:rPr>
          <w:rtl w:val="true"/>
        </w:rPr>
        <w:t>:</w:t>
      </w:r>
      <w:bookmarkEnd w:id="27"/>
    </w:p>
    <w:p>
      <w:pPr>
        <w:pStyle w:val="BookText"/>
        <w:rPr/>
      </w:pPr>
      <w:r>
        <w:rPr>
          <w:rFonts w:ascii="Amiri" w:hAnsi="Amiri" w:eastAsia="Amiri" w:cs="Amiri"/>
          <w:color w:val="111111"/>
          <w:sz w:val="28"/>
          <w:sz w:val="28"/>
          <w:szCs w:val="28"/>
          <w:rtl w:val="true"/>
          <w:lang w:bidi="ar-SA"/>
        </w:rPr>
        <w:t>إذ الرواية منقولة عنه، وهو مجهول الحال، ولا أثر له في كتب الجرح والتعديل عند الخاصّة والعامّة، ولعلَّه من مختلقات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دلالة الرواية عن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حتَّى لو سلَّمنا مع هؤلاء بصحَّة الرواية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ودون إثبات ذلك خرط القتاد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وحكمنا بوثاقة علي بن معاذومحمّد العلوي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اللذين لا يُعلَم أصلهما وفصلهما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الرواية لا تُثبت مدَّعاهم، وإيضاح ذلك بالالتفات للتالي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مرويةً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عن أحد أصحابه، وأصحابهم مهما بلغوا من العلم والمعرفة فهم ليسوا بمعصومين، وقد يقع منهم الخطأ والاشتباه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يوجد شاهد من الرواية على كون فعل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ممضى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غاب عن هذا العالم الجليل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تلامذة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الاستخارة لا تنهض دليلاً لإثبات الإمامة لأحد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وقوع هذا من صفوان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ممَّا يمتنع إثباته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 هذه الرواية تتحدَّث عن أوَّل إمامةالرضا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تلمّذ صفوان على يديه، ولم يُحرَز أنَّه في تلك المرحلة كان ذا رتبة عالية في العلم والجلالة؛ إذ أنَّه وإن حُكي عن الكشّ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لم يرو إلَّا عن الإمامين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مبنيٌّ على كون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وفقيهاً منذ ذلك الوقت الذي استخار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هذه الرواية الباطلة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ولكن هذا لا دليل عليه، فهم مطالبون بإثبات ذلك، وقبله إثبات صحَّة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فنورد عليها ملاحظتين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هذه الرواية مشتمل على الأسماء التالية، وإليك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موسى بن هارون بن عيسى، وهو مجهول الحال، إذ لم يرد في حقِّه 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عبد الله بن مسلمة بن قعنب، والذي يُعبَّر عنهبالقعنبي، وهو تلميذ مالك إمام المالكية، بل هو الذي روى موطأ مالك عنه، ويوثِّقه أئمَّة العامّة</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لم يوثّقه أحد من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وأمَّا سليمان بن بلال فلم يوثّقه أحد من أعلامنا، إلَّا ابن داود، وفي توثيقات المتأخّرين كلام طويل، والحقّ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الدلاليَّة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الرواية لا تدلُّ على إثبات أنَّ الإمامة لأحد </w:t>
      </w:r>
    </w:p>
    <w:p>
      <w:pPr>
        <w:pStyle w:val="BookText"/>
        <w:rPr/>
      </w:pPr>
      <w:r>
        <w:rPr>
          <w:rFonts w:ascii="Amiri" w:hAnsi="Amiri" w:eastAsia="Amiri" w:cs="Amiri"/>
          <w:color w:val="111111"/>
          <w:sz w:val="28"/>
          <w:sz w:val="28"/>
          <w:szCs w:val="28"/>
          <w:rtl w:val="true"/>
          <w:lang w:bidi="ar-SA"/>
        </w:rPr>
        <w:t xml:space="preserve">الأشخاص يمكن أن يتمَّ عن طريق الاستخارة، إذ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مقام الدعاء بالخير للغير، وهي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الخير، وقد نصَّ اللغويون على ذلك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هذا الاستعمال كثيراً في كلمات العرب،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السيّدة ديلم لزوجها الشهيد زهير 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 الله لك، وأسألك أن تذكرني في القيامة عند 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الأسديين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أخبراه بمقتل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ووجداه مصمِّماً على المسير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الله لك</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فالرواية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أعطاك الله الخير وشرَّفك برؤية صاحب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فاعزم ولا تنثني عن إمامته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أجنبية عن مسألة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بالعمومات،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لازمه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التمسّك بالعمومات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تعطيل أحكام الله تعالى، وإبطال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تمسَّكنا بالعمومات المذكورة للزم إسقاط كثيرمن التقنينات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والقواعد الفقهية، بل إسقاط أبواب كاملة من الفقه الشريف،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باب القضاء، فإنَّه ما دامت عمومات الاستخارة سارية، فلا حاجة للحكم بالبيّنات والأيمان، والشدَّة والصرامة في تتبّع أدلَّة المتخاصمين، بل يكفي للقاضي أن يستخير وينهي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باب التقليد، فبعد حجّية عمومات الاستخارة لا تبقى حاجة للفحص عن المجتهد الأعلم، بل لا حاجة للفحص عن المجتهد أصلاً، إذ أصبح من الممكن اختيار المرجع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الحكم الشرعي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طريق الاستخارة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باب الطهارة، فإنَّ الكثير من أحكامه مبنيَّة على </w:t>
      </w:r>
    </w:p>
    <w:p>
      <w:pPr>
        <w:pStyle w:val="BookText"/>
        <w:rPr/>
      </w:pPr>
      <w:r>
        <w:rPr>
          <w:rFonts w:ascii="Amiri" w:hAnsi="Amiri" w:eastAsia="Amiri" w:cs="Amiri"/>
          <w:color w:val="111111"/>
          <w:sz w:val="28"/>
          <w:sz w:val="28"/>
          <w:szCs w:val="28"/>
          <w:rtl w:val="true"/>
          <w:lang w:bidi="ar-SA"/>
        </w:rPr>
        <w:t xml:space="preserve">ضوابط وقواعد معيَّنة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كأحكام الاستحاضة بأقسامها الثلاثة، والتي يتوقَّف جريانها على الفحص ومعرفة مستوى الدم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وما دامت عمومات الاستخارة حجَّة فهي تكفي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هو الحال في غير ذلك من المسائل المشكوكةوغير الواضحة الحال في مقام التطبيق، كمسائل الهلال، والأطعمة والأشربة، وشكوك الصلاة والصيام والحجّ، ومن الواضح أنَّ الالتزام بذلك ما هو إلَّا الهذيان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يدعونا للقول بأنَّ عمومات الاستخارة، وإن لم تكن مخصّصة تخصيصاً مصداقياً، إلَّا أنَّها مخصّصة تخصيصاً موردياً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الاستخارة مخصّصة تخصيصاً موردياً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التخصيص الموردي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 دليل عامّ إذا لزم من ثبوت عمومه إلغاء </w:t>
      </w:r>
    </w:p>
    <w:p>
      <w:pPr>
        <w:pStyle w:val="BookText"/>
        <w:rPr/>
      </w:pPr>
      <w:r>
        <w:rPr>
          <w:rFonts w:ascii="Amiri" w:hAnsi="Amiri" w:eastAsia="Amiri" w:cs="Amiri"/>
          <w:color w:val="111111"/>
          <w:sz w:val="28"/>
          <w:sz w:val="28"/>
          <w:szCs w:val="28"/>
          <w:rtl w:val="true"/>
          <w:lang w:bidi="ar-SA"/>
        </w:rPr>
        <w:t>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ريعات أُخرى، فلا بدَّ من تخصيص مورده، وإن لم تُخصَّص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لذلك بقاعدتي التجاوز والاستصحاب،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مفادة قاعدة التجاوز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الإتيان بالجزءالذي شككت في الإتيان به من صلاتك بعد الدخول في جزء آخر، كما لو ركعت فشككت هل قرأت الفاتحة والسورة أم لا، فإنَّك تبني على الإتيان بالقراءة، وكذا لو شككت في صحَّة قراءة الفاتحة، فما دمت قد فرغت منها فتبني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مفادة قاعدة الاستصحاب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كان على ما كان، ولو طبَّقنا أصل الاستصحاب في المثال السابق، للزم منه البناء على عدم القراءة حين الشكّ في الإتيان بها بعد الدخول في الركوع، إذ الأصل العدمي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أنَّنا لم نأتِ 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وقع الكلام في أنَّ الأصل الجاري في مورد </w:t>
      </w:r>
    </w:p>
    <w:p>
      <w:pPr>
        <w:pStyle w:val="BookText"/>
        <w:rPr/>
      </w:pPr>
      <w:r>
        <w:rPr>
          <w:rFonts w:ascii="Amiri" w:hAnsi="Amiri" w:eastAsia="Amiri" w:cs="Amiri"/>
          <w:color w:val="111111"/>
          <w:sz w:val="28"/>
          <w:sz w:val="28"/>
          <w:szCs w:val="28"/>
          <w:rtl w:val="true"/>
          <w:lang w:bidi="ar-SA"/>
        </w:rPr>
        <w:t>الشكّ المذكور هل هو الاستصحاب لشمول عموماته للمورد أم هو قاعدة التجاوز؟</w:t>
      </w:r>
    </w:p>
    <w:p>
      <w:pPr>
        <w:pStyle w:val="BookText"/>
        <w:rPr/>
      </w:pPr>
      <w:r>
        <w:rPr>
          <w:rFonts w:ascii="Amiri" w:hAnsi="Amiri" w:eastAsia="Amiri" w:cs="Amiri"/>
          <w:color w:val="111111"/>
          <w:sz w:val="28"/>
          <w:sz w:val="28"/>
          <w:szCs w:val="28"/>
          <w:rtl w:val="true"/>
          <w:lang w:bidi="ar-SA"/>
        </w:rPr>
        <w:t>الصحيح هو الثاني، إذ أنَّنا لو تمسَّكنا بعموم أدلَّة الاستصحاب للزم إلغاء قاعدة الفراغ والتجاوز، إذ ما من مورد تجري فيه القاعدة إلَّا ويجري فيه الاستصحاب،فيكون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ريعها لغوياً لا قيمة له، وعليه فلا 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تخلّصاً من محذور اللغوية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تخصيص مورد أدلَّة الاستصحاب في غير موارد قاعدة الفراغ أو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التخصيص الموردي هو لزوم تخصيص مورد جريان الدليل حتَّى لا يلزم من التمسّك بعموم جريانه لغوية تشريعات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أدلَّة الاستخارة وإن كانت عامّةً، إلَّا أنَّنا لو تمسَّكنا بعمومها للزم من ذلك إلغاء معظم الأبواب الفقهية، وهذا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لزوم تخصيص مورد أدلَّة الاستخارة دفعاً لمحذور اللغوية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الاستخارة ناظرة إلى المباحات، والموارد التي لم يُحدِّد الشارع المسار والوظيفة فيها، وأمَّا الموارد التي حُدِّد المسار فيها من قِبَل الشارع المقدَّس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العقائد وإثبات إمامة الأئمَّة وآخرهم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في غيبة وليس له نوّاب خاصّون فيهذه الغيبة كما يدَّعي هؤلاء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فعمومات الاستخارة غير جارية فيها، وإلَّا للزم إلغاء ما حدَّده الشارع من الوظائف في تلك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قضيَّة الإمامة ممَّا حدَّد الشارع كيفية إثباتها، فإنَّها لا تكون مورداً لجريان الاستخارة، ولذا لا تجد أحداً من 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علمائنا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استند إلى قضيَّة الاستخارة لإثبات مصداق الإمامة، وإنَّما سلكوا طرقاً أُخرى شاقَّة ومضنيَّة، وتكبَّدوا في سبيل ذلك العناء والجهد ما لا يعلمه إلَّا الله تعالى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طبعاً مع التسليم بكون الاستخارة تورث القطع واليقين، وإلَّا فهي ليست كذلك إذ إنَّها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تورثه هو الظنّ، فلا يصحُّ التعويل عليها في مثل قضيَّة الإمامة والتي هي من القضايا اليقينية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المهدوية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2193</Words>
  <Characters>10233</Characters>
  <CharactersWithSpaces>12311</CharactersWithSpaces>
  <Paragraphs>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2026-08-27T08:42:37Z</dcterms:created>
  <dc:creator>ghaemiyeh.com</dc:creator>
  <dc:description/>
  <dc:language>en-US</dc:language>
  <cp:lastModifiedBy/>
  <dcterms:modified xsi:type="dcterms:W3CDTF">2026-08-27T12:12:38Z</dcterms:modified>
  <cp:revision>1</cp:revision>
  <dc:subject/>
  <dc:title>الرد الساطع على ابن گاطع حجیة الاستخارة فی العقائد</dc:title>
</cp:coreProperties>
</file>

<file path=docProps/custom.xml><?xml version="1.0" encoding="utf-8"?>
<Properties xmlns="http://schemas.openxmlformats.org/officeDocument/2006/custom-properties" xmlns:vt="http://schemas.openxmlformats.org/officeDocument/2006/docPropsVTypes"/>
</file>