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تقریب مذاهب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95737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49573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495741_1280447820">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7495743_1280447820">
            <w:r>
              <w:rPr>
                <w:webHidden/>
                <w:rStyle w:val="IndexLink"/>
                <w:rtl w:val="true"/>
              </w:rPr>
              <w:t>مقصود از تقريب مذاهب اسلامى چيست؟</w:t>
            </w:r>
            <w:r>
              <w:rPr>
                <w:rStyle w:val="IndexLink"/>
                <w:rtl w:val="true"/>
              </w:rPr>
              <w:tab/>
            </w:r>
            <w:r>
              <w:rPr>
                <w:rStyle w:val="IndexLink"/>
              </w:rPr>
              <w:t>12</w:t>
            </w:r>
          </w:hyperlink>
        </w:p>
        <w:p>
          <w:pPr>
            <w:pStyle w:val="Contents3"/>
            <w:tabs>
              <w:tab w:val="clear" w:pos="8459"/>
              <w:tab w:val="right" w:pos="9026" w:leader="dot"/>
            </w:tabs>
            <w:rPr/>
          </w:pPr>
          <w:hyperlink w:anchor="__RefHeading___Toc17495745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495747_1280447820">
            <w:r>
              <w:rPr>
                <w:webHidden/>
                <w:rStyle w:val="IndexLink"/>
                <w:rtl w:val="true"/>
              </w:rPr>
              <w:t>الف</w:t>
            </w:r>
            <w:r>
              <w:rPr>
                <w:rStyle w:val="IndexLink"/>
                <w:rtl w:val="true"/>
              </w:rPr>
              <w:t xml:space="preserve">: </w:t>
            </w:r>
            <w:r>
              <w:rPr>
                <w:rStyle w:val="IndexLink"/>
                <w:rtl w:val="true"/>
              </w:rPr>
              <w:t>گزينش مذهب معيار</w:t>
            </w:r>
            <w:r>
              <w:rPr>
                <w:rStyle w:val="IndexLink"/>
                <w:rtl w:val="true"/>
              </w:rPr>
              <w:tab/>
            </w:r>
            <w:r>
              <w:rPr>
                <w:rStyle w:val="IndexLink"/>
              </w:rPr>
              <w:t>12</w:t>
            </w:r>
          </w:hyperlink>
        </w:p>
        <w:p>
          <w:pPr>
            <w:pStyle w:val="Contents3"/>
            <w:tabs>
              <w:tab w:val="clear" w:pos="8459"/>
              <w:tab w:val="right" w:pos="9026" w:leader="dot"/>
            </w:tabs>
            <w:rPr/>
          </w:pPr>
          <w:hyperlink w:anchor="__RefHeading___Toc17495749_1280447820">
            <w:r>
              <w:rPr>
                <w:webHidden/>
                <w:rStyle w:val="IndexLink"/>
                <w:rtl w:val="true"/>
              </w:rPr>
              <w:t>ب</w:t>
            </w:r>
            <w:r>
              <w:rPr>
                <w:rStyle w:val="IndexLink"/>
                <w:rtl w:val="true"/>
              </w:rPr>
              <w:t xml:space="preserve">: </w:t>
            </w:r>
            <w:r>
              <w:rPr>
                <w:rStyle w:val="IndexLink"/>
                <w:rtl w:val="true"/>
              </w:rPr>
              <w:t>وانهادن مسائل اختلافى‌</w:t>
            </w:r>
            <w:r>
              <w:rPr>
                <w:rStyle w:val="IndexLink"/>
                <w:rtl w:val="true"/>
              </w:rPr>
              <w:tab/>
            </w:r>
            <w:r>
              <w:rPr>
                <w:rStyle w:val="IndexLink"/>
              </w:rPr>
              <w:t>14</w:t>
            </w:r>
          </w:hyperlink>
        </w:p>
        <w:p>
          <w:pPr>
            <w:pStyle w:val="Contents3"/>
            <w:tabs>
              <w:tab w:val="clear" w:pos="8459"/>
              <w:tab w:val="right" w:pos="9026" w:leader="dot"/>
            </w:tabs>
            <w:rPr/>
          </w:pPr>
          <w:hyperlink w:anchor="__RefHeading___Toc17495751_1280447820">
            <w:r>
              <w:rPr>
                <w:webHidden/>
                <w:rStyle w:val="IndexLink"/>
                <w:rtl w:val="true"/>
              </w:rPr>
              <w:t>ج</w:t>
            </w:r>
            <w:r>
              <w:rPr>
                <w:rStyle w:val="IndexLink"/>
                <w:rtl w:val="true"/>
              </w:rPr>
              <w:t xml:space="preserve">: </w:t>
            </w:r>
            <w:r>
              <w:rPr>
                <w:rStyle w:val="IndexLink"/>
                <w:rtl w:val="true"/>
              </w:rPr>
              <w:t>آزادى در گزينش هر يك از مبانى و ديدگاه‌هاى مذاهب‌</w:t>
            </w:r>
            <w:r>
              <w:rPr>
                <w:rStyle w:val="IndexLink"/>
                <w:rtl w:val="true"/>
              </w:rPr>
              <w:tab/>
            </w:r>
            <w:r>
              <w:rPr>
                <w:rStyle w:val="IndexLink"/>
              </w:rPr>
              <w:t>15</w:t>
            </w:r>
          </w:hyperlink>
        </w:p>
        <w:p>
          <w:pPr>
            <w:pStyle w:val="Contents3"/>
            <w:tabs>
              <w:tab w:val="clear" w:pos="8459"/>
              <w:tab w:val="right" w:pos="9026" w:leader="dot"/>
            </w:tabs>
            <w:rPr/>
          </w:pPr>
          <w:hyperlink w:anchor="__RefHeading___Toc17495753_1280447820">
            <w:r>
              <w:rPr>
                <w:webHidden/>
                <w:rStyle w:val="IndexLink"/>
                <w:rtl w:val="true"/>
              </w:rPr>
              <w:t>د</w:t>
            </w:r>
            <w:r>
              <w:rPr>
                <w:rStyle w:val="IndexLink"/>
                <w:rtl w:val="true"/>
              </w:rPr>
              <w:t xml:space="preserve">: </w:t>
            </w:r>
            <w:r>
              <w:rPr>
                <w:rStyle w:val="IndexLink"/>
                <w:rtl w:val="true"/>
              </w:rPr>
              <w:t>ملاحظات و مصلحت‌انديشى‌هاى سياسى‌</w:t>
            </w:r>
            <w:r>
              <w:rPr>
                <w:rStyle w:val="IndexLink"/>
                <w:rtl w:val="true"/>
              </w:rPr>
              <w:tab/>
            </w:r>
            <w:r>
              <w:rPr>
                <w:rStyle w:val="IndexLink"/>
              </w:rPr>
              <w:t>16</w:t>
            </w:r>
          </w:hyperlink>
        </w:p>
        <w:p>
          <w:pPr>
            <w:pStyle w:val="Contents3"/>
            <w:tabs>
              <w:tab w:val="clear" w:pos="8459"/>
              <w:tab w:val="right" w:pos="9026" w:leader="dot"/>
            </w:tabs>
            <w:rPr/>
          </w:pPr>
          <w:hyperlink w:anchor="__RefHeading___Toc17495755_1280447820">
            <w:r>
              <w:rPr>
                <w:webHidden/>
                <w:rStyle w:val="IndexLink"/>
                <w:rtl w:val="true"/>
              </w:rPr>
              <w:t>ه</w:t>
            </w:r>
            <w:r>
              <w:rPr>
                <w:rStyle w:val="IndexLink"/>
                <w:rtl w:val="true"/>
              </w:rPr>
              <w:t xml:space="preserve">: </w:t>
            </w:r>
            <w:r>
              <w:rPr>
                <w:rStyle w:val="IndexLink"/>
                <w:rtl w:val="true"/>
              </w:rPr>
              <w:t>گفت‌وگوى صحيح و سازنده‌</w:t>
            </w:r>
            <w:r>
              <w:rPr>
                <w:rStyle w:val="IndexLink"/>
                <w:rtl w:val="true"/>
              </w:rPr>
              <w:tab/>
            </w:r>
            <w:r>
              <w:rPr>
                <w:rStyle w:val="IndexLink"/>
              </w:rPr>
              <w:t>18</w:t>
            </w:r>
          </w:hyperlink>
        </w:p>
        <w:p>
          <w:pPr>
            <w:pStyle w:val="Contents3"/>
            <w:tabs>
              <w:tab w:val="clear" w:pos="8459"/>
              <w:tab w:val="right" w:pos="9026" w:leader="dot"/>
            </w:tabs>
            <w:rPr/>
          </w:pPr>
          <w:hyperlink w:anchor="__RefHeading___Toc17495757_1280447820">
            <w:r>
              <w:rPr>
                <w:webHidden/>
                <w:rStyle w:val="IndexLink"/>
                <w:rtl w:val="true"/>
              </w:rPr>
              <w:t xml:space="preserve">مذاهب </w:t>
            </w:r>
            <w:r>
              <w:rPr>
                <w:rStyle w:val="IndexLink"/>
                <w:rtl w:val="true"/>
              </w:rPr>
              <w:t>(</w:t>
            </w:r>
            <w:r>
              <w:rPr>
                <w:rStyle w:val="IndexLink"/>
                <w:rtl w:val="true"/>
              </w:rPr>
              <w:t>ديدگاه صحيح</w:t>
            </w:r>
            <w:r>
              <w:rPr>
                <w:rStyle w:val="IndexLink"/>
                <w:rtl w:val="true"/>
              </w:rPr>
              <w:t>)</w:t>
              <w:tab/>
            </w:r>
            <w:r>
              <w:rPr>
                <w:rStyle w:val="IndexLink"/>
              </w:rPr>
              <w:t>18</w:t>
            </w:r>
          </w:hyperlink>
        </w:p>
        <w:p>
          <w:pPr>
            <w:pStyle w:val="Contents2"/>
            <w:tabs>
              <w:tab w:val="clear" w:pos="8743"/>
              <w:tab w:val="right" w:pos="9026" w:leader="dot"/>
            </w:tabs>
            <w:rPr/>
          </w:pPr>
          <w:hyperlink w:anchor="__RefHeading___Toc17495759_1280447820">
            <w:r>
              <w:rPr>
                <w:webHidden/>
                <w:rStyle w:val="IndexLink"/>
                <w:rtl w:val="true"/>
              </w:rPr>
              <w:t>آيا تقريب مذاهب اسلامى ممكن و جايز است؟</w:t>
            </w:r>
            <w:r>
              <w:rPr>
                <w:rStyle w:val="IndexLink"/>
                <w:rtl w:val="true"/>
              </w:rPr>
              <w:tab/>
            </w:r>
            <w:r>
              <w:rPr>
                <w:rStyle w:val="IndexLink"/>
              </w:rPr>
              <w:t>23</w:t>
            </w:r>
          </w:hyperlink>
        </w:p>
        <w:p>
          <w:pPr>
            <w:pStyle w:val="Contents3"/>
            <w:tabs>
              <w:tab w:val="clear" w:pos="8459"/>
              <w:tab w:val="right" w:pos="9026" w:leader="dot"/>
            </w:tabs>
            <w:rPr/>
          </w:pPr>
          <w:hyperlink w:anchor="__RefHeading___Toc17495761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7495763_1280447820">
            <w:r>
              <w:rPr>
                <w:webHidden/>
                <w:rStyle w:val="IndexLink"/>
                <w:rtl w:val="true"/>
              </w:rPr>
              <w:t>الف</w:t>
            </w:r>
            <w:r>
              <w:rPr>
                <w:rStyle w:val="IndexLink"/>
                <w:rtl w:val="true"/>
              </w:rPr>
              <w:t xml:space="preserve">: </w:t>
            </w:r>
            <w:r>
              <w:rPr>
                <w:rStyle w:val="IndexLink"/>
                <w:rtl w:val="true"/>
              </w:rPr>
              <w:t>امكان تقريب مذاهب اسلامى‌</w:t>
            </w:r>
            <w:r>
              <w:rPr>
                <w:rStyle w:val="IndexLink"/>
                <w:rtl w:val="true"/>
              </w:rPr>
              <w:tab/>
            </w:r>
            <w:r>
              <w:rPr>
                <w:rStyle w:val="IndexLink"/>
              </w:rPr>
              <w:t>24</w:t>
            </w:r>
          </w:hyperlink>
        </w:p>
        <w:p>
          <w:pPr>
            <w:pStyle w:val="Contents3"/>
            <w:tabs>
              <w:tab w:val="clear" w:pos="8459"/>
              <w:tab w:val="right" w:pos="9026" w:leader="dot"/>
            </w:tabs>
            <w:rPr/>
          </w:pPr>
          <w:hyperlink w:anchor="__RefHeading___Toc17495765_1280447820">
            <w:r>
              <w:rPr>
                <w:webHidden/>
                <w:rStyle w:val="IndexLink"/>
                <w:rtl w:val="true"/>
              </w:rPr>
              <w:t>ب</w:t>
            </w:r>
            <w:r>
              <w:rPr>
                <w:rStyle w:val="IndexLink"/>
                <w:rtl w:val="true"/>
              </w:rPr>
              <w:t xml:space="preserve">: </w:t>
            </w:r>
            <w:r>
              <w:rPr>
                <w:rStyle w:val="IndexLink"/>
                <w:rtl w:val="true"/>
              </w:rPr>
              <w:t>روا بودن تقريب مذاهب اسلامى‌</w:t>
            </w:r>
            <w:r>
              <w:rPr>
                <w:rStyle w:val="IndexLink"/>
                <w:rtl w:val="true"/>
              </w:rPr>
              <w:tab/>
            </w:r>
            <w:r>
              <w:rPr>
                <w:rStyle w:val="IndexLink"/>
              </w:rPr>
              <w:t>26</w:t>
            </w:r>
          </w:hyperlink>
        </w:p>
        <w:p>
          <w:pPr>
            <w:pStyle w:val="Contents3"/>
            <w:tabs>
              <w:tab w:val="clear" w:pos="8459"/>
              <w:tab w:val="right" w:pos="9026" w:leader="dot"/>
            </w:tabs>
            <w:rPr/>
          </w:pPr>
          <w:hyperlink w:anchor="__RefHeading___Toc17495767_1280447820">
            <w:r>
              <w:rPr>
                <w:webHidden/>
                <w:rStyle w:val="IndexLink"/>
                <w:rtl w:val="true"/>
              </w:rPr>
              <w:t xml:space="preserve">مسأله فرقه ناجيه </w:t>
            </w:r>
            <w:r>
              <w:rPr>
                <w:rStyle w:val="IndexLink"/>
                <w:rtl w:val="true"/>
              </w:rPr>
              <w:t>(</w:t>
            </w:r>
            <w:r>
              <w:rPr>
                <w:rStyle w:val="IndexLink"/>
                <w:rtl w:val="true"/>
              </w:rPr>
              <w:t>گروه نجات يابنده</w:t>
            </w:r>
            <w:r>
              <w:rPr>
                <w:rStyle w:val="IndexLink"/>
                <w:rtl w:val="true"/>
              </w:rPr>
              <w:t>)</w:t>
              <w:tab/>
            </w:r>
            <w:r>
              <w:rPr>
                <w:rStyle w:val="IndexLink"/>
              </w:rPr>
              <w:t>39</w:t>
            </w:r>
          </w:hyperlink>
        </w:p>
        <w:p>
          <w:pPr>
            <w:pStyle w:val="Contents2"/>
            <w:tabs>
              <w:tab w:val="clear" w:pos="8743"/>
              <w:tab w:val="right" w:pos="9026" w:leader="dot"/>
            </w:tabs>
            <w:rPr/>
          </w:pPr>
          <w:hyperlink w:anchor="__RefHeading___Toc17495769_1280447820">
            <w:r>
              <w:rPr>
                <w:webHidden/>
                <w:rStyle w:val="IndexLink"/>
                <w:rtl w:val="true"/>
              </w:rPr>
              <w:t>اصول و مبانى تقريب چيست؟</w:t>
            </w:r>
            <w:r>
              <w:rPr>
                <w:rStyle w:val="IndexLink"/>
                <w:rtl w:val="true"/>
              </w:rPr>
              <w:tab/>
            </w:r>
            <w:r>
              <w:rPr>
                <w:rStyle w:val="IndexLink"/>
              </w:rPr>
              <w:t>50</w:t>
            </w:r>
          </w:hyperlink>
        </w:p>
        <w:p>
          <w:pPr>
            <w:pStyle w:val="Contents3"/>
            <w:tabs>
              <w:tab w:val="clear" w:pos="8459"/>
              <w:tab w:val="right" w:pos="9026" w:leader="dot"/>
            </w:tabs>
            <w:rPr/>
          </w:pPr>
          <w:hyperlink w:anchor="__RefHeading___Toc17495771_12804478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7495773_1280447820">
            <w:r>
              <w:rPr>
                <w:webHidden/>
                <w:rStyle w:val="IndexLink"/>
                <w:rtl w:val="true"/>
              </w:rPr>
              <w:t>الف</w:t>
            </w:r>
            <w:r>
              <w:rPr>
                <w:rStyle w:val="IndexLink"/>
                <w:rtl w:val="true"/>
              </w:rPr>
              <w:t xml:space="preserve">: </w:t>
            </w:r>
            <w:r>
              <w:rPr>
                <w:rStyle w:val="IndexLink"/>
                <w:rtl w:val="true"/>
              </w:rPr>
              <w:t>پذيرش كثرت و اختلاف‌</w:t>
            </w:r>
            <w:r>
              <w:rPr>
                <w:rStyle w:val="IndexLink"/>
                <w:rtl w:val="true"/>
              </w:rPr>
              <w:tab/>
            </w:r>
            <w:r>
              <w:rPr>
                <w:rStyle w:val="IndexLink"/>
              </w:rPr>
              <w:t>50</w:t>
            </w:r>
          </w:hyperlink>
        </w:p>
        <w:p>
          <w:pPr>
            <w:pStyle w:val="Contents3"/>
            <w:tabs>
              <w:tab w:val="clear" w:pos="8459"/>
              <w:tab w:val="right" w:pos="9026" w:leader="dot"/>
            </w:tabs>
            <w:rPr/>
          </w:pPr>
          <w:hyperlink w:anchor="__RefHeading___Toc17495775_1280447820">
            <w:r>
              <w:rPr>
                <w:webHidden/>
                <w:rStyle w:val="IndexLink"/>
                <w:rtl w:val="true"/>
              </w:rPr>
              <w:t>ب</w:t>
            </w:r>
            <w:r>
              <w:rPr>
                <w:rStyle w:val="IndexLink"/>
                <w:rtl w:val="true"/>
              </w:rPr>
              <w:t xml:space="preserve">: </w:t>
            </w:r>
            <w:r>
              <w:rPr>
                <w:rStyle w:val="IndexLink"/>
                <w:rtl w:val="true"/>
              </w:rPr>
              <w:t>اعتقاد به گفت‌وگو</w:t>
            </w:r>
            <w:r>
              <w:rPr>
                <w:rStyle w:val="IndexLink"/>
                <w:rtl w:val="true"/>
              </w:rPr>
              <w:tab/>
            </w:r>
            <w:r>
              <w:rPr>
                <w:rStyle w:val="IndexLink"/>
              </w:rPr>
              <w:t>55</w:t>
            </w:r>
          </w:hyperlink>
        </w:p>
        <w:p>
          <w:pPr>
            <w:pStyle w:val="Contents3"/>
            <w:tabs>
              <w:tab w:val="clear" w:pos="8459"/>
              <w:tab w:val="right" w:pos="9026" w:leader="dot"/>
            </w:tabs>
            <w:rPr/>
          </w:pPr>
          <w:hyperlink w:anchor="__RefHeading___Toc17495777_1280447820">
            <w:r>
              <w:rPr>
                <w:webHidden/>
                <w:rStyle w:val="IndexLink"/>
                <w:rtl w:val="true"/>
              </w:rPr>
              <w:t>ج</w:t>
            </w:r>
            <w:r>
              <w:rPr>
                <w:rStyle w:val="IndexLink"/>
                <w:rtl w:val="true"/>
              </w:rPr>
              <w:t xml:space="preserve">: </w:t>
            </w:r>
            <w:r>
              <w:rPr>
                <w:rStyle w:val="IndexLink"/>
                <w:rtl w:val="true"/>
              </w:rPr>
              <w:t>تأكيد بر مشتركات‌</w:t>
            </w:r>
            <w:r>
              <w:rPr>
                <w:rStyle w:val="IndexLink"/>
                <w:rtl w:val="true"/>
              </w:rPr>
              <w:tab/>
            </w:r>
            <w:r>
              <w:rPr>
                <w:rStyle w:val="IndexLink"/>
              </w:rPr>
              <w:t>56</w:t>
            </w:r>
          </w:hyperlink>
        </w:p>
        <w:p>
          <w:pPr>
            <w:pStyle w:val="Contents3"/>
            <w:tabs>
              <w:tab w:val="clear" w:pos="8459"/>
              <w:tab w:val="right" w:pos="9026" w:leader="dot"/>
            </w:tabs>
            <w:rPr/>
          </w:pPr>
          <w:hyperlink w:anchor="__RefHeading___Toc17495779_1280447820">
            <w:r>
              <w:rPr>
                <w:webHidden/>
                <w:rStyle w:val="IndexLink"/>
                <w:rtl w:val="true"/>
              </w:rPr>
              <w:t>د</w:t>
            </w:r>
            <w:r>
              <w:rPr>
                <w:rStyle w:val="IndexLink"/>
                <w:rtl w:val="true"/>
              </w:rPr>
              <w:t xml:space="preserve">: </w:t>
            </w:r>
            <w:r>
              <w:rPr>
                <w:rStyle w:val="IndexLink"/>
                <w:rtl w:val="true"/>
              </w:rPr>
              <w:t>رعايت اخلاق اسلامى‌</w:t>
            </w:r>
            <w:r>
              <w:rPr>
                <w:rStyle w:val="IndexLink"/>
                <w:rtl w:val="true"/>
              </w:rPr>
              <w:tab/>
            </w:r>
            <w:r>
              <w:rPr>
                <w:rStyle w:val="IndexLink"/>
              </w:rPr>
              <w:t>57</w:t>
            </w:r>
          </w:hyperlink>
        </w:p>
        <w:p>
          <w:pPr>
            <w:pStyle w:val="Contents2"/>
            <w:tabs>
              <w:tab w:val="clear" w:pos="8743"/>
              <w:tab w:val="right" w:pos="9026" w:leader="dot"/>
            </w:tabs>
            <w:rPr/>
          </w:pPr>
          <w:hyperlink w:anchor="__RefHeading___Toc17495781_1280447820">
            <w:r>
              <w:rPr>
                <w:webHidden/>
                <w:rStyle w:val="IndexLink"/>
                <w:rtl w:val="true"/>
              </w:rPr>
              <w:t>موانع تقريب كدام است؟</w:t>
            </w:r>
            <w:r>
              <w:rPr>
                <w:rStyle w:val="IndexLink"/>
                <w:rtl w:val="true"/>
              </w:rPr>
              <w:tab/>
            </w:r>
            <w:r>
              <w:rPr>
                <w:rStyle w:val="IndexLink"/>
              </w:rPr>
              <w:t>59</w:t>
            </w:r>
          </w:hyperlink>
        </w:p>
        <w:p>
          <w:pPr>
            <w:pStyle w:val="Contents3"/>
            <w:tabs>
              <w:tab w:val="clear" w:pos="8459"/>
              <w:tab w:val="right" w:pos="9026" w:leader="dot"/>
            </w:tabs>
            <w:rPr/>
          </w:pPr>
          <w:hyperlink w:anchor="__RefHeading___Toc17495783_12804478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7495785_1280447820">
            <w:r>
              <w:rPr>
                <w:webHidden/>
                <w:rStyle w:val="IndexLink"/>
                <w:rtl w:val="true"/>
              </w:rPr>
              <w:t>الف</w:t>
            </w:r>
            <w:r>
              <w:rPr>
                <w:rStyle w:val="IndexLink"/>
                <w:rtl w:val="true"/>
              </w:rPr>
              <w:t xml:space="preserve">: </w:t>
            </w:r>
            <w:r>
              <w:rPr>
                <w:rStyle w:val="IndexLink"/>
                <w:rtl w:val="true"/>
              </w:rPr>
              <w:t>موانع اخلاقى‌</w:t>
            </w:r>
            <w:r>
              <w:rPr>
                <w:rStyle w:val="IndexLink"/>
                <w:rtl w:val="true"/>
              </w:rPr>
              <w:tab/>
            </w:r>
            <w:r>
              <w:rPr>
                <w:rStyle w:val="IndexLink"/>
              </w:rPr>
              <w:t>59</w:t>
            </w:r>
          </w:hyperlink>
        </w:p>
        <w:p>
          <w:pPr>
            <w:pStyle w:val="Contents3"/>
            <w:tabs>
              <w:tab w:val="clear" w:pos="8459"/>
              <w:tab w:val="right" w:pos="9026" w:leader="dot"/>
            </w:tabs>
            <w:rPr/>
          </w:pPr>
          <w:hyperlink w:anchor="__RefHeading___Toc17495787_1280447820">
            <w:r>
              <w:rPr>
                <w:webHidden/>
                <w:rStyle w:val="IndexLink"/>
                <w:rtl w:val="true"/>
              </w:rPr>
              <w:t>ب</w:t>
            </w:r>
            <w:r>
              <w:rPr>
                <w:rStyle w:val="IndexLink"/>
                <w:rtl w:val="true"/>
              </w:rPr>
              <w:t xml:space="preserve">: </w:t>
            </w:r>
            <w:r>
              <w:rPr>
                <w:rStyle w:val="IndexLink"/>
                <w:rtl w:val="true"/>
              </w:rPr>
              <w:t>جهالت‌</w:t>
            </w:r>
            <w:r>
              <w:rPr>
                <w:rStyle w:val="IndexLink"/>
                <w:rtl w:val="true"/>
              </w:rPr>
              <w:tab/>
            </w:r>
            <w:r>
              <w:rPr>
                <w:rStyle w:val="IndexLink"/>
              </w:rPr>
              <w:t>62</w:t>
            </w:r>
          </w:hyperlink>
        </w:p>
        <w:p>
          <w:pPr>
            <w:pStyle w:val="Contents3"/>
            <w:tabs>
              <w:tab w:val="clear" w:pos="8459"/>
              <w:tab w:val="right" w:pos="9026" w:leader="dot"/>
            </w:tabs>
            <w:rPr/>
          </w:pPr>
          <w:hyperlink w:anchor="__RefHeading___Toc17495789_1280447820">
            <w:r>
              <w:rPr>
                <w:webHidden/>
                <w:rStyle w:val="IndexLink"/>
                <w:rtl w:val="true"/>
              </w:rPr>
              <w:t>ج</w:t>
            </w:r>
            <w:r>
              <w:rPr>
                <w:rStyle w:val="IndexLink"/>
                <w:rtl w:val="true"/>
              </w:rPr>
              <w:t xml:space="preserve">: </w:t>
            </w:r>
            <w:r>
              <w:rPr>
                <w:rStyle w:val="IndexLink"/>
                <w:rtl w:val="true"/>
              </w:rPr>
              <w:t>تعصّب جاهلانه‌</w:t>
            </w:r>
            <w:r>
              <w:rPr>
                <w:rStyle w:val="IndexLink"/>
                <w:rtl w:val="true"/>
              </w:rPr>
              <w:tab/>
            </w:r>
            <w:r>
              <w:rPr>
                <w:rStyle w:val="IndexLink"/>
              </w:rPr>
              <w:t>64</w:t>
            </w:r>
          </w:hyperlink>
        </w:p>
        <w:p>
          <w:pPr>
            <w:pStyle w:val="Contents3"/>
            <w:tabs>
              <w:tab w:val="clear" w:pos="8459"/>
              <w:tab w:val="right" w:pos="9026" w:leader="dot"/>
            </w:tabs>
            <w:rPr/>
          </w:pPr>
          <w:hyperlink w:anchor="__RefHeading___Toc17495791_1280447820">
            <w:r>
              <w:rPr>
                <w:webHidden/>
                <w:rStyle w:val="IndexLink"/>
                <w:rtl w:val="true"/>
              </w:rPr>
              <w:t>د</w:t>
            </w:r>
            <w:r>
              <w:rPr>
                <w:rStyle w:val="IndexLink"/>
                <w:rtl w:val="true"/>
              </w:rPr>
              <w:t xml:space="preserve">: </w:t>
            </w:r>
            <w:r>
              <w:rPr>
                <w:rStyle w:val="IndexLink"/>
                <w:rtl w:val="true"/>
              </w:rPr>
              <w:t>دسيسه دشمنان‌</w:t>
            </w:r>
            <w:r>
              <w:rPr>
                <w:rStyle w:val="IndexLink"/>
                <w:rtl w:val="true"/>
              </w:rPr>
              <w:tab/>
            </w:r>
            <w:r>
              <w:rPr>
                <w:rStyle w:val="IndexLink"/>
              </w:rPr>
              <w:t>67</w:t>
            </w:r>
          </w:hyperlink>
        </w:p>
        <w:p>
          <w:pPr>
            <w:pStyle w:val="Contents2"/>
            <w:tabs>
              <w:tab w:val="clear" w:pos="8743"/>
              <w:tab w:val="right" w:pos="9026" w:leader="dot"/>
            </w:tabs>
            <w:rPr/>
          </w:pPr>
          <w:hyperlink w:anchor="__RefHeading___Toc17495793_1280447820">
            <w:r>
              <w:rPr>
                <w:webHidden/>
                <w:rStyle w:val="IndexLink"/>
                <w:rtl w:val="true"/>
              </w:rPr>
              <w:t>نقش حج در تقريب مذاهب اسلامى‌</w:t>
            </w:r>
            <w:r>
              <w:rPr>
                <w:rStyle w:val="IndexLink"/>
                <w:rtl w:val="true"/>
              </w:rPr>
              <w:tab/>
            </w:r>
            <w:r>
              <w:rPr>
                <w:rStyle w:val="IndexLink"/>
              </w:rPr>
              <w:t>75</w:t>
            </w:r>
          </w:hyperlink>
        </w:p>
        <w:p>
          <w:pPr>
            <w:pStyle w:val="Contents2"/>
            <w:tabs>
              <w:tab w:val="clear" w:pos="8743"/>
              <w:tab w:val="right" w:pos="9026" w:leader="dot"/>
            </w:tabs>
            <w:rPr/>
          </w:pPr>
          <w:hyperlink w:anchor="__RefHeading___Toc17495795_1280447820">
            <w:r>
              <w:rPr>
                <w:webHidden/>
                <w:rStyle w:val="IndexLink"/>
                <w:rtl w:val="true"/>
              </w:rPr>
              <w:t>فهرست منابع‌</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56_204936"/>
      <w:bookmarkStart w:id="1" w:name="pg19256_204936"/>
      <w:bookmarkEnd w:id="1"/>
    </w:p>
    <w:p>
      <w:pPr>
        <w:pStyle w:val="Heading2"/>
        <w:numPr>
          <w:ilvl w:val="1"/>
          <w:numId w:val="1"/>
        </w:numPr>
        <w:rPr/>
      </w:pPr>
      <w:bookmarkStart w:id="2" w:name="pg19256_204936"/>
      <w:bookmarkStart w:id="3" w:name="__RefHeading___Toc17495737_12804478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فخلعی، محمدتقی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فخلعی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ص؛ همچنین بصورت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مذاهب</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95739_1280447820"/>
      <w:bookmarkStart w:id="6" w:name="_Toc2"/>
      <w:bookmarkEnd w:id="5"/>
      <w:r>
        <w:rPr>
          <w:rtl w:val="true"/>
        </w:rPr>
        <w:t>اشاره</w:t>
      </w:r>
      <w:bookmarkStart w:id="7" w:name="pg19256_204942"/>
      <w:bookmarkEnd w:id="6"/>
    </w:p>
    <w:p>
      <w:pPr>
        <w:pStyle w:val="Heading2"/>
        <w:numPr>
          <w:ilvl w:val="1"/>
          <w:numId w:val="1"/>
        </w:numPr>
        <w:rPr/>
      </w:pPr>
      <w:bookmarkStart w:id="8" w:name="__RefHeading___Toc17495741_12804478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بيت الله الحرام و حضور در سرزمين پاك حرمين به انگيزه انجام مراسم پر رمز و راز حجّ و عمره از چند جهت داراى ارزش و اهمّيت بى‌بديل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قبل از گردش در آفاق، فرصتى است طلايى براى سير در درون با نگاه در حال خويشتن، شور معنويت</w:t>
      </w:r>
    </w:p>
    <w:p>
      <w:pPr>
        <w:pStyle w:val="BookText"/>
        <w:rPr/>
      </w:pPr>
      <w:r>
        <w:rPr>
          <w:rFonts w:ascii="IRNazanin" w:hAnsi="IRNazanin" w:eastAsia="IRNazanin"/>
          <w:color w:val="111111"/>
          <w:sz w:val="28"/>
          <w:sz w:val="28"/>
          <w:szCs w:val="28"/>
          <w:rtl w:val="true"/>
          <w:lang w:bidi="fa-IR"/>
        </w:rPr>
        <w:t>انگيختن، دل به درياى معارفِ ميقات زدن، جامه رذيلت از تن افكندن و احرام فضيلت بستن، بر گرد حريم دوست گشتن، در صفا جان خود صفا بخشيدن، در مروه كوتاه آمال دنيا وانهادن، در چشمه‌سار زمزم جرعه‌نوشِ معرفت و محبّت شدن، و خلاصه آن‌كه عشق‌آفرين‌ترين صحنه زندگى را گواه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گذرى است بر سرزمين‌هاى مباركى كه جاى جاى آن يادآور شكوه خاطرات طلوع خورشيد اسلام در يلداى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طنين نداى پيامبر صادق و نواى ياوران راستين او از وراى قرون و اعصار گوش جان را نوازش مى‌دهد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پرواز دل را ميسّر مى‌گرداند و پيوند</w:t>
      </w:r>
    </w:p>
    <w:p>
      <w:pPr>
        <w:pStyle w:val="BookText"/>
        <w:rPr/>
      </w:pPr>
      <w:r>
        <w:rPr>
          <w:rFonts w:ascii="IRNazanin" w:hAnsi="IRNazanin" w:eastAsia="IRNazanin"/>
          <w:color w:val="111111"/>
          <w:sz w:val="28"/>
          <w:sz w:val="28"/>
          <w:szCs w:val="28"/>
          <w:rtl w:val="true"/>
          <w:lang w:bidi="fa-IR"/>
        </w:rPr>
        <w:t>نسل‌هاى نخستين و پسين امّت اسلامى را تحكيم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ديدار است با انبوه حجّاج و عمره‌گزاران بيت عتيق از ملّيت‌هاى گوناگون كه با عاطفه و احساس مشترك از جمله اقطار يك‌جا گرد آمده‌اند، و در صف متّحد، صلاى عشق و وحدت سر مى‌دهند، برق نگاه محبّت‌آميز به يكديگر خيره كرده‌اند و ملتمسانه همديگر را به تلاش مشترك براى تجديد بناى پر شكوه فرهنگ و تمدّن اسلامى فرا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مسائلى كه توجّه هر ناظر تيزبين و هوشيار را برمى‌انگيزد، گوناگونى حاصل در رفتارهاى انبوه زائران و حاضران در اين سرزمين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رغم آن‌كه جملگى در</w:t>
      </w:r>
    </w:p>
    <w:p>
      <w:pPr>
        <w:pStyle w:val="BookText"/>
        <w:rPr/>
      </w:pPr>
      <w:r>
        <w:rPr>
          <w:rFonts w:ascii="IRNazanin" w:hAnsi="IRNazanin" w:eastAsia="IRNazanin"/>
          <w:color w:val="111111"/>
          <w:sz w:val="28"/>
          <w:sz w:val="28"/>
          <w:szCs w:val="28"/>
          <w:rtl w:val="true"/>
          <w:lang w:bidi="fa-IR"/>
        </w:rPr>
        <w:t>باور به حقيقت وحى و اسلام هم‌سويند و به سوى يك قبله نماز مى‌گزارند و بر گرد نماد توحيد به يك سمت مى‌چرخند و در انبوهى از مسائل سلوك يكسان دارند ليكن اختلاف و تفاوت در چندى از باورها و رفتارها به حدّى است كه بتوان هويت متمايز آن‌ها را در كنار اصالت مشترك گواه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قدر كه صحنه‌هاى وحدت و يك‌رنگى شورآفرين است، مظاهر اختلاف و گوناگونى تأمّل 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پرسش از چيستى اختلاف‌ها به طور طبيعى در دل و جان و انديشه جوان برانگيخته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مى‌پرسد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اين چندگانگى</w:t>
      </w:r>
    </w:p>
    <w:p>
      <w:pPr>
        <w:pStyle w:val="BookText"/>
        <w:rPr/>
      </w:pP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اين تفاوت‌ها اصيل و ريشه‌دار است يا سطحى و گذرا؟</w:t>
      </w:r>
    </w:p>
    <w:p>
      <w:pPr>
        <w:pStyle w:val="BookText"/>
        <w:rPr/>
      </w:pPr>
      <w:r>
        <w:rPr>
          <w:rFonts w:ascii="IRNazanin" w:hAnsi="IRNazanin" w:eastAsia="IRNazanin"/>
          <w:color w:val="111111"/>
          <w:sz w:val="28"/>
          <w:sz w:val="28"/>
          <w:szCs w:val="28"/>
          <w:rtl w:val="true"/>
          <w:lang w:bidi="fa-IR"/>
        </w:rPr>
        <w:t>در برابر چندگانگى مذهبى چه بايد كرد؟</w:t>
      </w:r>
    </w:p>
    <w:p>
      <w:pPr>
        <w:pStyle w:val="BookText"/>
        <w:rPr/>
      </w:pPr>
      <w:r>
        <w:rPr>
          <w:rFonts w:ascii="Amiri" w:hAnsi="Amiri" w:eastAsia="Amiri" w:cs="Amiri"/>
          <w:color w:val="111111"/>
          <w:sz w:val="28"/>
          <w:sz w:val="28"/>
          <w:szCs w:val="28"/>
          <w:rtl w:val="true"/>
          <w:lang w:bidi="ar-SA"/>
        </w:rPr>
        <w:t>آيا بايستى اعتراض برآورد يا به عنوان واقعيتى تاريخى به آن باور آورد؟</w:t>
      </w:r>
    </w:p>
    <w:p>
      <w:pPr>
        <w:pStyle w:val="BookText"/>
        <w:rPr/>
      </w:pPr>
      <w:r>
        <w:rPr>
          <w:rFonts w:ascii="Amiri" w:hAnsi="Amiri" w:eastAsia="Amiri" w:cs="Amiri"/>
          <w:color w:val="111111"/>
          <w:sz w:val="28"/>
          <w:sz w:val="28"/>
          <w:szCs w:val="28"/>
          <w:rtl w:val="true"/>
          <w:lang w:bidi="ar-SA"/>
        </w:rPr>
        <w:t>آيا راهى به سوى محو اختلاف‌ها و يكسان‌سازى مذاهب وجود دارد؟</w:t>
      </w:r>
    </w:p>
    <w:p>
      <w:pPr>
        <w:pStyle w:val="BookText"/>
        <w:rPr/>
      </w:pPr>
      <w:r>
        <w:rPr>
          <w:rFonts w:ascii="IRNazanin" w:hAnsi="IRNazanin" w:eastAsia="IRNazanin"/>
          <w:color w:val="111111"/>
          <w:sz w:val="28"/>
          <w:sz w:val="28"/>
          <w:szCs w:val="28"/>
          <w:rtl w:val="true"/>
          <w:lang w:bidi="fa-IR"/>
        </w:rPr>
        <w:t>آيا با وجود اين تفاوت‌ها باز هم مى‌توان سوداى وحدت در سر داشت يا بايد ختم آن را نظاره‌گر شد؟</w:t>
      </w:r>
    </w:p>
    <w:p>
      <w:pPr>
        <w:pStyle w:val="BookText"/>
        <w:rPr/>
      </w:pPr>
      <w:r>
        <w:rPr>
          <w:rFonts w:ascii="IRNazanin" w:hAnsi="IRNazanin" w:eastAsia="IRNazanin"/>
          <w:color w:val="111111"/>
          <w:sz w:val="28"/>
          <w:sz w:val="28"/>
          <w:szCs w:val="28"/>
          <w:rtl w:val="true"/>
          <w:lang w:bidi="fa-IR"/>
        </w:rPr>
        <w:t>و اساساً كدامين تفسير از وحدت و وفاق با پذيرش كثرت و اختلاف گرد مى‌آيد؟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آن ذهن جست‌وجوگر به حال خويش نظر مى‌كند و در</w:t>
      </w:r>
    </w:p>
    <w:p>
      <w:pPr>
        <w:pStyle w:val="BookText"/>
        <w:rPr/>
      </w:pPr>
      <w:r>
        <w:rPr>
          <w:rFonts w:ascii="IRNazanin" w:hAnsi="IRNazanin" w:eastAsia="IRNazanin"/>
          <w:color w:val="111111"/>
          <w:sz w:val="28"/>
          <w:sz w:val="28"/>
          <w:szCs w:val="28"/>
          <w:rtl w:val="true"/>
          <w:lang w:bidi="fa-IR"/>
        </w:rPr>
        <w:t>صدد بر مى‌آيد، هويت مذهبى و تاريخى خود را مورد بازخوانى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چيستى تشيع، مبدأ پيدايش و سير تاريخى تحوّل آن، اصول و مقوّمات و عناصر گوهرى فكر و عقيده شيعى مى‌پرسد، و كدام فرصت نيكوتر از اين براى دست يازيدن به مطالعه و تحقيق و يافتن پاسخ‌هاى مدلّل و متين براى اين پرسش‌ها؟</w:t>
      </w:r>
    </w:p>
    <w:p>
      <w:pPr>
        <w:pStyle w:val="BookText"/>
        <w:rPr/>
      </w:pPr>
      <w:r>
        <w:rPr>
          <w:rFonts w:ascii="IRNazanin" w:hAnsi="IRNazanin" w:eastAsia="IRNazanin"/>
          <w:color w:val="111111"/>
          <w:sz w:val="28"/>
          <w:sz w:val="28"/>
          <w:szCs w:val="28"/>
          <w:rtl w:val="true"/>
          <w:lang w:bidi="fa-IR"/>
        </w:rPr>
        <w:t>به اين بهانه بر آن شديم مجموعه‌اى مختصر در معرّفى سيماى تشيع گردآوريم و در اين مجموعه براى اين دست پرسش‌ها، جواب يابيم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فرا رو كه به كوشش محقّق فاضل جناب آقاى على بابائى و با نظارت اين جانب فراهم آمده است، محصول ارزنده‌اى است كه سه مزيت</w:t>
      </w:r>
    </w:p>
    <w:p>
      <w:pPr>
        <w:pStyle w:val="BookText"/>
        <w:rPr/>
      </w:pPr>
      <w:r>
        <w:rPr>
          <w:rFonts w:ascii="IRNazanin" w:hAnsi="IRNazanin" w:eastAsia="IRNazanin"/>
          <w:color w:val="111111"/>
          <w:sz w:val="28"/>
          <w:sz w:val="28"/>
          <w:szCs w:val="28"/>
          <w:rtl w:val="true"/>
          <w:lang w:bidi="fa-IR"/>
        </w:rPr>
        <w:t>ايجاز و اختصار، جامعيت موضوعات، و تحقيق نيكو را يك‌جا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آن ضمن آن‌كه پاسخگوى بسيارى از پرسش‌هاى پيش‌گفته ومانند آن است مى‌تواند شوق مطالعه و تحقيق افزون‌تر و وسيع‌تر را هم در درون جان خواننده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خالق خويش تمنّاى آن داريم كه اين تلاش ناچيز را خدمتى شايسته به ساحت حقايق ناب اسلام و معارف اصيل مكتب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دارد و آن را مصداق قول احسن و شايسته پيروى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تقى فخلعى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استاديار دانشگاه فردوسى مشهد</w:t>
      </w:r>
      <w:bookmarkStart w:id="10" w:name="pg19256_204950"/>
    </w:p>
    <w:p>
      <w:pPr>
        <w:pStyle w:val="Heading2"/>
        <w:numPr>
          <w:ilvl w:val="1"/>
          <w:numId w:val="1"/>
        </w:numPr>
        <w:rPr/>
      </w:pPr>
      <w:bookmarkStart w:id="11" w:name="__RefHeading___Toc17495743_1280447820"/>
      <w:bookmarkStart w:id="12" w:name="_Toc4"/>
      <w:bookmarkEnd w:id="10"/>
      <w:bookmarkEnd w:id="11"/>
      <w:r>
        <w:rPr>
          <w:rtl w:val="true"/>
        </w:rPr>
        <w:t>مقصود از تقريب مذاهب اسلامى چيست؟</w:t>
      </w:r>
      <w:bookmarkEnd w:id="12"/>
    </w:p>
    <w:p>
      <w:pPr>
        <w:pStyle w:val="Heading3"/>
        <w:numPr>
          <w:ilvl w:val="2"/>
          <w:numId w:val="1"/>
        </w:numPr>
        <w:rPr/>
      </w:pPr>
      <w:bookmarkStart w:id="13" w:name="__RefHeading___Toc17495745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به نظر مى‌رسد با وجود تأكيدى كه در زمان ما بر مسأله تقريب مذاهب اسلامى مى‌شود، تاكنون تعريف يكسانى از آن كه مورد اتفاق نظر صاحب‌نظران مسلمان باشد ارائه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ديدگاه‌هاى موجود درباره چيستى و چگونگى تقريب مذاهب اسلامى را به صورت زير مى‌توان عنوان و بررسى كرد</w:t>
      </w:r>
      <w:r>
        <w:rPr>
          <w:rFonts w:eastAsia="IRNazanin" w:cs="IRNazanin"/>
          <w:color w:val="111111"/>
          <w:sz w:val="28"/>
          <w:szCs w:val="28"/>
          <w:rtl w:val="true"/>
          <w:lang w:bidi="fa-IR"/>
        </w:rPr>
        <w:t>:</w:t>
      </w:r>
    </w:p>
    <w:p>
      <w:pPr>
        <w:pStyle w:val="Heading3"/>
        <w:numPr>
          <w:ilvl w:val="2"/>
          <w:numId w:val="1"/>
        </w:numPr>
        <w:rPr/>
      </w:pPr>
      <w:bookmarkStart w:id="15" w:name="__RefHeading___Toc17495747_1280447820"/>
      <w:bookmarkStart w:id="16" w:name="_Toc6"/>
      <w:bookmarkEnd w:id="15"/>
      <w:r>
        <w:rPr>
          <w:rtl w:val="true"/>
        </w:rPr>
        <w:t>الف</w:t>
      </w:r>
      <w:r>
        <w:rPr>
          <w:rtl w:val="true"/>
        </w:rPr>
        <w:t xml:space="preserve">: </w:t>
      </w:r>
      <w:r>
        <w:rPr>
          <w:rtl w:val="true"/>
        </w:rPr>
        <w:t>گزينش مذهب معيار</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مى‌پندارند مقصود از تقريب آن است كه در ميان مذاهب متعدّد اسلامى، يك</w:t>
      </w:r>
    </w:p>
    <w:p>
      <w:pPr>
        <w:pStyle w:val="BookText"/>
        <w:rPr/>
      </w:pPr>
      <w:r>
        <w:rPr>
          <w:rFonts w:ascii="IRNazanin" w:hAnsi="IRNazanin" w:eastAsia="IRNazanin"/>
          <w:color w:val="111111"/>
          <w:sz w:val="28"/>
          <w:sz w:val="28"/>
          <w:szCs w:val="28"/>
          <w:rtl w:val="true"/>
          <w:lang w:bidi="fa-IR"/>
        </w:rPr>
        <w:t>مذهب به عنوان اصل و معيار سنجش معرّفى شود و مذاهب ديگر خود را با آن هم‌آهنگ كنند، در حالى كه چنين پندارى نمى‌تواند تعريف صحيحى از تقريب به شمار آيد؛ زيرا ترديدى نيست كه پيروان هر يك از مذاهب اسلامى به گونه كاملًا طبيعى و قابل درك مذهب خود را مذهب برتر و معيار سنجش مى‌شناسند و به راحتى نمى‌توانند از اين باور ديرين به سود مذهب ديگرى عدول نمايند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 به نظر مى‌رسد كه چنين تصويرى از تقريب نه تنها به وحدت مسلمين نمى‌انجامد كه بالعكس زمينه نزاع مذهبى و اختلاف بيش از پيش آنان را فراهم مى‌نمايد</w:t>
      </w:r>
      <w:r>
        <w:rPr>
          <w:rFonts w:eastAsia="IRNazanin" w:cs="IRNazanin"/>
          <w:color w:val="111111"/>
          <w:sz w:val="28"/>
          <w:szCs w:val="28"/>
          <w:rtl w:val="true"/>
          <w:lang w:bidi="fa-IR"/>
        </w:rPr>
        <w:t>.</w:t>
      </w:r>
      <w:bookmarkStart w:id="17" w:name="pg19256_204952"/>
    </w:p>
    <w:p>
      <w:pPr>
        <w:pStyle w:val="Heading3"/>
        <w:numPr>
          <w:ilvl w:val="2"/>
          <w:numId w:val="1"/>
        </w:numPr>
        <w:rPr/>
      </w:pPr>
      <w:bookmarkStart w:id="18" w:name="__RefHeading___Toc17495749_1280447820"/>
      <w:bookmarkStart w:id="19" w:name="_Toc7"/>
      <w:bookmarkEnd w:id="17"/>
      <w:bookmarkEnd w:id="18"/>
      <w:r>
        <w:rPr>
          <w:rtl w:val="true"/>
        </w:rPr>
        <w:t>ب</w:t>
      </w:r>
      <w:r>
        <w:rPr>
          <w:rtl w:val="true"/>
        </w:rPr>
        <w:t xml:space="preserve">: </w:t>
      </w:r>
      <w:r>
        <w:rPr>
          <w:rtl w:val="true"/>
        </w:rPr>
        <w:t>وانهادن مسائل اختلافى‌</w:t>
      </w:r>
      <w:bookmarkEnd w:id="19"/>
    </w:p>
    <w:p>
      <w:pPr>
        <w:pStyle w:val="BookText"/>
        <w:rPr/>
      </w:pPr>
      <w:r>
        <w:rPr>
          <w:rFonts w:ascii="IRNazanin" w:hAnsi="IRNazanin" w:eastAsia="IRNazanin"/>
          <w:color w:val="111111"/>
          <w:sz w:val="28"/>
          <w:sz w:val="28"/>
          <w:szCs w:val="28"/>
          <w:rtl w:val="true"/>
          <w:lang w:bidi="fa-IR"/>
        </w:rPr>
        <w:t>برخى ديگر بر آنند كه مقصود از تقريب، از ياد بردن مسائل اختلافى و تأسيس مذهبى نوين بر پايه مشتركات مذاهب اسلامى است، اما به نظر مى‌رسد كه اين نظريه نيز غير قابل قبول و دچار تناقضى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ترديدى نيست كه مسائل شرعى مورد اختلاف به هر حال بخشى از شريعت اسلام را تشكيل مى‌دهند و از ياد بردن آن‌ها دقيقاً به معناى وانهادن بخشى از دين است كه به هيچ روى قابل قبول نمى‌باشد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ما نمى‌توانيم پاره‌اى از عقايد و احكام اسلامى را به خاطر آن‌كه مورد اختلاف مذاهب قرار دارند ناديده بگيريم و</w:t>
      </w:r>
      <w:bookmarkStart w:id="20" w:name="pg19256_204953"/>
    </w:p>
    <w:p>
      <w:pPr>
        <w:pStyle w:val="BookText"/>
        <w:rPr/>
      </w:pPr>
      <w:bookmarkEnd w:id="20"/>
      <w:r>
        <w:rPr>
          <w:rFonts w:ascii="IRNazanin" w:hAnsi="IRNazanin" w:eastAsia="IRNazanin"/>
          <w:color w:val="111111"/>
          <w:sz w:val="28"/>
          <w:sz w:val="28"/>
          <w:szCs w:val="28"/>
          <w:rtl w:val="true"/>
          <w:lang w:bidi="fa-IR"/>
        </w:rPr>
        <w:t>چشم خود را به روى آن‌ها كه خواه ناخواه بخشى از اسلام هستند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بيشتر تخريب مذاهب به نظر مى‌رسد تا تقريب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تعطيل شريعت مى‌انجامد</w:t>
      </w:r>
      <w:r>
        <w:rPr>
          <w:rFonts w:eastAsia="IRNazanin" w:cs="IRNazanin"/>
          <w:color w:val="111111"/>
          <w:sz w:val="28"/>
          <w:szCs w:val="28"/>
          <w:rtl w:val="true"/>
          <w:lang w:bidi="fa-IR"/>
        </w:rPr>
        <w:t>.</w:t>
      </w:r>
    </w:p>
    <w:p>
      <w:pPr>
        <w:pStyle w:val="Heading3"/>
        <w:numPr>
          <w:ilvl w:val="2"/>
          <w:numId w:val="1"/>
        </w:numPr>
        <w:rPr/>
      </w:pPr>
      <w:bookmarkStart w:id="21" w:name="__RefHeading___Toc17495751_1280447820"/>
      <w:bookmarkStart w:id="22" w:name="_Toc8"/>
      <w:bookmarkEnd w:id="21"/>
      <w:r>
        <w:rPr>
          <w:rtl w:val="true"/>
        </w:rPr>
        <w:t>ج</w:t>
      </w:r>
      <w:r>
        <w:rPr>
          <w:rtl w:val="true"/>
        </w:rPr>
        <w:t xml:space="preserve">: </w:t>
      </w:r>
      <w:r>
        <w:rPr>
          <w:rtl w:val="true"/>
        </w:rPr>
        <w:t>آزادى در گزينش هر يك از مبانى و ديدگاه‌هاى مذاهب‌</w:t>
      </w:r>
      <w:bookmarkEnd w:id="22"/>
    </w:p>
    <w:p>
      <w:pPr>
        <w:pStyle w:val="BookText"/>
        <w:rPr/>
      </w:pPr>
      <w:r>
        <w:rPr>
          <w:rFonts w:ascii="IRNazanin" w:hAnsi="IRNazanin" w:eastAsia="IRNazanin"/>
          <w:color w:val="111111"/>
          <w:sz w:val="28"/>
          <w:sz w:val="28"/>
          <w:szCs w:val="28"/>
          <w:rtl w:val="true"/>
          <w:lang w:bidi="fa-IR"/>
        </w:rPr>
        <w:t>برخى ديگر گمان مى‌كنند كه مقصود از تقريب، گونه‌اى آزادى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مسلمانى در انتخاب هر يك از مذاهب اسلامى آزاد باشد و بتواند در هر مسأله‌اى به هر كدام از مذاهب كه خواست رجوع كند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كه در اين تعريف مطرح مى‌شود آن است كه چه ملاكى براى انتخاب و رجوع به يك مذهب وجود دارد؟</w:t>
      </w:r>
      <w:bookmarkStart w:id="23" w:name="pg19256_204954"/>
    </w:p>
    <w:p>
      <w:pPr>
        <w:pStyle w:val="BookText"/>
        <w:rPr/>
      </w:pPr>
      <w:bookmarkEnd w:id="23"/>
      <w:r>
        <w:rPr>
          <w:rFonts w:ascii="IRNazanin" w:hAnsi="IRNazanin" w:eastAsia="IRNazanin"/>
          <w:color w:val="111111"/>
          <w:sz w:val="28"/>
          <w:sz w:val="28"/>
          <w:szCs w:val="28"/>
          <w:rtl w:val="true"/>
          <w:lang w:bidi="fa-IR"/>
        </w:rPr>
        <w:t>اگر انتخاب يك مذهب، بى‌قاعده و بدون ملاك مشخّص باشد و رجوع به هر يك از مذاهب بر پايه سلايق شخصى انجام شود گونه‌اى هرج و مرج مذهبى به وجود مى‌آيد كه نتايج زيانبار فراوانى براى فرد و جامعه خواهد داشت</w:t>
      </w:r>
      <w:r>
        <w:rPr>
          <w:rFonts w:eastAsia="IRNazanin" w:cs="IRNazanin"/>
          <w:color w:val="111111"/>
          <w:sz w:val="28"/>
          <w:szCs w:val="28"/>
          <w:rtl w:val="true"/>
          <w:lang w:bidi="fa-IR"/>
        </w:rPr>
        <w:t>.</w:t>
      </w:r>
    </w:p>
    <w:p>
      <w:pPr>
        <w:pStyle w:val="Heading3"/>
        <w:numPr>
          <w:ilvl w:val="2"/>
          <w:numId w:val="1"/>
        </w:numPr>
        <w:rPr/>
      </w:pPr>
      <w:bookmarkStart w:id="24" w:name="__RefHeading___Toc17495753_1280447820"/>
      <w:bookmarkStart w:id="25" w:name="_Toc9"/>
      <w:bookmarkEnd w:id="24"/>
      <w:r>
        <w:rPr>
          <w:rtl w:val="true"/>
        </w:rPr>
        <w:t>د</w:t>
      </w:r>
      <w:r>
        <w:rPr>
          <w:rtl w:val="true"/>
        </w:rPr>
        <w:t xml:space="preserve">: </w:t>
      </w:r>
      <w:r>
        <w:rPr>
          <w:rtl w:val="true"/>
        </w:rPr>
        <w:t>ملاحظات و مصلحت‌انديشى‌هاى سياسى‌</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مى‌پندارند كه تقريب مذاهب اسلامى صرفاً تدبيرى سياسى و اقدامى مصلحت‌انديشانه در برابر دشمنان مشترك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چند اختلافات موجود ذاتاً عميق و غير قابل اصلاح است اما شرايط فعلى جهان اسلام پرهيز از تشتّت و وحدت مسلمين را به</w:t>
      </w:r>
    </w:p>
    <w:p>
      <w:pPr>
        <w:pStyle w:val="BookText"/>
        <w:rPr/>
      </w:pPr>
      <w:r>
        <w:rPr>
          <w:rFonts w:ascii="Amiri" w:hAnsi="Amiri" w:eastAsia="Amiri" w:cs="Amiri"/>
          <w:color w:val="111111"/>
          <w:sz w:val="28"/>
          <w:sz w:val="28"/>
          <w:szCs w:val="28"/>
          <w:rtl w:val="true"/>
          <w:lang w:bidi="ar-SA"/>
        </w:rPr>
        <w:t>عنوان امرى عرضى ايجاب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از ظاهر گفتار بسيارى از صاحب‌نظران اسلامى چنين تعريفى برداشت مى‌شود ولى نمى‌توان اشكالات موجود در آن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تقريب مذاهب اسلامى مولود شرايط فعلى جهان اسلام باشد با تغيير احتمالى شرايط ضرورت خود را از دست خواهد داد، و اين به معناى بازگشت به تفرقه و از دست دادن وحدت است كه در هيچ حالى مطلوب به نظر نمى‌رسد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تجربه نشان داده است كسانى كه به تقريب مذاهب اسلامى از چنين زاويه‌اى مى‌نگرند در عمل كارى از پيش نبرده‌اند و ناكام مانده‌اند</w:t>
      </w:r>
      <w:r>
        <w:rPr>
          <w:rFonts w:eastAsia="IRNazanin" w:cs="IRNazanin"/>
          <w:color w:val="111111"/>
          <w:sz w:val="28"/>
          <w:szCs w:val="28"/>
          <w:rtl w:val="true"/>
          <w:lang w:bidi="fa-IR"/>
        </w:rPr>
        <w:t>.</w:t>
      </w:r>
      <w:bookmarkStart w:id="26" w:name="pg19256_204956"/>
    </w:p>
    <w:p>
      <w:pPr>
        <w:pStyle w:val="Heading3"/>
        <w:numPr>
          <w:ilvl w:val="2"/>
          <w:numId w:val="1"/>
        </w:numPr>
        <w:rPr/>
      </w:pPr>
      <w:bookmarkStart w:id="27" w:name="__RefHeading___Toc17495755_1280447820"/>
      <w:bookmarkStart w:id="28" w:name="_Toc10"/>
      <w:bookmarkEnd w:id="26"/>
      <w:bookmarkEnd w:id="27"/>
      <w:r>
        <w:rPr>
          <w:rtl w:val="true"/>
        </w:rPr>
        <w:t>ه</w:t>
      </w:r>
      <w:r>
        <w:rPr>
          <w:rtl w:val="true"/>
        </w:rPr>
        <w:t xml:space="preserve">: </w:t>
      </w:r>
      <w:r>
        <w:rPr>
          <w:rtl w:val="true"/>
        </w:rPr>
        <w:t>گفت‌وگوى صحيح و سازنده‌</w:t>
      </w:r>
      <w:bookmarkEnd w:id="28"/>
    </w:p>
    <w:p>
      <w:pPr>
        <w:pStyle w:val="Heading3"/>
        <w:numPr>
          <w:ilvl w:val="2"/>
          <w:numId w:val="1"/>
        </w:numPr>
        <w:rPr/>
      </w:pPr>
      <w:bookmarkStart w:id="29" w:name="__RefHeading___Toc17495757_1280447820"/>
      <w:bookmarkStart w:id="30" w:name="_Toc11"/>
      <w:bookmarkEnd w:id="29"/>
      <w:r>
        <w:rPr>
          <w:rtl w:val="true"/>
        </w:rPr>
        <w:t xml:space="preserve">مذاهب </w:t>
      </w:r>
      <w:r>
        <w:rPr>
          <w:rtl w:val="true"/>
        </w:rPr>
        <w:t>(</w:t>
      </w:r>
      <w:r>
        <w:rPr>
          <w:rtl w:val="true"/>
        </w:rPr>
        <w:t>ديدگاه صحيح</w:t>
      </w:r>
      <w:r>
        <w:rPr>
          <w:rtl w:val="true"/>
        </w:rPr>
        <w:t>)</w:t>
      </w:r>
      <w:bookmarkEnd w:id="30"/>
    </w:p>
    <w:p>
      <w:pPr>
        <w:pStyle w:val="BookText"/>
        <w:rPr/>
      </w:pPr>
      <w:r>
        <w:rPr>
          <w:rFonts w:ascii="Amiri" w:hAnsi="Amiri" w:eastAsia="Amiri" w:cs="Amiri"/>
          <w:color w:val="111111"/>
          <w:sz w:val="28"/>
          <w:sz w:val="28"/>
          <w:szCs w:val="28"/>
          <w:rtl w:val="true"/>
          <w:lang w:bidi="ar-SA"/>
        </w:rPr>
        <w:t>به نظر مى‌رسد مقصود از تقريب، تعامل علمى و عملى مذاهب اسلامى بر مبناى مشتركات و احترام متقابل است كه با احساس اخوّت و تسامحى معقول و شيوه‌اى عالمانه، بركنار از احساس نفرت و عارى از تعصّبات غيرمنطقى و به دور از روشى عوامانه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دقيق‌تر، تقريب مذاهب اسلامى به معناى ترويج فرهنگ گفت‌وگوى صحيح و سازنده بر اساس اصول و مبانى مشترك با هدف درك يكديگر و دست‌يابى به رشد علمى و مذهبى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مذاهب اسلامى مى‌توانند ضمن پاى‌بندى به مبانى و ديدگاه‌هاى خود در سايه تعامل منطقى و گفت‌وگوى علمى يكديگر را درك كنند و</w:t>
      </w:r>
    </w:p>
    <w:p>
      <w:pPr>
        <w:pStyle w:val="BookText"/>
        <w:rPr/>
      </w:pPr>
      <w:r>
        <w:rPr>
          <w:rFonts w:ascii="Amiri" w:hAnsi="Amiri" w:eastAsia="Amiri" w:cs="Amiri"/>
          <w:color w:val="111111"/>
          <w:sz w:val="28"/>
          <w:sz w:val="28"/>
          <w:szCs w:val="28"/>
          <w:rtl w:val="true"/>
          <w:lang w:bidi="ar-SA"/>
        </w:rPr>
        <w:t>به هم نزديك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به نظر مى‌رسد اين شيوه تقريب، از آن حيث كه جنبه گفت‌وگو و صورت نظرى دارد، صرفاً در ميان خواصّ امّت و صاحب‌نظران اسلامى قابل طرح است وشامل عوام مسلمين نمى‌شود، امّا ترديدى نيست كه وجود چنين نگرشى در ميان خواص امّت به روى نگرش عوام مسلمان كه سخت تحت تأثير علما و فضاى حاكم بر جامعه خويش هستند، تأثيرى ژرف مى‌گذارد و در عمل به ايجاد حسّ تفاهم و مداراى مذهبى در ميان عموم مسلمين مى‌انجامد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احساس اخوّت اسلامى، هم‌زيستى مسالمت‌آميز و احترام به ديدگاه‌هاى يكديگر ثمره روحيه حاكم بر علماى امّت و تقريب مذاهب اسلامى به معناى</w:t>
      </w:r>
    </w:p>
    <w:p>
      <w:pPr>
        <w:pStyle w:val="BookText"/>
        <w:rPr/>
      </w:pPr>
      <w:r>
        <w:rPr>
          <w:rFonts w:ascii="IRNazanin" w:hAnsi="IRNazanin" w:eastAsia="IRNazanin"/>
          <w:color w:val="111111"/>
          <w:sz w:val="28"/>
          <w:sz w:val="28"/>
          <w:szCs w:val="28"/>
          <w:rtl w:val="true"/>
          <w:lang w:bidi="fa-IR"/>
        </w:rPr>
        <w:t>پيش‌گفته است كه در ميان عامه مسلمين و همه اقشار جامعه اسلامى ظهور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علماى مذاهب و خواصّ جامعه اسلامى به جاى بذر گفت‌وگوى صحيح و سازنده، تخم پيكار و جنجال مى‌افشانند، طبيعتاً نمى‌توان توقّع داشت كه ميان آحاد امّت و عوام مسلمين محصولى جز خصومت و خشونت به بار آيد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تعامل صحيح و گفت‌وگوى سازنده عالمان مذاهب اسلامى در نظر كه بر پايه مشتركات و احترام متقابل صورت مى‌پذيرد و به دنبال آن، برخورد صحيح و روابط حسنه عموم مسلمين در عمل كه بر مبناى احساس برادرى و مداراى اسلامى انجام مى‌شود، بهترين و عملى‌ترين تعريفى است</w:t>
      </w:r>
    </w:p>
    <w:p>
      <w:pPr>
        <w:pStyle w:val="BookText"/>
        <w:rPr/>
      </w:pPr>
      <w:r>
        <w:rPr>
          <w:rFonts w:ascii="Amiri" w:hAnsi="Amiri" w:eastAsia="Amiri" w:cs="Amiri"/>
          <w:color w:val="111111"/>
          <w:sz w:val="28"/>
          <w:sz w:val="28"/>
          <w:szCs w:val="28"/>
          <w:rtl w:val="true"/>
          <w:lang w:bidi="ar-SA"/>
        </w:rPr>
        <w:t>كه مى‌توان از تقريب مذاهب اسلامى به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انصاف آن است كه بسيارى از آن‌چه اختلافات جدّى تلقّى شده تنها سوء تفاهم‌هايى بوده كه در نتيجه دورى مذاهب از يكديگر و عدم تعامل و گفت‌وگو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به خاطر عدم ارتباط كافى و صحيح درك درستى از مبانى و ديدگاه‌هاى يكديگر نداشته‌اند و به تعبير قرآن كريم تنها از گمان‌ها پيروى كرده‌اند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لَهُمْ بِذلِكَ مِنْ عِلْمٍ إِنْ هُمْ إِلَّا يَظُنُّونَ </w:t>
      </w:r>
      <w:r>
        <w:rPr>
          <w:rStyle w:val="FootnoteAnchor"/>
          <w:rtl w:val="true"/>
        </w:rPr>
        <w:footnoteReference w:id="3"/>
      </w:r>
      <w:r>
        <w:rPr>
          <w:rFonts w:ascii="IRNazanin" w:hAnsi="IRNazanin" w:eastAsia="IRNazanin"/>
          <w:color w:val="111111"/>
          <w:sz w:val="28"/>
          <w:sz w:val="28"/>
          <w:szCs w:val="28"/>
          <w:rtl w:val="true"/>
          <w:lang w:bidi="fa-IR"/>
        </w:rPr>
        <w:t>آن هم گمان‌هاى بد كه مورد نهى قرآن كريم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راز تقريب مذاهب را در گفت‌وگوى مذاهب بايد جست</w:t>
      </w:r>
      <w:r>
        <w:rPr>
          <w:rFonts w:eastAsia="IRNazanin" w:cs="IRNazanin"/>
          <w:color w:val="111111"/>
          <w:sz w:val="28"/>
          <w:szCs w:val="28"/>
          <w:rtl w:val="true"/>
          <w:lang w:bidi="fa-IR"/>
        </w:rPr>
        <w:t>.</w:t>
      </w:r>
      <w:bookmarkStart w:id="31" w:name="pg19256_204962"/>
    </w:p>
    <w:p>
      <w:pPr>
        <w:pStyle w:val="Heading2"/>
        <w:numPr>
          <w:ilvl w:val="1"/>
          <w:numId w:val="1"/>
        </w:numPr>
        <w:rPr/>
      </w:pPr>
      <w:bookmarkStart w:id="32" w:name="__RefHeading___Toc17495759_1280447820"/>
      <w:bookmarkStart w:id="33" w:name="_Toc12"/>
      <w:bookmarkEnd w:id="31"/>
      <w:bookmarkEnd w:id="32"/>
      <w:r>
        <w:rPr>
          <w:rtl w:val="true"/>
        </w:rPr>
        <w:t>آيا تقريب مذاهب اسلامى ممكن و جايز است؟</w:t>
      </w:r>
      <w:bookmarkEnd w:id="33"/>
    </w:p>
    <w:p>
      <w:pPr>
        <w:pStyle w:val="Heading3"/>
        <w:numPr>
          <w:ilvl w:val="2"/>
          <w:numId w:val="1"/>
        </w:numPr>
        <w:rPr/>
      </w:pPr>
      <w:bookmarkStart w:id="34" w:name="__RefHeading___Toc17495761_128044782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گفتنى است، تقريب مذاهب اسلامى همچنان‌كه موافقان و مناديان فراوانى در كشورهاى مختلف اسلامى دارد، با مخالفت برخى انديشمندان مسلمان نيز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اينان به دو پندار متفاوت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تقريب مذاهب اسلامى را ناممكن مى‌پندارند و برخى آن را اساساً جايز نمى‌شمارند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هر يك از اين دو پندار را به اختصار</w:t>
      </w:r>
      <w:bookmarkStart w:id="36" w:name="pg19256_204963"/>
    </w:p>
    <w:p>
      <w:pPr>
        <w:pStyle w:val="BookText"/>
        <w:rPr/>
      </w:pPr>
      <w:bookmarkEnd w:id="36"/>
      <w:r>
        <w:rPr>
          <w:rFonts w:ascii="Amiri" w:hAnsi="Amiri" w:eastAsia="Amiri" w:cs="Amiri"/>
          <w:color w:val="111111"/>
          <w:sz w:val="28"/>
          <w:sz w:val="28"/>
          <w:szCs w:val="28"/>
          <w:rtl w:val="true"/>
          <w:lang w:bidi="ar-SA"/>
        </w:rPr>
        <w:t>بررسى مى‌نماييم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7495763_1280447820"/>
      <w:bookmarkStart w:id="38" w:name="_Toc14"/>
      <w:bookmarkEnd w:id="37"/>
      <w:r>
        <w:rPr>
          <w:rtl w:val="true"/>
        </w:rPr>
        <w:t>الف</w:t>
      </w:r>
      <w:r>
        <w:rPr>
          <w:rtl w:val="true"/>
        </w:rPr>
        <w:t xml:space="preserve">: </w:t>
      </w:r>
      <w:r>
        <w:rPr>
          <w:rtl w:val="true"/>
        </w:rPr>
        <w:t>امكان تقريب مذاهب اسلامى‌</w:t>
      </w:r>
      <w:bookmarkEnd w:id="38"/>
    </w:p>
    <w:p>
      <w:pPr>
        <w:pStyle w:val="BookText"/>
        <w:rPr/>
      </w:pPr>
      <w:r>
        <w:rPr>
          <w:rFonts w:ascii="IRNazanin" w:hAnsi="IRNazanin" w:eastAsia="IRNazanin"/>
          <w:color w:val="111111"/>
          <w:sz w:val="28"/>
          <w:sz w:val="28"/>
          <w:szCs w:val="28"/>
          <w:rtl w:val="true"/>
          <w:lang w:bidi="fa-IR"/>
        </w:rPr>
        <w:t>پيشتر گفتيم كه هر چند ميان دو مذهب شيعه و سنّى پاره‌اى اختلافات جدّى وجود دارد، اما عمده اصول و مبانى اعتقادى، و بسيارى از آراى فقهى و ديدگاه‌هاى اخلاقى آن‌ها با يكديگر برابر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مذاهب اسلامى خداى واحدى را مى‌پرستند و از پيامبر واحدى پيروى مى‌كنند و كتاب آسمانى واحدى را مى‌خوانند و به سوى يك قبله نماز مى‌گزارند و در اصولى چون نماز و روزه و زكات مشتركات فراوانى دارند و هر سال در مراسم حج، امّت واحده و صفوف يكپارچه‌اى را به نمايش مى‌گذارند، و در لزوم رعايت</w:t>
      </w:r>
    </w:p>
    <w:p>
      <w:pPr>
        <w:pStyle w:val="BookText"/>
        <w:rPr/>
      </w:pPr>
      <w:r>
        <w:rPr>
          <w:rFonts w:ascii="IRNazanin" w:hAnsi="IRNazanin" w:eastAsia="IRNazanin"/>
          <w:color w:val="111111"/>
          <w:sz w:val="28"/>
          <w:sz w:val="28"/>
          <w:szCs w:val="28"/>
          <w:rtl w:val="true"/>
          <w:lang w:bidi="fa-IR"/>
        </w:rPr>
        <w:t>اخلاق حسنه و پرهيز از رذائل نفسانى اختلافى ندارند، و اين براى امكان تقريب آن‌ها به يكديگر كافى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در قرآن كريم همه موحدّان و خداپرستان عالَم از مسلمان و غير مسلمان را صرفاً با اتّكاء به كلمه توحيد به سوى وحدت و همبستگى فراخوانده و فرموده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باورى كه ميان ما و شما مشترك</w:t>
      </w:r>
      <w:bookmarkStart w:id="39" w:name="pg19256_204965"/>
    </w:p>
    <w:p>
      <w:pPr>
        <w:pStyle w:val="BookText"/>
        <w:rPr/>
      </w:pPr>
      <w:bookmarkEnd w:id="39"/>
      <w:r>
        <w:rPr>
          <w:rFonts w:ascii="IRNazanin" w:hAnsi="IRNazanin" w:eastAsia="IRNazanin"/>
          <w:color w:val="111111"/>
          <w:sz w:val="28"/>
          <w:sz w:val="28"/>
          <w:szCs w:val="28"/>
          <w:rtl w:val="true"/>
          <w:lang w:bidi="fa-IR"/>
        </w:rPr>
        <w:t>است و آن اين‌كه جز خدا را نپرستيم و براى او شريكى قرار ندهيم و برخى از خودمان را اربابى جز خداوند نگيريم پس اگر روى برتافتند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تسليم شدگانيم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هرگاه تقريب مذاهب توحيدى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باور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باشد، به طريق اولى تقريب مذاهب اسلامى در سايه انبوه باورهاى مشترك ممكن خواهد بود و اين آرمانى است كه با گفت‌وگوى 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خواهد شد</w:t>
      </w:r>
      <w:r>
        <w:rPr>
          <w:rFonts w:eastAsia="IRNazanin" w:cs="IRNazanin"/>
          <w:color w:val="111111"/>
          <w:sz w:val="28"/>
          <w:szCs w:val="28"/>
          <w:rtl w:val="true"/>
          <w:lang w:bidi="fa-IR"/>
        </w:rPr>
        <w:t>.</w:t>
      </w:r>
    </w:p>
    <w:p>
      <w:pPr>
        <w:pStyle w:val="Heading3"/>
        <w:numPr>
          <w:ilvl w:val="2"/>
          <w:numId w:val="1"/>
        </w:numPr>
        <w:rPr/>
      </w:pPr>
      <w:bookmarkStart w:id="40" w:name="__RefHeading___Toc17495765_1280447820"/>
      <w:bookmarkStart w:id="41" w:name="_Toc15"/>
      <w:bookmarkEnd w:id="40"/>
      <w:r>
        <w:rPr>
          <w:rtl w:val="true"/>
        </w:rPr>
        <w:t>ب</w:t>
      </w:r>
      <w:r>
        <w:rPr>
          <w:rtl w:val="true"/>
        </w:rPr>
        <w:t xml:space="preserve">: </w:t>
      </w:r>
      <w:r>
        <w:rPr>
          <w:rtl w:val="true"/>
        </w:rPr>
        <w:t>روا بودن تقريب مذاهب اسلامى‌</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مخالفت برخى پيروان مذاهب اسلامى با تقريب و روا ندانستن آن از</w:t>
      </w:r>
    </w:p>
    <w:p>
      <w:pPr>
        <w:pStyle w:val="BookText"/>
        <w:rPr/>
      </w:pPr>
      <w:r>
        <w:rPr>
          <w:rFonts w:ascii="IRNazanin" w:hAnsi="IRNazanin" w:eastAsia="IRNazanin"/>
          <w:color w:val="111111"/>
          <w:sz w:val="28"/>
          <w:sz w:val="28"/>
          <w:szCs w:val="28"/>
          <w:rtl w:val="true"/>
          <w:lang w:bidi="fa-IR"/>
        </w:rPr>
        <w:t>حيث مذهبى زاده برداشت نادرستى است كه از اين موضوع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اينان غالباً تقريب مذاهب را به معناى انفعال مذاهب در برابر يكديگر و مستلزم دست شستن از پاره‌اى عقايد و ديدگاه‌هاى اساسى هر مذهب به سود مذهب ديگر انگاشته‌اند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ما از اين مقوله تعريف متفاوتى ارائه داديم و گفتيم كه تقريب مذاهب اسلامى اساساً چيزى جز تعامل و گفت‌وگوى مفيد و قانونمند مذاهب نيست؛ چيزى كه ريشه در فرهنگ اصيل اسلامى و آموزه‌هاى قرآن كريم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جريان‌هايى وجود داشته باشند كه اساساً گفت‌وگوى مذاهب اسلامى را نيز</w:t>
      </w:r>
    </w:p>
    <w:p>
      <w:pPr>
        <w:pStyle w:val="BookText"/>
        <w:rPr/>
      </w:pPr>
      <w:r>
        <w:rPr>
          <w:rFonts w:ascii="IRNazanin" w:hAnsi="IRNazanin" w:eastAsia="IRNazanin"/>
          <w:color w:val="111111"/>
          <w:sz w:val="28"/>
          <w:sz w:val="28"/>
          <w:szCs w:val="28"/>
          <w:rtl w:val="true"/>
          <w:lang w:bidi="fa-IR"/>
        </w:rPr>
        <w:t>برنمى‌تابند و هر گونه تعامل غير خصمانه با افكار ديگر را روا نمى‌شمارند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گفت‌وگو و تعامل علمى با ساير مذاهب را قرار دادن مذهب خود در معرض خطر و زمينه شك در دين و گمراهى مذهبى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ناگفته پيداست كه چنين توهّم نامباركى نه تنها هيچ مبناى درستى در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 سلف صالح ندارد، كه گونه‌اى گريز از واقعيت‌ها و چشم بستن به روى حقيقت و سدّ باب علم و هدايت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خدا صريحاً عموم مسلمانان را به ترك تفرقه فراخوانده و ايجاد همبستگى و اخوّت اسلامى ميان آنان را نعمت خداوند برشمرده و</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وَاعْتَصِمُوا بِحَبْلِ اللَّهِ جَمِيعاً وَ لا تَفَرَّقُوا وَ اذْكُرُوا نِعْمَتَ اللَّهِ عَلَيْكُمْ إِذْ كُنْتُمْ أَعْداءً فَأَلَّفَ بَيْنَ قُلُوبِكُمْ فَأَصْبَحْتُمْ بِنِعْمَتِهِ إِخْواناً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خداوند چنگ زنيد و از تفرقه بپرهيزيد و نعمت خداوند به خود را ياد آوريد هنگامى كه دشمنان يكديگر بوديد پس ميان دلهايتان الفت ايجاد كرد گونه‌اى كه بدين نعمت او برادران يكديگر شديد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آيه ديگرى، آن‌جا كه داستان انحراف بنى اسرائيل از مسير توحيد در غيبت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آنان را خاطرنشان مى‌نمايد، عذر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مداراى با</w:t>
      </w:r>
    </w:p>
    <w:p>
      <w:pPr>
        <w:pStyle w:val="BookText"/>
        <w:rPr/>
      </w:pPr>
      <w:r>
        <w:rPr>
          <w:rFonts w:ascii="Amiri" w:hAnsi="Amiri" w:eastAsia="Amiri" w:cs="Amiri"/>
          <w:color w:val="111111"/>
          <w:sz w:val="28"/>
          <w:sz w:val="28"/>
          <w:szCs w:val="28"/>
          <w:rtl w:val="true"/>
          <w:lang w:bidi="ar-SA"/>
        </w:rPr>
        <w:t xml:space="preserve">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 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مى‌كند و از قول آن حضرت خطاب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خَشِيتُ أَنْ تَقُولَ فَرَّقْتَ بَيْنَ بَنِي إِسْرائِيلَ وَ لَمْ تَرْقُبْ قَوْلِي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ترسيدم كه بگويى ميان بنى اسرائيل تفرقه ايجاد كردى و فرمان مرا نبردى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بنيان حركت الهى خويش را بر روى اتّحاد مسلمين و نفى اختلاف‌هاى قبيلگى نهاد و با تكيه بر نيروى حاصل از اين يكپارچگى بر مشركان پيروز 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شكّى نيست كه اتّحاد مسلمين در پرتو تبعيت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عوامل پيروزى آنان در پيكار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وقتى در جنگ احد وحدت خود را</w:t>
      </w:r>
    </w:p>
    <w:p>
      <w:pPr>
        <w:pStyle w:val="BookText"/>
        <w:rPr/>
      </w:pPr>
      <w:r>
        <w:rPr>
          <w:rFonts w:ascii="IRNazanin" w:hAnsi="IRNazanin" w:eastAsia="IRNazanin"/>
          <w:color w:val="111111"/>
          <w:sz w:val="28"/>
          <w:sz w:val="28"/>
          <w:szCs w:val="28"/>
          <w:rtl w:val="true"/>
          <w:lang w:bidi="fa-IR"/>
        </w:rPr>
        <w:t>از دست دادند و دچار تفرقه شدند، دشمن از رخنه افتاده در صفوف آنان سوء استفاده كرد و با دور زدن سپاه اسلام بر آنان چيره آمد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درگذشت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جريان سقيفه بنى ساعده كه به بيعت شتابزده ابوبكر </w:t>
      </w:r>
      <w:r>
        <w:rPr>
          <w:rStyle w:val="FootnoteAnchor"/>
          <w:rtl w:val="true"/>
        </w:rPr>
        <w:footnoteReference w:id="9"/>
      </w:r>
      <w:r>
        <w:rPr>
          <w:rFonts w:ascii="Amiri" w:hAnsi="Amiri" w:eastAsia="Amiri" w:cs="Amiri"/>
          <w:color w:val="111111"/>
          <w:sz w:val="28"/>
          <w:sz w:val="28"/>
          <w:szCs w:val="28"/>
          <w:rtl w:val="true"/>
          <w:lang w:bidi="ar-SA"/>
        </w:rPr>
        <w:t>و محروميت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از آن حضرت منتهى شد </w:t>
      </w:r>
      <w:r>
        <w:rPr>
          <w:rStyle w:val="FootnoteAnchor"/>
          <w:rtl w:val="true"/>
        </w:rPr>
        <w:footnoteReference w:id="10"/>
      </w:r>
      <w:r>
        <w:rPr>
          <w:rFonts w:ascii="IRNazanin" w:hAnsi="IRNazanin" w:eastAsia="IRNazanin"/>
          <w:color w:val="111111"/>
          <w:sz w:val="28"/>
          <w:sz w:val="28"/>
          <w:szCs w:val="28"/>
          <w:rtl w:val="true"/>
          <w:lang w:bidi="fa-IR"/>
        </w:rPr>
        <w:t>، با گرفتن جانب خويشتن‌دارى و پرهيز از ايجاد تفرقه، عملًا بر اهميت و ضرورت حفظ وحدت</w:t>
      </w:r>
    </w:p>
    <w:p>
      <w:pPr>
        <w:pStyle w:val="BookText"/>
        <w:rPr/>
      </w:pPr>
      <w:r>
        <w:rPr>
          <w:rFonts w:ascii="IRNazanin" w:hAnsi="IRNazanin" w:eastAsia="IRNazanin"/>
          <w:color w:val="111111"/>
          <w:sz w:val="28"/>
          <w:sz w:val="28"/>
          <w:szCs w:val="28"/>
          <w:rtl w:val="true"/>
          <w:lang w:bidi="fa-IR"/>
        </w:rPr>
        <w:t>مسلمين پاى فشرد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بى‌ترديد خويشتن‌دارى آن حضرت كه بعدها حتّى با كمك فكرى به خلفا همراه شد، نقش بسيار مهمّى در حفظ اسلام در آن شرايط بحرانى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امامان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هر يك به نوبه خود در حفظ وحدت مسلمين سهيم بوده‌اند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مى‌توان به احاديث فراوانى اشاره كرد كه آن پيشوايان الهى در آن، ياران خود را به حضور فعال در جامعه اسلامى و مدارا با پيروان مذاهب ديگر</w:t>
      </w:r>
    </w:p>
    <w:p>
      <w:pPr>
        <w:pStyle w:val="BookText"/>
        <w:rPr/>
      </w:pPr>
      <w:r>
        <w:rPr>
          <w:rFonts w:ascii="Amiri" w:hAnsi="Amiri" w:eastAsia="Amiri" w:cs="Amiri"/>
          <w:color w:val="111111"/>
          <w:sz w:val="28"/>
          <w:sz w:val="28"/>
          <w:szCs w:val="28"/>
          <w:rtl w:val="true"/>
          <w:lang w:bidi="ar-SA"/>
        </w:rPr>
        <w:t>دعوت مى‌فرمايند</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بسيارى از صاحب‌نظران شيعه، اين احاديث را بر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كرده‌اند، امّا حق آن است كه</w:t>
      </w:r>
    </w:p>
    <w:p>
      <w:pPr>
        <w:pStyle w:val="BookText"/>
        <w:rPr/>
      </w:pPr>
      <w:r>
        <w:rPr>
          <w:rFonts w:ascii="IRNazanin" w:hAnsi="IRNazanin" w:eastAsia="IRNazanin"/>
          <w:color w:val="111111"/>
          <w:sz w:val="28"/>
          <w:sz w:val="28"/>
          <w:szCs w:val="28"/>
          <w:rtl w:val="true"/>
          <w:lang w:bidi="fa-IR"/>
        </w:rPr>
        <w:t>مى‌توان به اين احاديث از زاويه تقريب مذاهب اسلامى و اهتمام به وحدت مسلمين نيز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 حقايق مى‌توان گفت كسانى كه گفت‌وگوى مذاهب اسلامى را برنمى‌تابند و تعامل غير خصمانه با افكار ديگر را روا نمى‌شمارند به كلّى از روح اسلام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اينان خود بيش از ديگران به سستى منطق و ضعف مبانى و ديدگاه‌هاى مذهبى خود واقف‌اند، لذا طبيعى است كه از مغلوب شدن در عرصه بحث و گفت‌وگو بيمناك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يادآور شد چنين پندار بى‌اساسى چندان تازه به نظر نمى‌رسد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تاريخ اسلام با نمونه‌هاى تاريكى روبه‌رو مى‌شويم كه برخى جريان‌ها و شخصيت‌هاى مذهبى از هر گونه پاسخگويى به پرسش‌هاى ديگران</w:t>
      </w:r>
    </w:p>
    <w:p>
      <w:pPr>
        <w:pStyle w:val="BookText"/>
        <w:rPr/>
      </w:pPr>
      <w:r>
        <w:rPr>
          <w:rFonts w:ascii="IRNazanin" w:hAnsi="IRNazanin" w:eastAsia="IRNazanin"/>
          <w:color w:val="111111"/>
          <w:sz w:val="28"/>
          <w:sz w:val="28"/>
          <w:szCs w:val="28"/>
          <w:rtl w:val="true"/>
          <w:lang w:bidi="fa-IR"/>
        </w:rPr>
        <w:t>طفره رفته‌اند و حتى پرسش از چرايى باورها را گونه‌اى بدعت و نشان گمراهى پنداشته‌اند و با آن به گونه غير قابل دركى برخورد كرده‌اند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هنگامى كه پرسش‌گرى از مالك بن انس يكى از پيشوايان مذاهب چهارگانه اهل سنّت درباره مفهوم آيه شريفه الرَّحْمنُ عَلَى الْعَرْشِ اسْتَوى </w:t>
      </w:r>
      <w:r>
        <w:rPr>
          <w:rStyle w:val="FootnoteAnchor"/>
          <w:rtl w:val="true"/>
        </w:rPr>
        <w:footnoteReference w:id="13"/>
      </w:r>
      <w:r>
        <w:rPr>
          <w:rFonts w:ascii="IRNazanin" w:hAnsi="IRNazanin" w:eastAsia="IRNazanin"/>
          <w:color w:val="111111"/>
          <w:sz w:val="28"/>
          <w:sz w:val="28"/>
          <w:szCs w:val="28"/>
          <w:rtl w:val="true"/>
          <w:lang w:bidi="fa-IR"/>
        </w:rPr>
        <w:t>پرسش مى‌كند، وى مدّتى سر به زير مى‌افكند و پس از مدّتى سكوت، در حالى كه عرق كرده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غير معقول، استوا غير مجهول، ايمان بدان واجب و پرسش درباره آن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مى‌كنم كه تو اهل بدعت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پرسش‌گر را بيرون انداختند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خوشبختانه در كنار چنين نمونه‌هاى غم‌انگيزى نمونه‌هاى روشنى نيز ديده مى‌شود كه نشان مى‌دهد پيشوايان مذاهب اسلامى با يكديگر تعامل و گفت‌وگو داشته‌اند و از پرسش‌هاى علمى گوناگون استقبال نموده‌اند و از تكفير و تحقير يكديگر پرهيز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 در رأس اين پيشوايان،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كه همواره ابواب خانه‌هاشان به روى همه امّت و عموم طالبان علم و</w:t>
      </w:r>
    </w:p>
    <w:p>
      <w:pPr>
        <w:pStyle w:val="BookText"/>
        <w:rPr/>
      </w:pPr>
      <w:r>
        <w:rPr>
          <w:rFonts w:ascii="IRNazanin" w:hAnsi="IRNazanin" w:eastAsia="IRNazanin"/>
          <w:color w:val="111111"/>
          <w:sz w:val="28"/>
          <w:sz w:val="28"/>
          <w:szCs w:val="28"/>
          <w:rtl w:val="true"/>
          <w:lang w:bidi="fa-IR"/>
        </w:rPr>
        <w:t>معرفت از مذاهب و حتّى اديان گوناگون گشوده بود و از گفت‌وگو با آنان و پاسخگويى به پرسش‌هاى مختلف‌شان استقبال مى‌نمودند و بسا شاگردان خود را نيز به حضور در جامعه اسلامى و گفت‌وگوى علمى با مذاهب مختلف تشويق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مى‌شود كه تقريب مذاهب اسلامى به معناى ترويج فرهنگ گفت‌وگوى صحيح و سازنده، نه تنها ممكن و جايز است، كه كارى بسيار ضرورى و شايسته مى‌باشد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مرحوم سيد 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پيشگامان نهضت تقريب در سده اخير كتابى با عنوان الفصول المهمّة فى تأليف الأمّة نگاشته و در آن با تفصيل بيشترى بر ضرورت و امكان تقريب مذاهب اسلامى پاى</w:t>
      </w:r>
      <w:bookmarkStart w:id="42" w:name="pg19256_204978"/>
    </w:p>
    <w:p>
      <w:pPr>
        <w:pStyle w:val="BookText"/>
        <w:rPr/>
      </w:pPr>
      <w:bookmarkEnd w:id="42"/>
      <w:r>
        <w:rPr>
          <w:rFonts w:ascii="IRNazanin" w:hAnsi="IRNazanin" w:eastAsia="IRNazanin"/>
          <w:color w:val="111111"/>
          <w:sz w:val="28"/>
          <w:sz w:val="28"/>
          <w:szCs w:val="28"/>
          <w:rtl w:val="true"/>
          <w:lang w:bidi="fa-IR"/>
        </w:rPr>
        <w:t>فشرده است</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43" w:name="__RefHeading___Toc17495767_1280447820"/>
      <w:bookmarkStart w:id="44" w:name="_Toc16"/>
      <w:bookmarkEnd w:id="43"/>
      <w:r>
        <w:rPr>
          <w:rtl w:val="true"/>
        </w:rPr>
        <w:t xml:space="preserve">مسأله فرقه ناجيه </w:t>
      </w:r>
      <w:r>
        <w:rPr>
          <w:rtl w:val="true"/>
        </w:rPr>
        <w:t>(</w:t>
      </w:r>
      <w:r>
        <w:rPr>
          <w:rtl w:val="true"/>
        </w:rPr>
        <w:t>گروه نجات يابنده</w:t>
      </w:r>
      <w:r>
        <w:rPr>
          <w:rtl w:val="true"/>
        </w:rPr>
        <w:t>)</w:t>
      </w:r>
      <w:bookmarkEnd w:id="44"/>
    </w:p>
    <w:p>
      <w:pPr>
        <w:pStyle w:val="BookText"/>
        <w:rPr/>
      </w:pPr>
      <w:r>
        <w:rPr>
          <w:rFonts w:ascii="IRNazanin" w:hAnsi="IRNazanin" w:eastAsia="IRNazanin"/>
          <w:color w:val="111111"/>
          <w:sz w:val="28"/>
          <w:sz w:val="28"/>
          <w:szCs w:val="28"/>
          <w:rtl w:val="true"/>
          <w:lang w:bidi="fa-IR"/>
        </w:rPr>
        <w:t xml:space="preserve">يكى از مسائل چالش‌برانگيز در زمينه تقريب مذاهب اسلامى كه مى‌تواند دست‌آويزى براى مخالفان آن باشد،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رابطه ميان همه مذاهب اسلامى اعم از شيعه و اهل سنّت مورد تأمّل قرار گرفته اين است كه نجات از عذاب اخروى به عنوان ثمره عقيده و عمل صحيح، از آنِ كدام يك از مذاهب و فرق اسلامى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اين پرسش را به مسأله‌اى چالش‌برانگيز و بسترى براى اختلاف و بهانه‌اى براى ناممكن يا ناروا شمردن تقريب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تبديل كرده، احاديث فراوانى بوده كه در منابع شيعه و اهل سنّت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با تفاوت‌هايى در الفاظ و تعابير، تأكيد شده است كه امّت اسلامى پس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دو يا هفتاد و سه فرقه پراكنده مى‌شوند كه از ميان آن‌ها تنها يك فرقه اهل نجات است و ساير فرق نجات نمى‌يابند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چند انديشه افتراق و پراكندگى امّت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ديرينه‌ترين انديشه‌هاى اسلامى بوده و در ميان مسلمين شهرت فراوانى داشته و در عمل نيز با واقعيت‌هاى تاريخى مطابق بوده، امّا متأسفانه همواره مورد سوء برداشت، سوء ظن و سوء استفاده مذاهب گوناگون عليه يكديگر قرار گرفته و عاملى براى تشديد اختلاف‌هاى مسلمين 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طبيعى است كه اگر اين انديشه كهن، بدين سان كه از ظاهر احاديث افتراق برداشت شده، صحيح باشد و از ميان همه مذاهب و فرق اسلامى، بقاى معنوى تنها از آنِ يك مذهب و فناى معنوى نصيب ديگران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p>
    <w:p>
      <w:pPr>
        <w:pStyle w:val="BookText"/>
        <w:rPr/>
      </w:pPr>
      <w:r>
        <w:rPr>
          <w:rFonts w:ascii="IRNazanin" w:hAnsi="IRNazanin" w:eastAsia="IRNazanin"/>
          <w:color w:val="111111"/>
          <w:sz w:val="28"/>
          <w:sz w:val="28"/>
          <w:szCs w:val="28"/>
          <w:rtl w:val="true"/>
          <w:lang w:bidi="fa-IR"/>
        </w:rPr>
        <w:t>براى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مى‌نمايد و هر گروه در صدد اثبات خود و نفى ديگران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قرآن به زيبايى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 واقعيت آن است كه چنين برداشتى از احاديث افتراق، افزون بر آن‌كه برداشتى مخرّب و زيان‌بار است، با احاديث فراوان ديگر و حتّى برخى آيات قرآن كريم ناسازگار به نظر مى‌رسد و روشن است كه بايد اين احاديث را در كنار احاديث ديگر و قرآن كريم ارزيابى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 خلاف پندار عمومى، به نظر نگارنده، صدور اين احاديث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w:t>
      </w:r>
    </w:p>
    <w:p>
      <w:pPr>
        <w:pStyle w:val="BookText"/>
        <w:rPr/>
      </w:pPr>
      <w:r>
        <w:rPr>
          <w:rFonts w:ascii="IRNazanin" w:hAnsi="IRNazanin" w:eastAsia="IRNazanin"/>
          <w:color w:val="111111"/>
          <w:sz w:val="28"/>
          <w:sz w:val="28"/>
          <w:szCs w:val="28"/>
          <w:rtl w:val="true"/>
          <w:lang w:bidi="fa-IR"/>
        </w:rPr>
        <w:t>إخبارى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انذارى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با انگيزه جلوگيرى از افتراق و پراكندگى 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صريح‌تر، 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امّت خويش را از اين‌كه مانند امّت‌هاى پيشين به هفتاد و دو يا هفتاد و سه فرقه پراكنده شوند بر حذر داشته و تلاش فرموده است كه آنان را به صورت امّت واحده حفظ فرمايد و اين نكته را جا بياندازد كه نجات و رستگارى امّت همواره در وحدت و جماعت آنان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اين نكته آن است كه آن حضرت در ذيل اين روايات، فرقه ناجيه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مى‌فرمايد؛ چيزى كه ماهيتاً نمى‌تواند يك فرقه تلقّى شود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اين وصف، گويى آن‌چه مى‌بايست مسلمين را از اختلاف وجدايى باز مى‌داشته، خود به خاطر سوء برداشت آنان، عامل اختلاف و جدايى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در حالى كه روشن است ميان اين دو مفهوم، تفاوت ماهوى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عقيده و عمل حق، در واقع ماهيت مشخّص و واحدى دارد و طبعاً هر فرد يا گروهى كه بدان معتقد و عامل باشد اهل نجات است، امّا واقعيت اين</w:t>
      </w:r>
    </w:p>
    <w:p>
      <w:pPr>
        <w:pStyle w:val="BookText"/>
        <w:rPr/>
      </w:pPr>
      <w:r>
        <w:rPr>
          <w:rFonts w:ascii="IRNazanin" w:hAnsi="IRNazanin" w:eastAsia="IRNazanin"/>
          <w:color w:val="111111"/>
          <w:sz w:val="28"/>
          <w:sz w:val="28"/>
          <w:szCs w:val="28"/>
          <w:rtl w:val="true"/>
          <w:lang w:bidi="fa-IR"/>
        </w:rPr>
        <w:t>است كه عدم اعتقاد و عمل به حقِّ واحد، خاستگاه واحدى ندارد و مى‌تواند برخاسته از عناد، تعصّب و تقصير يا برخاسته از بى‌خبرى، ناتوانى و قصور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نخست ترديدى نيست كه فرد يا گروه معاند، متعصّب و مقصّر شايسته عذاب سخت الهى و آتش سوزان جهنّم است، امّا در صورت ديگر آيا نمى‌توان براى فرد يا گروهى كه بى هيچ عناد، تعصّب يا تقصيرى و تنها از سر بى‌خبرى، ناتوانى و قصور، عقيده يا عمل حقى را در نيافته است استثنا و تخفيفى قائل شد؟ اين پرسشى است كه قرآن كريم و اهل بيت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داده‌اند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گروهى ياد كرده است كه به كوتاهى خود</w:t>
      </w:r>
    </w:p>
    <w:p>
      <w:pPr>
        <w:pStyle w:val="BookText"/>
        <w:rPr/>
      </w:pPr>
      <w:r>
        <w:rPr>
          <w:rFonts w:ascii="Amiri" w:hAnsi="Amiri" w:eastAsia="Amiri" w:cs="Amiri"/>
          <w:color w:val="111111"/>
          <w:sz w:val="28"/>
          <w:sz w:val="28"/>
          <w:szCs w:val="28"/>
          <w:rtl w:val="true"/>
          <w:lang w:bidi="ar-SA"/>
        </w:rPr>
        <w:t>اقرار دارند و اعمال صالح را با اعمال ناصالح درآميخته‌اند و ممكن است خداوند آنان را بيامرزد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همچنين، از گروهى ياد كرده است كه با وجود گمراهى‌شان، درباره آن‌ها حكم قطعى صادر نشده و فرجامشان بسته به چگونگى برخورد خداوند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كسانى سخن به ميان آورده است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دارند و از آتش بيمناك و به بهشت اميدوارند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نيز از مردان و زنان و كودكانى ياد كرده است كه ناتوان نگاه داشته شده‌اند و نمى‌توانند خود را در معرض شناخت حق قرار دهند و راهى براى آگاهى از آن نمى‌يابند؛ نسبت به آمرزش اين گروه نيز ابراز اميدوارى شده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روشن مى‌شود كه قرآن كريم همه كسانى را كه در گمراهى به سر مى‌برند و عقيده و عمل حق را نمى‌شناسند غير قابل بخشش و اهل دوزخ نشمرده و نجات گروهى از آنان را كه البته از سر بى‌خبرى،</w:t>
      </w:r>
    </w:p>
    <w:p>
      <w:pPr>
        <w:pStyle w:val="BookText"/>
        <w:rPr/>
      </w:pPr>
      <w:r>
        <w:rPr>
          <w:rFonts w:ascii="IRNazanin" w:hAnsi="IRNazanin" w:eastAsia="IRNazanin"/>
          <w:color w:val="111111"/>
          <w:sz w:val="28"/>
          <w:sz w:val="28"/>
          <w:szCs w:val="28"/>
          <w:rtl w:val="true"/>
          <w:lang w:bidi="fa-IR"/>
        </w:rPr>
        <w:t>ناتوانى و قصور دچار گمراهى شده‌اند، ممكن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هرگز از قرآن جدايى نمى‌پذيرند، بر اين نكته پاى فشرده و ميان كفر و گمراهى فرق نهاده و با الهام از آيات قرآن، گمراهان را به چند گروه تقسيم فرموده‌اند كه برخى امكان آمرزش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نمونه‌اى از احاديث آنان در اين باره را مرحوم كلينى در كتاب كافى تحت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آشكار مى‌شود كه هيچ يك از مذاهب و فرق اسلامى، نبايد ساير مذاهب و فرق اسلامى را بى‌مهابا كافر و اهل دوزخ بشمارد، بلكه همه</w:t>
      </w:r>
    </w:p>
    <w:p>
      <w:pPr>
        <w:pStyle w:val="BookText"/>
        <w:rPr/>
      </w:pPr>
      <w:r>
        <w:rPr>
          <w:rFonts w:ascii="IRNazanin" w:hAnsi="IRNazanin" w:eastAsia="IRNazanin"/>
          <w:color w:val="111111"/>
          <w:sz w:val="28"/>
          <w:sz w:val="28"/>
          <w:szCs w:val="28"/>
          <w:rtl w:val="true"/>
          <w:lang w:bidi="fa-IR"/>
        </w:rPr>
        <w:t xml:space="preserve">آن‌ها بايد ضمن بازسازى و إحياى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تقريب مذاهب اسلامى، يكديگر را در راه دست‌يابى به سعادت معنوى و نجات اخروى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اين جماعت مى‌تواند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مذاهب و فرق اسلامى به وجود آيد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برداشت نوين، اگر چه ممكن است با ظاهر احاديث افتراق ناسازگار به نظر آيد، امّا مى‌توان آن را به عنوان تفسيرى قابل قبول و راهكارى عملى در جهت رفع اين زمينه اختلاف در پيش نهاد</w:t>
      </w:r>
      <w:r>
        <w:rPr>
          <w:rFonts w:eastAsia="IRNazanin" w:cs="IRNazanin"/>
          <w:color w:val="111111"/>
          <w:sz w:val="28"/>
          <w:szCs w:val="28"/>
          <w:rtl w:val="true"/>
          <w:lang w:bidi="fa-IR"/>
        </w:rPr>
        <w:t>.</w:t>
      </w:r>
      <w:bookmarkStart w:id="45" w:name="pg19256_204990"/>
    </w:p>
    <w:p>
      <w:pPr>
        <w:pStyle w:val="Heading2"/>
        <w:numPr>
          <w:ilvl w:val="1"/>
          <w:numId w:val="1"/>
        </w:numPr>
        <w:rPr/>
      </w:pPr>
      <w:bookmarkStart w:id="46" w:name="__RefHeading___Toc17495769_1280447820"/>
      <w:bookmarkStart w:id="47" w:name="_Toc17"/>
      <w:bookmarkEnd w:id="45"/>
      <w:bookmarkEnd w:id="46"/>
      <w:r>
        <w:rPr>
          <w:rtl w:val="true"/>
        </w:rPr>
        <w:t>اصول و مبانى تقريب چيست؟</w:t>
      </w:r>
      <w:bookmarkEnd w:id="47"/>
    </w:p>
    <w:p>
      <w:pPr>
        <w:pStyle w:val="Heading3"/>
        <w:numPr>
          <w:ilvl w:val="2"/>
          <w:numId w:val="1"/>
        </w:numPr>
        <w:rPr/>
      </w:pPr>
      <w:bookmarkStart w:id="48" w:name="__RefHeading___Toc17495771_1280447820"/>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منظور از اصول و مبانى تقريب عواملى است كه تقريب مذاهب اسلامى بدون آن‌ها ميسّر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را اين‌گونه مى‌توان ذكر كرد</w:t>
      </w:r>
      <w:r>
        <w:rPr>
          <w:rFonts w:eastAsia="IRNazanin" w:cs="IRNazanin"/>
          <w:color w:val="111111"/>
          <w:sz w:val="28"/>
          <w:szCs w:val="28"/>
          <w:rtl w:val="true"/>
          <w:lang w:bidi="fa-IR"/>
        </w:rPr>
        <w:t>:</w:t>
      </w:r>
    </w:p>
    <w:p>
      <w:pPr>
        <w:pStyle w:val="Heading3"/>
        <w:numPr>
          <w:ilvl w:val="2"/>
          <w:numId w:val="1"/>
        </w:numPr>
        <w:rPr/>
      </w:pPr>
      <w:bookmarkStart w:id="50" w:name="__RefHeading___Toc17495773_1280447820"/>
      <w:bookmarkStart w:id="51" w:name="_Toc19"/>
      <w:bookmarkEnd w:id="50"/>
      <w:r>
        <w:rPr>
          <w:rtl w:val="true"/>
        </w:rPr>
        <w:t>الف</w:t>
      </w:r>
      <w:r>
        <w:rPr>
          <w:rtl w:val="true"/>
        </w:rPr>
        <w:t xml:space="preserve">: </w:t>
      </w:r>
      <w:r>
        <w:rPr>
          <w:rtl w:val="true"/>
        </w:rPr>
        <w:t>پذيرش كثرت و اختلاف‌</w:t>
      </w:r>
      <w:bookmarkEnd w:id="51"/>
    </w:p>
    <w:p>
      <w:pPr>
        <w:pStyle w:val="BookText"/>
        <w:rPr/>
      </w:pPr>
      <w:r>
        <w:rPr>
          <w:rFonts w:ascii="IRNazanin" w:hAnsi="IRNazanin" w:eastAsia="IRNazanin"/>
          <w:color w:val="111111"/>
          <w:sz w:val="28"/>
          <w:sz w:val="28"/>
          <w:szCs w:val="28"/>
          <w:rtl w:val="true"/>
          <w:lang w:bidi="fa-IR"/>
        </w:rPr>
        <w:t>به اين معنا كه اختلاف نظر ميان انسان‌ها يك واقعيت طبيعى و غير قابل انكار است و مادامى كه به درگيرى‌هاى غير منطقى و خروج از موازين انسانى نيانجاميده، ذاتاً خوب و منشأ بركات فراوان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با توجّه به تفاوت ذاتى ميان استعدادهاى مردم به سختى مى‌توان حالتى را تصوّر</w:t>
      </w:r>
    </w:p>
    <w:p>
      <w:pPr>
        <w:pStyle w:val="BookText"/>
        <w:rPr/>
      </w:pPr>
      <w:r>
        <w:rPr>
          <w:rFonts w:ascii="IRNazanin" w:hAnsi="IRNazanin" w:eastAsia="IRNazanin"/>
          <w:color w:val="111111"/>
          <w:sz w:val="28"/>
          <w:sz w:val="28"/>
          <w:szCs w:val="28"/>
          <w:rtl w:val="true"/>
          <w:lang w:bidi="fa-IR"/>
        </w:rPr>
        <w:t>كرد كه همگان از ديدگاه واحدى پيروى كنند و هيچ اختلاف نظرى ميان آن‌ها وجود نداشته باشد؛ چنين حالتى احتمالًا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تصوّر و مطلوب است اتفاق نظر مردم درباره باورهاى بنيادين است كه در ارتباط مستقيم با فطرت مشترك و عقل عمومى آنان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كريم همه مردم بر فطرت مشتركى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الَّتِي فَطَرَ النَّاسَ عَلَيْها </w:t>
      </w:r>
      <w:r>
        <w:rPr>
          <w:rStyle w:val="FootnoteAnchor"/>
          <w:rtl w:val="true"/>
        </w:rPr>
        <w:footnoteReference w:id="24"/>
      </w:r>
      <w:r>
        <w:rPr>
          <w:rFonts w:ascii="IRNazanin" w:hAnsi="IRNazanin" w:eastAsia="IRNazanin"/>
          <w:color w:val="111111"/>
          <w:sz w:val="28"/>
          <w:sz w:val="28"/>
          <w:szCs w:val="28"/>
          <w:rtl w:val="true"/>
          <w:lang w:bidi="fa-IR"/>
        </w:rPr>
        <w:t xml:space="preserve">و اى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بنيادى‌ترين اصلى است كه مى‌تواند مبناى تفاهم عموم انسان‌ها قرار گيرد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اختلاف نظر ميان مذاهب اسلامى نيز هرگاه مبتنى بر اين اصل الهى و</w:t>
      </w:r>
    </w:p>
    <w:p>
      <w:pPr>
        <w:pStyle w:val="BookText"/>
        <w:rPr/>
      </w:pPr>
      <w:r>
        <w:rPr>
          <w:rFonts w:ascii="IRNazanin" w:hAnsi="IRNazanin" w:eastAsia="IRNazanin"/>
          <w:color w:val="111111"/>
          <w:sz w:val="28"/>
          <w:sz w:val="28"/>
          <w:szCs w:val="28"/>
          <w:rtl w:val="true"/>
          <w:lang w:bidi="fa-IR"/>
        </w:rPr>
        <w:t>منطبق بر اصول و مبانى تقريب باشد نه تنها زيان‌بار نيست بلكه مى‌تواند منشأ رشد و پويايى امّت و مقدّمه تكامل و ترقّى مسلمين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معناى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إختلاف أمّتي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امّت من رحمت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در منابع روايى اهل سنّت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نيز همين باشد</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هر چند در منابع روايى شيعه، ضمن تأييد صحّت اين حديث، برداشت متفاوتى از آن به دست داده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برداشت شيعى، منظور از اختلاف 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ارتباط علمى آنان با يكديگر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7"/>
      </w:r>
      <w:r>
        <w:rPr>
          <w:rFonts w:ascii="IRNazanin" w:hAnsi="IRNazanin" w:eastAsia="IRNazanin"/>
          <w:color w:val="111111"/>
          <w:sz w:val="28"/>
          <w:sz w:val="28"/>
          <w:szCs w:val="28"/>
          <w:rtl w:val="true"/>
          <w:lang w:bidi="fa-IR"/>
        </w:rPr>
        <w:t xml:space="preserve">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لغوى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p>
    <w:p>
      <w:pPr>
        <w:pStyle w:val="BookText"/>
        <w:rPr/>
      </w:pPr>
      <w:r>
        <w:rPr>
          <w:rFonts w:ascii="IRNazanin" w:hAnsi="IRNazanin" w:eastAsia="IRNazanin"/>
          <w:color w:val="111111"/>
          <w:sz w:val="28"/>
          <w:sz w:val="28"/>
          <w:szCs w:val="28"/>
          <w:rtl w:val="true"/>
          <w:lang w:bidi="fa-IR"/>
        </w:rPr>
        <w:t xml:space="preserve">اطلاق مى‌شود؛ چنان‌چه در قرآن كريم از اخْتِلافِ اللَّيْلِ وَ النَّهار </w:t>
      </w:r>
      <w:r>
        <w:rPr>
          <w:rStyle w:val="FootnoteAnchor"/>
          <w:rtl w:val="true"/>
        </w:rPr>
        <w:footnoteReference w:id="2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و شد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 امّا ناگفته پيداست كه اين برداشت زيبا، نه تنها با برداشت اهل سنّت در نتيجه منافاتى ندارد، كه با تعريف ما از تقريب مذاهب اسلامى كاملًا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بر مبناى برداشت سنّى از حديث، اختلاف نظر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با شرايطى 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مبناى برداشت شيعى از حديث، تعامل و روابط علمى امّت با يكديگر هر دو مصداق رحمت الهى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چنين حديثى،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اختلاف شيعيان نيز رسيده است كه</w:t>
      </w:r>
      <w:bookmarkStart w:id="52" w:name="pg19256_204995"/>
    </w:p>
    <w:p>
      <w:pPr>
        <w:pStyle w:val="BookText"/>
        <w:rPr/>
      </w:pPr>
      <w:bookmarkEnd w:id="52"/>
      <w:r>
        <w:rPr>
          <w:rFonts w:ascii="IRNazanin" w:hAnsi="IRNazanin" w:eastAsia="IRNazanin"/>
          <w:color w:val="111111"/>
          <w:sz w:val="28"/>
          <w:sz w:val="28"/>
          <w:szCs w:val="28"/>
          <w:rtl w:val="true"/>
          <w:lang w:bidi="fa-IR"/>
        </w:rPr>
        <w:t>طبعاً چنين معنايى از آن برداشت مى‌شود؛ هر چند اين دسته از روايات صريح در اختلاف نظر است نه تعامل و آمد و 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البته از نظر دور نماند كه نگرش مثبت داشتن به اختلاف نظر امّت، نبايد جنبه افراط يابد و به حوزه عقايد و ديدگاه‌هاى بنيادين سرايت كند، زيرا در آن صورت، بيش از آن‌كه انگيزه تفاهم و تقريب باشد، انگيزه اختلاف و تفرقه خواهد بود و اين نكته مهمّى است</w:t>
      </w:r>
      <w:r>
        <w:rPr>
          <w:rFonts w:eastAsia="IRNazanin" w:cs="IRNazanin"/>
          <w:color w:val="111111"/>
          <w:sz w:val="28"/>
          <w:szCs w:val="28"/>
          <w:rtl w:val="true"/>
          <w:lang w:bidi="fa-IR"/>
        </w:rPr>
        <w:t>.</w:t>
      </w:r>
    </w:p>
    <w:p>
      <w:pPr>
        <w:pStyle w:val="Heading3"/>
        <w:numPr>
          <w:ilvl w:val="2"/>
          <w:numId w:val="1"/>
        </w:numPr>
        <w:rPr/>
      </w:pPr>
      <w:bookmarkStart w:id="53" w:name="__RefHeading___Toc17495775_1280447820"/>
      <w:bookmarkStart w:id="54" w:name="_Toc20"/>
      <w:bookmarkEnd w:id="53"/>
      <w:r>
        <w:rPr>
          <w:rtl w:val="true"/>
        </w:rPr>
        <w:t>ب</w:t>
      </w:r>
      <w:r>
        <w:rPr>
          <w:rtl w:val="true"/>
        </w:rPr>
        <w:t xml:space="preserve">: </w:t>
      </w:r>
      <w:r>
        <w:rPr>
          <w:rtl w:val="true"/>
        </w:rPr>
        <w:t>اعتقاد به گفت‌وگو</w:t>
      </w:r>
      <w:bookmarkEnd w:id="5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مذاهب مختلف اسلامى به بحث و گفت‌وگوى</w:t>
      </w:r>
      <w:bookmarkStart w:id="55" w:name="pg19256_204996"/>
    </w:p>
    <w:p>
      <w:pPr>
        <w:pStyle w:val="BookText"/>
        <w:rPr/>
      </w:pPr>
      <w:bookmarkEnd w:id="55"/>
      <w:r>
        <w:rPr>
          <w:rFonts w:ascii="IRNazanin" w:hAnsi="IRNazanin" w:eastAsia="IRNazanin"/>
          <w:color w:val="111111"/>
          <w:sz w:val="28"/>
          <w:sz w:val="28"/>
          <w:szCs w:val="28"/>
          <w:rtl w:val="true"/>
          <w:lang w:bidi="fa-IR"/>
        </w:rPr>
        <w:t>علمى و منطقى با يكديگر معتقد و علاقه‌مند باشند؛ بحث و گفت‌وگويى برادرانه در راستاى ارزيابى منصفانه آراء و عقايد يكديگر و به دنبال كسب فائده علمى و دينى با رعايت ادب اسلامى و احترام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گفت‌وگويى به سود همه مذاهب اسلامى و گامى بلند به سوى وحدت حقيقى مسلمين است</w:t>
      </w:r>
      <w:r>
        <w:rPr>
          <w:rFonts w:eastAsia="IRNazanin" w:cs="IRNazanin"/>
          <w:color w:val="111111"/>
          <w:sz w:val="28"/>
          <w:szCs w:val="28"/>
          <w:rtl w:val="true"/>
          <w:lang w:bidi="fa-IR"/>
        </w:rPr>
        <w:t>.</w:t>
      </w:r>
    </w:p>
    <w:p>
      <w:pPr>
        <w:pStyle w:val="Heading3"/>
        <w:numPr>
          <w:ilvl w:val="2"/>
          <w:numId w:val="1"/>
        </w:numPr>
        <w:rPr/>
      </w:pPr>
      <w:bookmarkStart w:id="56" w:name="__RefHeading___Toc17495777_1280447820"/>
      <w:bookmarkStart w:id="57" w:name="_Toc21"/>
      <w:bookmarkEnd w:id="56"/>
      <w:r>
        <w:rPr>
          <w:rtl w:val="true"/>
        </w:rPr>
        <w:t>ج</w:t>
      </w:r>
      <w:r>
        <w:rPr>
          <w:rtl w:val="true"/>
        </w:rPr>
        <w:t xml:space="preserve">: </w:t>
      </w:r>
      <w:r>
        <w:rPr>
          <w:rtl w:val="true"/>
        </w:rPr>
        <w:t>تأكيد بر مشتركات‌</w:t>
      </w:r>
      <w:bookmarkEnd w:id="5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مذاهب مختلف اسلامى پيوند خود را با يكديگر فراموش نكنند و مشتركات را اندك و اختلافات را بسيار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حسّاسيت حاصل از اختلافات مذهبى در بسيارى از مواقع مشتركات را تحت پوشش قرار داده، امّا اين يك واقعيت غير قابل انكار است كه عمده</w:t>
      </w:r>
      <w:bookmarkStart w:id="58" w:name="pg19256_204997"/>
    </w:p>
    <w:p>
      <w:pPr>
        <w:pStyle w:val="BookText"/>
        <w:rPr/>
      </w:pPr>
      <w:bookmarkEnd w:id="58"/>
      <w:r>
        <w:rPr>
          <w:rFonts w:ascii="IRNazanin" w:hAnsi="IRNazanin" w:eastAsia="IRNazanin"/>
          <w:color w:val="111111"/>
          <w:sz w:val="28"/>
          <w:sz w:val="28"/>
          <w:szCs w:val="28"/>
          <w:rtl w:val="true"/>
          <w:lang w:bidi="fa-IR"/>
        </w:rPr>
        <w:t>مبانى و اصول مذاهب اسلامى مشترك است و اين واقعيت ارزش آن را دارد كه مورد تأكيد قرار گيرد و تعامل و گفت‌گوى مذاهب را ممكن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همه مذاهب اسلامى با هر برداشت و رويكردى هدف واحدى را دنبال مى‌كنند و آن همانا عبادت پروردگار يكتا در سايه شريعت واحد است، و اين مى‌تواند در اصلاح نگرش آنان نسبت به يكديگر تأثيرگذار باشد</w:t>
      </w:r>
      <w:r>
        <w:rPr>
          <w:rFonts w:eastAsia="IRNazanin" w:cs="IRNazanin"/>
          <w:color w:val="111111"/>
          <w:sz w:val="28"/>
          <w:szCs w:val="28"/>
          <w:rtl w:val="true"/>
          <w:lang w:bidi="fa-IR"/>
        </w:rPr>
        <w:t>.</w:t>
      </w:r>
    </w:p>
    <w:p>
      <w:pPr>
        <w:pStyle w:val="Heading3"/>
        <w:numPr>
          <w:ilvl w:val="2"/>
          <w:numId w:val="1"/>
        </w:numPr>
        <w:rPr/>
      </w:pPr>
      <w:bookmarkStart w:id="59" w:name="__RefHeading___Toc17495779_1280447820"/>
      <w:bookmarkStart w:id="60" w:name="_Toc22"/>
      <w:bookmarkEnd w:id="59"/>
      <w:r>
        <w:rPr>
          <w:rtl w:val="true"/>
        </w:rPr>
        <w:t>د</w:t>
      </w:r>
      <w:r>
        <w:rPr>
          <w:rtl w:val="true"/>
        </w:rPr>
        <w:t xml:space="preserve">: </w:t>
      </w:r>
      <w:r>
        <w:rPr>
          <w:rtl w:val="true"/>
        </w:rPr>
        <w:t>رعايت اخلاق اسلامى‌</w:t>
      </w:r>
      <w:bookmarkEnd w:id="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مذاهب اسلامى به خُلق عظيم و رأفت و مهربانى 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باشند و ضمن زينت يافتن به فضائلى چون ميانه‌روى، شكيبايى، خويشتن دارى، ادب و مدارا، خود را از رذائل نفسانى چون عصبيت، خشم،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كينه، دشنام و لجاجت وارسته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چنين تزكيه معنوى زمينه رشد و تكامل مسلمين و تقريب مذاهب اسلامى فراهم خواهد شد</w:t>
      </w:r>
      <w:r>
        <w:rPr>
          <w:rFonts w:eastAsia="IRNazanin" w:cs="IRNazanin"/>
          <w:color w:val="111111"/>
          <w:sz w:val="28"/>
          <w:szCs w:val="28"/>
          <w:rtl w:val="true"/>
          <w:lang w:bidi="fa-IR"/>
        </w:rPr>
        <w:t>.</w:t>
      </w:r>
      <w:bookmarkStart w:id="61" w:name="pg19256_205000"/>
    </w:p>
    <w:p>
      <w:pPr>
        <w:pStyle w:val="Heading2"/>
        <w:numPr>
          <w:ilvl w:val="1"/>
          <w:numId w:val="1"/>
        </w:numPr>
        <w:rPr/>
      </w:pPr>
      <w:bookmarkStart w:id="62" w:name="__RefHeading___Toc17495781_1280447820"/>
      <w:bookmarkStart w:id="63" w:name="_Toc23"/>
      <w:bookmarkEnd w:id="61"/>
      <w:bookmarkEnd w:id="62"/>
      <w:r>
        <w:rPr>
          <w:rtl w:val="true"/>
        </w:rPr>
        <w:t>موانع تقريب كدام است؟</w:t>
      </w:r>
      <w:bookmarkEnd w:id="63"/>
    </w:p>
    <w:p>
      <w:pPr>
        <w:pStyle w:val="Heading3"/>
        <w:numPr>
          <w:ilvl w:val="2"/>
          <w:numId w:val="1"/>
        </w:numPr>
        <w:rPr/>
      </w:pPr>
      <w:bookmarkStart w:id="64" w:name="__RefHeading___Toc17495783_1280447820"/>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پس از روشن شدن مفهوم تقريب و امكان و ضرورت آن، اين پرسش مطرح مى‌شود كه چه موانعى مذاهب اسلامى را از پيمودن اين راه نيكو باز داشته و همواره بر اختلافات ميان آن‌ها دامن زده است؟ پاسخ اين پرسش را بدين گونه بايد داد</w:t>
      </w:r>
      <w:r>
        <w:rPr>
          <w:rFonts w:eastAsia="IRNazanin" w:cs="IRNazanin"/>
          <w:color w:val="111111"/>
          <w:sz w:val="28"/>
          <w:szCs w:val="28"/>
          <w:rtl w:val="true"/>
          <w:lang w:bidi="fa-IR"/>
        </w:rPr>
        <w:t>:</w:t>
      </w:r>
    </w:p>
    <w:p>
      <w:pPr>
        <w:pStyle w:val="Heading3"/>
        <w:numPr>
          <w:ilvl w:val="2"/>
          <w:numId w:val="1"/>
        </w:numPr>
        <w:rPr/>
      </w:pPr>
      <w:bookmarkStart w:id="66" w:name="__RefHeading___Toc17495785_1280447820"/>
      <w:bookmarkStart w:id="67" w:name="_Toc25"/>
      <w:bookmarkEnd w:id="66"/>
      <w:r>
        <w:rPr>
          <w:rtl w:val="true"/>
        </w:rPr>
        <w:t>الف</w:t>
      </w:r>
      <w:r>
        <w:rPr>
          <w:rtl w:val="true"/>
        </w:rPr>
        <w:t xml:space="preserve">: </w:t>
      </w:r>
      <w:r>
        <w:rPr>
          <w:rtl w:val="true"/>
        </w:rPr>
        <w:t>موانع اخلاقى‌</w:t>
      </w:r>
      <w:bookmarkEnd w:id="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رعايت اخلاق اسلامى يكى از اصول و مبانى تقريب است، طبيعى است كه عدم رعايت آن يكى از موانع تقريب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كه اين مانع را بايد از مهم‌ترين و مؤثّرترين موانع تقريب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بيش از حد چيزى است كه ديده انصاف را فرو مى‌بندد و تحجّر و لجاجت چيزى است كه گوش منطق را گران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خشم، كينه، دشنام و خشونت نيز در خلأ منطق و انصاف بروز مى‌نمايد و راه را از هر طرف به روى تقريب مى‌بندد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تكفير مذاهب و شخصيت‌هاى اسلامى همواره بازيچه دست كسانى بوده است كه در عرصه منطق و اخلاق كم آورده‌اند و از خشونتى بى‌مورد رنج مى‌برند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به جاى انتقاد، توهين مى‌كنند و به جاى بررسى، تهمت مى‌زنند و از گفتن</w:t>
      </w:r>
    </w:p>
    <w:p>
      <w:pPr>
        <w:pStyle w:val="BookText"/>
        <w:rPr/>
      </w:pPr>
      <w:r>
        <w:rPr>
          <w:rFonts w:ascii="IRNazanin" w:hAnsi="IRNazanin" w:eastAsia="IRNazanin"/>
          <w:color w:val="111111"/>
          <w:sz w:val="28"/>
          <w:sz w:val="28"/>
          <w:szCs w:val="28"/>
          <w:rtl w:val="true"/>
          <w:lang w:bidi="fa-IR"/>
        </w:rPr>
        <w:t>دروغ‌هاى بزرگ و دادن نسبت‌هاى نادرست باكى به خود راه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اينان، عالمان راستين مذاهب اسلامى قرار داشته‌اند كه هر يك افزون بر علم، در عرصه اخلاق و تزكيه نفس نيز برجسته بوده‌اند و به افتادگى، تواضع، ادب و خويشتن‌دارى شناخته شده‌اند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تبعاً شيعيان و سنّيانى كه از چنين عالمان عاملانى تأثير مى‌پذيرند در تعامل برادرانه و ارتباط دوستانه با يكديگر مشكلى نخواهند داشت و از هر گونه گفتار تند و رفتار خصمانه نسبت به يكديگر كه زيبنده انسان مسلمان نيست پرهيز خواهند نمود و گفتار و رفتار نادرست برخى عوام ساده‌دل</w:t>
      </w:r>
      <w:bookmarkStart w:id="68" w:name="pg19256_205003"/>
    </w:p>
    <w:p>
      <w:pPr>
        <w:pStyle w:val="BookText"/>
        <w:rPr/>
      </w:pPr>
      <w:bookmarkEnd w:id="68"/>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ا افراد غرض‌ورز را كه از عنصر اخلاق بى‌بهره‌اند به پاى يكديگر نخواهند نوشت</w:t>
      </w:r>
      <w:r>
        <w:rPr>
          <w:rFonts w:eastAsia="IRNazanin" w:cs="IRNazanin"/>
          <w:color w:val="111111"/>
          <w:sz w:val="28"/>
          <w:szCs w:val="28"/>
          <w:rtl w:val="true"/>
          <w:lang w:bidi="fa-IR"/>
        </w:rPr>
        <w:t>.</w:t>
      </w:r>
    </w:p>
    <w:p>
      <w:pPr>
        <w:pStyle w:val="Heading3"/>
        <w:numPr>
          <w:ilvl w:val="2"/>
          <w:numId w:val="1"/>
        </w:numPr>
        <w:rPr/>
      </w:pPr>
      <w:bookmarkStart w:id="69" w:name="__RefHeading___Toc17495787_1280447820"/>
      <w:bookmarkStart w:id="70" w:name="_Toc26"/>
      <w:bookmarkEnd w:id="69"/>
      <w:r>
        <w:rPr>
          <w:rtl w:val="true"/>
        </w:rPr>
        <w:t>ب</w:t>
      </w:r>
      <w:r>
        <w:rPr>
          <w:rtl w:val="true"/>
        </w:rPr>
        <w:t xml:space="preserve">: </w:t>
      </w:r>
      <w:r>
        <w:rPr>
          <w:rtl w:val="true"/>
        </w:rPr>
        <w:t>جهالت‌</w:t>
      </w:r>
      <w:bookmarkEnd w:id="70"/>
    </w:p>
    <w:p>
      <w:pPr>
        <w:pStyle w:val="BookText"/>
        <w:rPr/>
      </w:pPr>
      <w:r>
        <w:rPr>
          <w:rFonts w:ascii="IRNazanin" w:hAnsi="IRNazanin" w:eastAsia="IRNazanin"/>
          <w:color w:val="111111"/>
          <w:sz w:val="28"/>
          <w:sz w:val="28"/>
          <w:szCs w:val="28"/>
          <w:rtl w:val="true"/>
          <w:lang w:bidi="fa-IR"/>
        </w:rPr>
        <w:t>اين واقعيت قابل انكار نيست كه بسيارى از موضع‌گيرى‌هاى خصمانه برخى مذاهب در برابر برخى ديگر نتيجه بى‌خبرى از عقايد و ديدگاه‌هاى راستين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آن‌جا كه هيچ‌گاه به يكديگر نزديك نشده‌اند و با هم گفت‌وگو نكرده‌اند از مواضع يكديگر مطّلع نشده‌اند و تنها از گمان‌هاى باطل و پيش‌ذهنيت‌هاى نادرست پيروى نموده‌اند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بسيارى از باورهاى شگفت و ديدگاه‌هاى نادرستى كه گروهى از اهل سنّت به شيعه نسبت مى‌دهند، نظير</w:t>
      </w:r>
    </w:p>
    <w:p>
      <w:pPr>
        <w:pStyle w:val="BookText"/>
        <w:rPr/>
      </w:pPr>
      <w:r>
        <w:rPr>
          <w:rFonts w:ascii="Amiri" w:hAnsi="Amiri" w:eastAsia="Amiri" w:cs="Amiri"/>
          <w:color w:val="111111"/>
          <w:sz w:val="28"/>
          <w:sz w:val="28"/>
          <w:szCs w:val="28"/>
          <w:rtl w:val="true"/>
          <w:lang w:bidi="ar-SA"/>
        </w:rPr>
        <w:t xml:space="preserve">اعتقاد به تحريف قرآن و خيانت جبرئيل در وحى </w:t>
      </w:r>
      <w:r>
        <w:rPr>
          <w:rStyle w:val="FootnoteAnchor"/>
          <w:rtl w:val="true"/>
        </w:rPr>
        <w:footnoteReference w:id="30"/>
      </w:r>
      <w:r>
        <w:rPr>
          <w:rFonts w:ascii="IRNazanin" w:hAnsi="IRNazanin" w:eastAsia="IRNazanin"/>
          <w:color w:val="111111"/>
          <w:sz w:val="28"/>
          <w:sz w:val="28"/>
          <w:szCs w:val="28"/>
          <w:rtl w:val="true"/>
          <w:lang w:bidi="fa-IR"/>
        </w:rPr>
        <w:t>هيچ اساسى در مذهب شيعه ندارد و بهتان صرف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همين تصوير موهوم و ذهنيت بى‌اساس از عقايد و ديدگاه‌هاى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حاصل غرض‌ورزى و دسيسه دشمنان اسلام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مفتيان سنّى وهّابى را از ديرباز به اشتباه انداخته و به موضع‌گيرى‌هاى تند و خشن در</w:t>
      </w:r>
      <w:bookmarkStart w:id="71" w:name="pg19256_205005"/>
    </w:p>
    <w:p>
      <w:pPr>
        <w:pStyle w:val="BookText"/>
        <w:rPr/>
      </w:pPr>
      <w:bookmarkEnd w:id="71"/>
      <w:r>
        <w:rPr>
          <w:rFonts w:ascii="Amiri" w:hAnsi="Amiri" w:eastAsia="Amiri" w:cs="Amiri"/>
          <w:color w:val="111111"/>
          <w:sz w:val="28"/>
          <w:sz w:val="28"/>
          <w:szCs w:val="28"/>
          <w:rtl w:val="true"/>
          <w:lang w:bidi="ar-SA"/>
        </w:rPr>
        <w:t>برابر مذهب شيعه واداشته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ترديدى نيست كه گفت‌وگوى صحيح و سازنده ميان شيعه و اهل سنّت به آسانى نشان خواهد داد كه چنين موضع‌گيرى‌هاى عجولانه‌اى تنها يك سوء تفاهم و برخاسته از يك جهل تاريخى نسبت به مذهب شيعه بوده است</w:t>
      </w:r>
      <w:r>
        <w:rPr>
          <w:rFonts w:eastAsia="IRNazanin" w:cs="IRNazanin"/>
          <w:color w:val="111111"/>
          <w:sz w:val="28"/>
          <w:szCs w:val="28"/>
          <w:rtl w:val="true"/>
          <w:lang w:bidi="fa-IR"/>
        </w:rPr>
        <w:t>.</w:t>
      </w:r>
    </w:p>
    <w:p>
      <w:pPr>
        <w:pStyle w:val="Heading3"/>
        <w:numPr>
          <w:ilvl w:val="2"/>
          <w:numId w:val="1"/>
        </w:numPr>
        <w:rPr/>
      </w:pPr>
      <w:bookmarkStart w:id="72" w:name="__RefHeading___Toc17495789_1280447820"/>
      <w:bookmarkStart w:id="73" w:name="_Toc27"/>
      <w:bookmarkEnd w:id="72"/>
      <w:r>
        <w:rPr>
          <w:rtl w:val="true"/>
        </w:rPr>
        <w:t>ج</w:t>
      </w:r>
      <w:r>
        <w:rPr>
          <w:rtl w:val="true"/>
        </w:rPr>
        <w:t xml:space="preserve">: </w:t>
      </w:r>
      <w:r>
        <w:rPr>
          <w:rtl w:val="true"/>
        </w:rPr>
        <w:t>تعصّب جاهلانه‌</w:t>
      </w:r>
      <w:bookmarkEnd w:id="7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موانع تقريب مذاهب اسلامى تعصّب‌هاى جاهلانه برخى پيروان مذاهب نسبت به عقايد و ديدگاه‌هاى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تعصّب‌هايى امكان ارزيابى بى‌طرفانه و داورى منصفانه را سلب مى‌كند و تقليد را بر جاى تحقيق و خشونت را بر جاى اعتدال و لجاجت را بر جاى انصاف</w:t>
      </w:r>
    </w:p>
    <w:p>
      <w:pPr>
        <w:pStyle w:val="BookText"/>
        <w:rPr/>
      </w:pPr>
      <w:r>
        <w:rPr>
          <w:rFonts w:ascii="IRNazanin" w:hAnsi="IRNazanin" w:eastAsia="IRNazanin"/>
          <w:color w:val="111111"/>
          <w:sz w:val="28"/>
          <w:sz w:val="28"/>
          <w:szCs w:val="28"/>
          <w:rtl w:val="true"/>
          <w:lang w:bidi="fa-IR"/>
        </w:rPr>
        <w:t>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چنين تعصّب‌هايى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اد كرده و آن را از ويژگى‌هاى كفّار و نه مسلمين بر شمرده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در حالى كه خردورزى و آزادانديشى را ويژگى بندگان ره‌يافته خداوند دانسته و آنان را كه بر كنار از تعصّب‌هاى جاهلانه نظرات مختلف را مى‌شنوند و از نظر درست‌تر و صحيح‌تر پيروى مى‌نمايند بشارت داده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پيشواى متعصّبان و بنيان‌گذار تعصّب</w:t>
      </w:r>
    </w:p>
    <w:p>
      <w:pPr>
        <w:pStyle w:val="BookText"/>
        <w:rPr/>
      </w:pPr>
      <w:r>
        <w:rPr>
          <w:rFonts w:ascii="Amiri" w:hAnsi="Amiri" w:eastAsia="Amiri" w:cs="Amiri"/>
          <w:color w:val="111111"/>
          <w:sz w:val="28"/>
          <w:sz w:val="28"/>
          <w:szCs w:val="28"/>
          <w:rtl w:val="true"/>
          <w:lang w:bidi="ar-SA"/>
        </w:rPr>
        <w:t xml:space="preserve">جاهلانه را شيطان دانسته، </w:t>
      </w:r>
      <w:r>
        <w:rPr>
          <w:rStyle w:val="FootnoteAnchor"/>
          <w:rtl w:val="true"/>
        </w:rPr>
        <w:footnoteReference w:id="33"/>
      </w:r>
      <w:r>
        <w:rPr>
          <w:rFonts w:ascii="Amiri" w:hAnsi="Amiri" w:eastAsia="Amiri" w:cs="Amiri"/>
          <w:color w:val="111111"/>
          <w:sz w:val="28"/>
          <w:sz w:val="28"/>
          <w:szCs w:val="28"/>
          <w:rtl w:val="true"/>
          <w:lang w:bidi="ar-SA"/>
        </w:rPr>
        <w:t>و تأكيد فرموده كه تعصّب در ميان مسلمانان نتيجه دست‌اندازى‌ها و دسيسه‌هاى شيطانى است</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آن حضرت پيروان خود را از چنين تعصّبى بر حذر داشته و آن را زمينه‌ساز دشمنى و دام شيطان برشمرده كه امّت‌هاى پيشين و قرون گذشته را فريفته ساخته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عصبيت را از سپاهيان جهل دانسته و يك جا در برابر انصاف و جاى ديگر در برابر همبستگى ياد فرموده است</w:t>
      </w:r>
      <w:r>
        <w:rPr>
          <w:rFonts w:eastAsia="IRNazanin" w:cs="IRNazanin"/>
          <w:color w:val="111111"/>
          <w:sz w:val="28"/>
          <w:szCs w:val="28"/>
          <w:rtl w:val="true"/>
          <w:lang w:bidi="fa-IR"/>
        </w:rPr>
        <w:t xml:space="preserve">. </w:t>
      </w:r>
      <w:r>
        <w:rPr>
          <w:rStyle w:val="FootnoteAnchor"/>
          <w:rtl w:val="true"/>
        </w:rPr>
        <w:footnoteReference w:id="36"/>
      </w:r>
      <w:bookmarkStart w:id="74" w:name="pg19256_205008"/>
    </w:p>
    <w:p>
      <w:pPr>
        <w:pStyle w:val="BookText"/>
        <w:rPr/>
      </w:pPr>
      <w:bookmarkEnd w:id="74"/>
      <w:r>
        <w:rPr>
          <w:rFonts w:ascii="IRNazanin" w:hAnsi="IRNazanin" w:eastAsia="IRNazanin"/>
          <w:color w:val="111111"/>
          <w:sz w:val="28"/>
          <w:sz w:val="28"/>
          <w:szCs w:val="28"/>
          <w:rtl w:val="true"/>
          <w:lang w:bidi="fa-IR"/>
        </w:rPr>
        <w:t>چنين تعصّبى در نزد شيعه تا اندازه‌اى مورد نكوهش بوده كه مرحوم كلينى در كتاب كافى بابى را به ذكر احاديث مربوط به آن اختصاص داده است</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75" w:name="__RefHeading___Toc17495791_1280447820"/>
      <w:bookmarkStart w:id="76" w:name="_Toc28"/>
      <w:bookmarkEnd w:id="75"/>
      <w:r>
        <w:rPr>
          <w:rtl w:val="true"/>
        </w:rPr>
        <w:t>د</w:t>
      </w:r>
      <w:r>
        <w:rPr>
          <w:rtl w:val="true"/>
        </w:rPr>
        <w:t xml:space="preserve">: </w:t>
      </w:r>
      <w:r>
        <w:rPr>
          <w:rtl w:val="true"/>
        </w:rPr>
        <w:t>دسيسه دشمنان‌</w:t>
      </w:r>
      <w:bookmarkEnd w:id="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نيمى از اختلافات تاريخى ميان مذاهب اسلامى زاده ضعف‌هاى اخلاقى، جهالت‌ها و تعصّب‌هاى برخى پيروان مذاهب اسلامى بوده باشد، بى‌ترديد نيم ديگر محصول توطئه دشمنان اسلام بوده است؛ دشمنانى كه منافع سياسى و نامشروع خود را در گرو اختلاف مسلمين و درگيرى‌هاى مذهبى مى‌يافته‌اند و با سوء استفاده از ضعف‌هاى اخلاقى، جهالت‌ها و تعصّب‌هاى</w:t>
      </w:r>
    </w:p>
    <w:p>
      <w:pPr>
        <w:pStyle w:val="BookText"/>
        <w:rPr/>
      </w:pPr>
      <w:r>
        <w:rPr>
          <w:rFonts w:ascii="Amiri" w:hAnsi="Amiri" w:eastAsia="Amiri" w:cs="Amiri"/>
          <w:color w:val="111111"/>
          <w:sz w:val="28"/>
          <w:sz w:val="28"/>
          <w:szCs w:val="28"/>
          <w:rtl w:val="true"/>
          <w:lang w:bidi="ar-SA"/>
        </w:rPr>
        <w:t>مردم موانع فراوانى بر سر راه تقريب مذاهب اسلامى قرار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بى‌ترديد بزرگترين دشمن اسلام و مسلمين كه نقش غير قابل انكارى در نهادينه شدن تفرقه و اوج‌گيرى درگيرى‌هاى مذهبى در طول تاريخ اسلامى داشته، شجره ملعونه بنى‌اميه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بسيارى از اهل سنّت نظر به باور قابل انتقاد خود درباره عدالت صحابه و وجوب پيروى از حاكمان جائر، اين واقعيت تاريخى را ناديده مى‌گيرند،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ترديدى نيست كه معاويه و حزب او و فرزند شومى كه بر جامعه اسلامى مسلّط ساخت، با برافروختن آتش جنگ داخلى و برپاساختن فتنه مسلمان‌كشى، و تخريب و تضعيف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مشروع مسلمين مانند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تطميع و تهديد ياران ايشان، و ترور شخصيت‌هاى پاك و برجسته‌اى از صحابه و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تسلّط بر احساسات مردم ساده‌لوح و تحريك آنان بر ضدّ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ترويج نفرين و دشنام‌گويى بر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منابر و گسترش فساد اخلاقى و سياسى و تبديل خلافت اسلامى به پادشاهى موروثى و تحكيم پايه‌هاى زورگويى و بهره‌كشى و سلب امنيت مخالفان و قتل و غارت و ظلم به پيروان برخى مذاهب اسلامى به ويژه شيعيان و جنايات هولناك ديگر كه براى هر كدام اسناد و شواهد تاريخى فراوانى وجود دارد،</w:t>
      </w:r>
    </w:p>
    <w:p>
      <w:pPr>
        <w:pStyle w:val="BookText"/>
        <w:rPr/>
      </w:pPr>
      <w:r>
        <w:rPr>
          <w:rFonts w:ascii="IRNazanin" w:hAnsi="IRNazanin" w:eastAsia="IRNazanin"/>
          <w:color w:val="111111"/>
          <w:sz w:val="28"/>
          <w:sz w:val="28"/>
          <w:szCs w:val="28"/>
          <w:rtl w:val="true"/>
          <w:lang w:bidi="fa-IR"/>
        </w:rPr>
        <w:t>بيشترين و ژرفترين تأثير را در پيدايش انحراف و ظهور برداشت‌هاى جاهلانه از دين و گسترش دسته‌بندى‌ها و نزاع‌هاى مذهبى در ميان مسلمين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بنى اميه بنى عباس نيز به اين راه ناهموار ادامه دادند و با سياست‌هايى نه چندان متفاوت، شكاف‌هاى موجود ميان مذاهب اسلامى را افزودند و به ويژه با جانب‌دارى‌هاى سياسى و يك‌سويه از برخى مذاهب اسلامى و مبارزه با مذاهب ديگر پيوند امّت را بيش از پيش گسستند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برجسته اين سياست نامبارك، حمايت همه جانبه از مذهب معتزله در برابر مذهب اهل حديث تا پيش از متوكّل عبّاسى، و سپس تغيير موضع</w:t>
      </w:r>
    </w:p>
    <w:p>
      <w:pPr>
        <w:pStyle w:val="BookText"/>
        <w:rPr/>
      </w:pPr>
      <w:r>
        <w:rPr>
          <w:rFonts w:ascii="IRNazanin" w:hAnsi="IRNazanin" w:eastAsia="IRNazanin"/>
          <w:color w:val="111111"/>
          <w:sz w:val="28"/>
          <w:sz w:val="28"/>
          <w:szCs w:val="28"/>
          <w:rtl w:val="true"/>
          <w:lang w:bidi="fa-IR"/>
        </w:rPr>
        <w:t>ناگهانى به سود اهل حديث و مبارزه بى‌رحمانه با معتزله از زمان متوكّل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نگارنده، اين دو جانب‌دارى از سياست واحدى پيروى و اهداف مشخّصى را دنبال مى‌كرد، و آن همانا حفظ گسست‌ها واختلافات مذهبى براى اشتغال مردم و بقاى حكومت نامشروع عباسيان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نه به‌مبانى و ديدگاه‌هاى مذهبى‌معتزله باور داشته‌اند و نه براى مبانى و ديدگاه‌هاى مذهبى اهل حديث دل سوزانده‌اند؛ اينان منافع سياسى خود را دنبال مى‌كرده‌اند و هر دو گروه را به يك ميزان دشمن مى‌داشته‌اند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سلسله عباسيان و دگرگونى‌هاى</w:t>
      </w:r>
    </w:p>
    <w:p>
      <w:pPr>
        <w:pStyle w:val="BookText"/>
        <w:rPr/>
      </w:pPr>
      <w:r>
        <w:rPr>
          <w:rFonts w:ascii="IRNazanin" w:hAnsi="IRNazanin" w:eastAsia="IRNazanin"/>
          <w:color w:val="111111"/>
          <w:sz w:val="28"/>
          <w:sz w:val="28"/>
          <w:szCs w:val="28"/>
          <w:rtl w:val="true"/>
          <w:lang w:bidi="fa-IR"/>
        </w:rPr>
        <w:t>بنيادين در دستگاه خلافت، باز هم بسيارى از ارباب قدرت و سياست به راه گذشتگان رفتند و در راستاى اصلاح وضعيت موجود هيچ گامى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اينان نيز منافع خود را در گرو اختلاف امّت مى‌يافته‌اند و با به راه انداختن نزاع‌هاى بعضاً خونينِ مذهبى اهداف مشابهى را دنبال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مى‌توان به تقابل تاريخى دولت صفوى از يك سو و دولت عثمانى از سوى ديگر اشاره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اين روند تاريخى را سرِ ايستادن نيست و اكنون شاهد آنيم كه افزون بر زورمندان شرق و غرب كه اساساً با اسلام و نوع نگرش آن مشكل دارند، برخى از</w:t>
      </w:r>
    </w:p>
    <w:p>
      <w:pPr>
        <w:pStyle w:val="BookText"/>
        <w:rPr/>
      </w:pPr>
      <w:r>
        <w:rPr>
          <w:rFonts w:ascii="Amiri" w:hAnsi="Amiri" w:eastAsia="Amiri" w:cs="Amiri"/>
          <w:color w:val="111111"/>
          <w:sz w:val="28"/>
          <w:sz w:val="28"/>
          <w:szCs w:val="28"/>
          <w:rtl w:val="true"/>
          <w:lang w:bidi="ar-SA"/>
        </w:rPr>
        <w:t>دولت‌هاى اسلامى نيز بى‌توجه به مصالح دراز مدّت خود بر اختلافات قومى و مذهبى جهان اسلام دامن مى‌زنند و خواسته يا ناخواسته در راستاى اهداف شوم مستكبران و برترى‌جويان حركت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بايد اشاره كرد كه جريان وهابى معاصر به عنوان مجموعه شومى كه همه موانع تقريب از رذائل اخلاقى، جهالت، تعصّب جاهلانه و دسيسه دشمنان را گرد آورده است سدّ سترگى در برابر تقريب مذاهب اسلامى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 افراطى كه با تفصيل بيشترى درباره آن سخن خواهيم گفت، با مشرك دانستن مسلمين و معامله كفّار با كسانى كه مبانى عجيب انديشه وهابى را نمى‌پذيرند، عملًا هيچ</w:t>
      </w:r>
    </w:p>
    <w:p>
      <w:pPr>
        <w:pStyle w:val="BookText"/>
        <w:rPr/>
      </w:pPr>
      <w:r>
        <w:rPr>
          <w:rFonts w:ascii="IRNazanin" w:hAnsi="IRNazanin" w:eastAsia="IRNazanin"/>
          <w:color w:val="111111"/>
          <w:sz w:val="28"/>
          <w:sz w:val="28"/>
          <w:szCs w:val="28"/>
          <w:rtl w:val="true"/>
          <w:lang w:bidi="fa-IR"/>
        </w:rPr>
        <w:t>راهى براى گفت‌وگو و تعامل صحيح و سازنده مذاهب باقى نمى‌گذارد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رأس فتنه‌گران جهان اسلام، مفتيان كج‌انديش وهابى قرار دارند كه گويى جز تكفير و تفسيق و حكم قتل و غارت چيزى نياموخته‌اند و دستان خود و پيروان ساده‌لوح خويش را تاكنون به خون صدها نفر مسلمان بى‌گناه آلوده‌اند و اكنون نيز هر از چند گاهى از گوشه و كنار فتنه‌اى تازه بر پا مى‌كنند و غوغايى نو عليه برخى مذاهب اسلامى به ويژه شيعه به راه مى‌اندازند</w:t>
      </w:r>
      <w:r>
        <w:rPr>
          <w:rFonts w:eastAsia="IRNazanin" w:cs="IRNazanin"/>
          <w:color w:val="111111"/>
          <w:sz w:val="28"/>
          <w:szCs w:val="28"/>
          <w:rtl w:val="true"/>
          <w:lang w:bidi="fa-IR"/>
        </w:rPr>
        <w:t>.</w:t>
      </w:r>
      <w:bookmarkStart w:id="77" w:name="pg19256_205016"/>
    </w:p>
    <w:p>
      <w:pPr>
        <w:pStyle w:val="Heading2"/>
        <w:numPr>
          <w:ilvl w:val="1"/>
          <w:numId w:val="1"/>
        </w:numPr>
        <w:rPr/>
      </w:pPr>
      <w:bookmarkStart w:id="78" w:name="__RefHeading___Toc17495793_1280447820"/>
      <w:bookmarkStart w:id="79" w:name="_Toc29"/>
      <w:bookmarkEnd w:id="77"/>
      <w:bookmarkEnd w:id="78"/>
      <w:r>
        <w:rPr>
          <w:rtl w:val="true"/>
        </w:rPr>
        <w:t>نقش حج در تقريب مذاهب اسلامى‌</w:t>
      </w:r>
      <w:bookmarkEnd w:id="79"/>
    </w:p>
    <w:p>
      <w:pPr>
        <w:pStyle w:val="BookText"/>
        <w:rPr/>
      </w:pPr>
      <w:r>
        <w:rPr>
          <w:rFonts w:ascii="IRNazanin" w:hAnsi="IRNazanin" w:eastAsia="IRNazanin"/>
          <w:color w:val="111111"/>
          <w:sz w:val="28"/>
          <w:sz w:val="28"/>
          <w:szCs w:val="28"/>
          <w:rtl w:val="true"/>
          <w:lang w:bidi="fa-IR"/>
        </w:rPr>
        <w:t>مراسم سالانه حج و گردهم‌آيى ميليون‌ها انسان مسلمان در حرمين شريفين چه نقشى در تقريب مذاهب اسلامى مى‌تواند داشته باشد؟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سالانه حج، به معناى اجتماع معنوى و باشكوه امّت مسلمان از هر رنگ و نژاد و سرزمين و مذهب مختلف براى عرض بندگى به درگاه پروردگار يكتا با گفتار و كردار و ظاهر يكسان و عمل به سنّت پيامبر واحد وطواف به گرد قبله مشترك و لبّيك گفتن به نداى توحيد در صفوف يكپارچه، بسترى بسيار مناسب</w:t>
      </w:r>
    </w:p>
    <w:p>
      <w:pPr>
        <w:pStyle w:val="BookText"/>
        <w:rPr/>
      </w:pPr>
      <w:r>
        <w:rPr>
          <w:rFonts w:ascii="Amiri" w:hAnsi="Amiri" w:eastAsia="Amiri" w:cs="Amiri"/>
          <w:color w:val="111111"/>
          <w:sz w:val="28"/>
          <w:sz w:val="28"/>
          <w:szCs w:val="28"/>
          <w:rtl w:val="true"/>
          <w:lang w:bidi="ar-SA"/>
        </w:rPr>
        <w:t>براى تقريب مذاهب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نماد وحدت مسلمين است؛ نمادى كه از يك سو مسلمانان‌را به‌ياد هويت اصيل و پيشينه مشترك خويش مى‌اندازد و از سوى ديگر قدرت اسلام و همبستگى مسلمين را در معرض ديد جهانيان قرار مى‌دهد و كاخ دشمنان اسلام را در شرق و غرب به لرزه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عمره نيز كه گردهم‌آيى ميليون‌ها انسان مسلمان و شيفته آرمان‌هاى اسلامى در حرمين شريفين را در خود دارد دريچه‌اى ديگر براى همين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مراسم عظيم معنوى از چنين زاويه‌اى بنگريم آن را بهترين فرصت براى تقريب مذاهب اسلامى و ترويج فرهنگ گفت‌وگو خواهيم يافت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بى‌جهت نيست كه مراسم حج و عمره از دهه‌هاى نخستين اسلامى</w:t>
      </w:r>
    </w:p>
    <w:p>
      <w:pPr>
        <w:pStyle w:val="BookText"/>
        <w:rPr/>
      </w:pPr>
      <w:r>
        <w:rPr>
          <w:rFonts w:ascii="IRNazanin" w:hAnsi="IRNazanin" w:eastAsia="IRNazanin"/>
          <w:color w:val="111111"/>
          <w:sz w:val="28"/>
          <w:sz w:val="28"/>
          <w:szCs w:val="28"/>
          <w:rtl w:val="true"/>
          <w:lang w:bidi="fa-IR"/>
        </w:rPr>
        <w:t>همواره موعد ديدار عالمان مذاهب و محفل گفت‌وگوى صحيح و سازنده آنان و افاده و استفاده علمى و دينى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ادّعا شواهد تاريخى فراوانى وجود دارد كه مى‌سزد در طرحى پژوهشى با موضوع بررسى نقش تاريخى مراسم حج در پيشرفت علوم و مذاهب اسلامى مورد توجّه قرار گيرد</w:t>
      </w:r>
      <w:r>
        <w:rPr>
          <w:rFonts w:eastAsia="IRNazanin" w:cs="IRNazanin"/>
          <w:color w:val="111111"/>
          <w:sz w:val="28"/>
          <w:szCs w:val="28"/>
          <w:rtl w:val="true"/>
          <w:lang w:bidi="fa-IR"/>
        </w:rPr>
        <w:t xml:space="preserve">. </w:t>
      </w:r>
      <w:r>
        <w:rPr>
          <w:rStyle w:val="FootnoteAnchor"/>
          <w:rtl w:val="true"/>
        </w:rPr>
        <w:footnoteReference w:id="38"/>
      </w:r>
      <w:bookmarkStart w:id="80" w:name="pg19256_205019"/>
    </w:p>
    <w:p>
      <w:pPr>
        <w:pStyle w:val="Heading2"/>
        <w:numPr>
          <w:ilvl w:val="1"/>
          <w:numId w:val="1"/>
        </w:numPr>
        <w:rPr/>
      </w:pPr>
      <w:bookmarkStart w:id="81" w:name="__RefHeading___Toc17495795_1280447820"/>
      <w:bookmarkStart w:id="82" w:name="_Toc30"/>
      <w:bookmarkEnd w:id="80"/>
      <w:bookmarkEnd w:id="81"/>
      <w:r>
        <w:rPr>
          <w:rtl w:val="true"/>
        </w:rPr>
        <w:t>فهرست منابع‌</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محمد عبده، دار الذخائر،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عاصم؛ كتاب السنة، المكتب الاسلامى،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المصنّف،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على؛ الخصال، تصحيح على اكبر غفارى،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على؛ علل الشرائع؛ المكتبة الحيدرية،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محمّد بن على؛ كمال الدين و تمام النعمة، مؤسسه النشر</w:t>
      </w:r>
    </w:p>
    <w:p>
      <w:pPr>
        <w:pStyle w:val="BookText"/>
        <w:rPr/>
      </w:pPr>
      <w:r>
        <w:rPr>
          <w:rFonts w:ascii="IRNazanin" w:hAnsi="IRNazanin" w:eastAsia="IRNazanin"/>
          <w:color w:val="111111"/>
          <w:sz w:val="28"/>
          <w:sz w:val="28"/>
          <w:szCs w:val="28"/>
          <w:rtl w:val="true"/>
          <w:lang w:bidi="fa-IR"/>
        </w:rPr>
        <w:t xml:space="preserve">الإسلامى،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على؛ معانى الأخبار، مؤسسه النشر الاسلامى،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 بن على؛ من لا يحضره الفقيه، تصحيح على اكبر غفارى، جماعه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صحيح ابن حبان، مؤسسه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حنبل، احمد؛ المسند،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 محمّد بن يزيد؛ السنن،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سليمان بن اشعث؛ سنن أبى داود، دار الفكر،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البخارى، محمّد بن اسماعيل؛ الصحيح، دار الفكر،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البرقى، احمد بن محمّد؛ المحاسن، دار الكتب الإسلاميه،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الدارمى، عبد الله بن عبد الرحمن؛ سنن الدارمى، مطبعه الاعتدال،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الدين، عبد الحسين؛ الفصول المهمّة فى تأليف الأمّة، قسم الإعلام الخارجى لمؤسسه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الصنعانى، عبد الرزاق؛ المصنّف، المجلس العلمى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صنعانى، محمّد بن ابراهيم؛ افتراق الأمة إلى نيف و سبعين فرقة، دار العاصمه، رياض،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طباطبائى، محمّد حسين؛ الميزان فى تفسير القرآن، مؤسسه النشر الاسلامى،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عجلونى، اسماعيل بن محمد؛ كشف الخفاء،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فخلعى، محمّد تقى؛ مجموعه گفتمان‌هاِى مذاهب اسلامِ‌ى، نشر مشعر،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الفتنى، محمّد طاهر بن على؛ تذكرة الموضوعات،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الإيضاح، انتشارات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كراجكى، محمد بن على؛ التعجّب، مكتبة المصطفوى،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محمّد بن يعقوب؛ الكافى، دار الكتب الإسلاميه،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كوفى، محمد بن سليمان، مناقب أمير المؤمنين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مجمع إحياء الثقافة الاسلامية، قم،</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انس، المدونة الكبرى، السعادة،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متقى هندى؛ كنز العمال، مؤسسه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نسائى، احمد بن شعيب؛ السنن الكبرى، دار 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نووى، محيى الدين؛ شرح صحيح مسلم، دار الكتب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الهيثمى، نور الدين؛ مجمع الزوائد، دار الكتب العلميه،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يعقوبى، احمد بن ابى يعقوب؛ تاريخ يعقوبى، مؤسسه نشر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 را علمى بدان نيست، اينان تنها گمان مى‌برند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بسيارى گمان‌ها بپرهيزيد، همانا برخى گمان‌ها گناهند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آشكارا به نقش اختلاف و تفرقه در شكست مسلمانان در جنگ احد اشاره نموده و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صَدَقَكُمُ اللَّهُ وَعْدَهُ إِذْ تَحُسُّونَهُمْ بِإِذْنِهِ حَتَّى إِذا فَشِلْتُمْ وَ تَنازَعْتُمْ فِى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خداوند وعده خود به شما را راست فرمود هنگامى كه دشمنان را به اذن او از بين مى‌برديد تا آن‌گاه كه كوتاهى كرديد و در كار اختلاف نموديد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 شتابزده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بيعت ابوبكر تعبير مشهور خليفه دوم عمر بن خطاب است كه در منابع معتبر شيعه و اهل سنّت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عمر، بيعت با ابوبكر كه خود در آن پيش‌گام بود، از روى شتابزدگى و بدون تأمّل كافى صورت گرفت امّا خداوند شرّ آن را دور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تعبير در منابع معتبر اهل سنّت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بيروت، دار صادر،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بخارى، صحيح، بيروت، دار الفكر،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الصنعانى، المجلس العلمى،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شيبه، بيروت، دار الفكر،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نسائى، السنن الكبرى، بيروت، دار الفكر،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ابن حبان، صحيح، مؤسسه الرساله،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هيثمى، مجمع الزوائد، بيروت، دار الكتب العلميه،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برگرفته از گفتار زيباى صعصعة بن صوحان يكى از ياران با وفاى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خطاب به آن حضرت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يا أمير المؤمنين، لقد زينت الخلافة و ما زانتك و رفعتها و ما رفعتك و لهي إليك أحوج منك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اى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بودى كه خلافت را زينت دادى و خلافت تو را زينت نداد و تو بودى كه آن را بالا بردى و آن تو را بالا نبرد و خلافت به تو نيازمندتر بود تا تو به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گفتار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محمد بن سليمان، مناقب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إحياء الثقافة الاسلامية،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تاريخ يعقوبى، قم، مؤسسه نشر فرهنگ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پيداست كه اين خويشتن‌دارى هرگز به معناى پذيرش مشروعيت حكومت توسّط آن حضرت و اقرار به عدم استحقاق خود براى آن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گزارش تاريخ، آن حضرت در عين توجّه به حفظ وحدت مسلمين و پرهيز از اقدام عملى عليه حكومت نامشروع، از هر فرصتى براى انتقاد نظرى از آن و يادآورى حقّ مسلّم خويش به گونه منطقى و حساب‌شده استفاده مى‌فرمود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به زيد شحام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زيد خالقوا الناس بأخلاقهم، صلّوا في مساجدهم و عودوا مرضاهم و اشهدوا جنائزهم و إن استطعتم أن تكونوا الائمة و المؤذنين فافعلوا، فإنكم إذا فعلتم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رحم الله جعفرا ما كان أحسن ما يؤدب أصحابه و إذا تركتم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فعل الله بجعفر ما كان أسوء ما يؤدب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بابويه،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ملاحظه اخلاق آن‌ها معاشرت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مسجدهاشان نماز بگزاريد و از بيمارانشان عيادت كنيد و در تشييع جنازه‌هاشان شركت نماييد و اگر مى‌توانيد كه امامان جماعات و مؤذنان آن‌ها باشيد حتماً اين كار را بكنيد، زيرا شما هرگاه اين كارها را بكنيد آن‌ها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جعفرى هستند، خدا جعفر را رحمت كند، چه خوب پيروانش را تربيت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اين كارها را نكنيد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جعفرى هستند، خدا با جعفر چه كند، چه بد پيروانش را بار آورده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بخشنده بر عرش تكيه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تفسير اين آيه كه از آيات متشابه قرآنى به شمار رفته، ديدگاه‌هاى مختلفى ميان مفسران اهل سنت ابراز شده، ولى بديهى است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تكيه زدن خداوند بر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تكيه زدن مادى و جسمانى، كه استيلاى معنوى و سلطه الهى بر عرش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در اين زمينه،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المدونة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شرف الدين، الفصول المهمّة فى تأليف الأمّه، قسم الإعلام الخارجى لمؤسسه البعثه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اين احاديث در منابع شيعه،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الخصال،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همو، كمال الدين و تمام النعمه،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 در منابع اهل سنّت،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دارمى، سنن الدارمى،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ماجه،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ابو داود، سنن ابى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ابن ابى عاصم، كتاب السنة،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صنعانى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موضوع كتابى خاص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افتراق الأمة إلى نيف و سبعين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كه با تحقيق سعد بن عبد الله بن سعد در رياض منتشر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گروهى به آن‌چه نزد خود دارد دل‌خوش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مالك بن انس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أمتي ستفترق على اثنتين و سبعين، كلها في النار إلا واحدة و هى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عاصم، كتاب السنة،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 من به هفتاد و دو فرقه پراكنده خواهند شد كه همگى در آتش خواهند بود مگر يكى كه آن هم جماعت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 سَيِّئاً عَسَى اللَّهُ أَنْ يَتُوبَ عَلَيْهِمْ إِنَّ اللَّهَ غَفُورٌ 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مُرْجَوْنَ لأَمْرِ اللَّهِ إِمَّا يُعَذِّبُهُمْ وَ إِمَّا يَتُوبُ عَلَيْهِمْ وَ اللَّهُ عَلِيمٌ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حِجابٌ وَ عَلَى الأَعْرافِ رِجالٌ يَعْرِفُونَ كُلًّا بِسِيماهُمْ وَنادَوْا أَصْحابَ الْجَنَّةِ أَنْ سَلامٌ عَلَيْكُمْ لَمْ يَدْخُلُوها وَ هُمْ يَطْمَعُونَ، وَ إِذا صُرِفَتْ أَبْصارُهُمْ تِلْقاءَ أَصْحابِ النَّارِ قالُوا رَبَّنا لا تَجْعَلْنا مَعَ الْقَوْمِ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الْمُسْتَضْعَفِينَ مِنَ الرِّجالِ وَ النِّساءِ وَ الْوِلْدانِ لا يَسْتَطِيعُونَ حِيلَةً وَ لا يَهْتَدُونَ سَبِيلًا، فَأُولئِكَ عَسَى اللَّهُ أَنْ يَعْفُوَ عَنْهُمْ وَ كانَ اللَّهُ عَفُوًّا غَفُوراً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بنياد الهى كه مردم را بر آن بنياد نهاده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عجلونى،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صحّت اين حديث با وجود شهرتى كه از ديرباز داشته ميان خود اهل سنّت اختلاف است و برخى آن را بى‌پايه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فتنى، تذكرة الموضوعات،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همو، معانى الأخبار،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معنى قوله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أمتي رحمة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المؤمن الانصاري، قَالَ 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يَرْوُونَ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اخْتِلافُ أُمَّتِي رَحْمَةٌ فَقَالَ صَدَقُوا فَقُلْتُ إِنْ كَانَ اخْتِلافُهُمْ رَحْمَةً فَاجْتِمَاعُهُمْ عَذَابٌ قَالَ لَيْسَ حَيْثُ تَذْهَبُ وَ ذَهَبُوا إِنَّمَا أَرَادَ قَوْلَ اللَّهِ عَزَّ وَ جَلَّ فَلَوْ لا نَفَرَ مِنْ كُلِّ فِرْقَةٍ مِنْهُمْ طائِفَةٌ لِيَتَفَقَّهُوا فِي الدِّينِ وَ لِيُنْذِرُوا قَوْمَهُمْ إِذا رَجَعُوا إِلَيْهِمْ لَعَلَّهُمْ يَحْذَرُونَ فَأَمَرَهُمْ أَنْ يَنْفِرُوا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فَيَتَعَلَّمُوا ثُمَّ يَرْجِعُوا إِلَى قَوْمِهِمْ فَيُعَلِّمُوهُمْ إِنَّمَا أَرَادَ اخْتِلافَهُمْ مِنَ الْبُلْدَانِ لا اخْتِلافاً فِي دِينِ اللَّهِ إِنَّمَا الدِّينُ وَاحِدٌ إِنَّمَا الدِّينُ وَاحِدٌ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أَصْحَابِي لَكُمْ رَحْمَةٌ وَ قَالَ إِذَا كَانَ ذَلِكَ جَمَعْتُكُمْ عَلَى أَمْرٍ وَاحِدٍ وَ سُئِلَ عَنِ اخْتِلَافِ أَصْحَابِنَا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فَعَلْتُ ذَلِكَ بِكُمْ لَوِ اجْتَمَعْتُمْ عَلَى أَمْرٍ وَاحِدٍ لأُخِذَ بِرِقَابِكُمْ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وهابيان عموماً ادّعا مى‌كنند كه شيعه، قرآن موجود را تحريف شده مى‌داند و باور دارد كه در الفاظ و عبارات آن كاستى راه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گونه مضحكى ادّعا مى‌كنند كه شيعيان مى‌پندارند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 نزول وحى بر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امّا در مأموريت خود خطا يا خيانت كرد و به جاى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پيامبرى برانگيخت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تهمت‌هاى عجيب و نسبت‌هاى بى‌پايه، نگاه كنيد به گفتار ما در نقد گفتمان وهابيت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فَبَشِّرْ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يَسْتَمِعُونَ الْقَوْلَ فَيَتَّبِعُونَ أَحْسَنَهُ أُولئِكَ الَّذِينَ هَداهُمُ اللَّهُ وَ أُولئِكَ هُمْ 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تحقيق محمد عبده، دار الذخائر،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البرقى،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تهران،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الكلينى،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باب العصبية،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مسأله تقريب مذاهب اسلامى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فخلعى، مجموعه گفتمان‌هاى مذاهب اسلامى، نشر مشعر،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8348</Words>
  <Characters>33988</Characters>
  <CharactersWithSpaces>41933</CharactersWithSpaces>
  <Paragraphs>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2026-08-25T20:40:06Z</dcterms:created>
  <dc:creator>ghaemiyeh.com</dc:creator>
  <dc:description/>
  <dc:language>en-US</dc:language>
  <cp:lastModifiedBy/>
  <dcterms:modified xsi:type="dcterms:W3CDTF">2026-08-26T00:10:08Z</dcterms:modified>
  <cp:revision>1</cp:revision>
  <dc:subject/>
  <dc:title>آشنایی با تقریب مذاهب اسلامی</dc:title>
</cp:coreProperties>
</file>

<file path=docProps/custom.xml><?xml version="1.0" encoding="utf-8"?>
<Properties xmlns="http://schemas.openxmlformats.org/officeDocument/2006/custom-properties" xmlns:vt="http://schemas.openxmlformats.org/officeDocument/2006/docPropsVTypes"/>
</file>