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الإستدلالی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90849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390851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390853_1280447820">
            <w:r>
              <w:rPr>
                <w:webHidden/>
                <w:rStyle w:val="IndexLink"/>
                <w:rtl w:val="true"/>
              </w:rPr>
              <w:t>كلمة المكتب</w:t>
            </w:r>
            <w:r>
              <w:rPr>
                <w:rStyle w:val="IndexLink"/>
                <w:rtl w:val="true"/>
              </w:rPr>
              <w:tab/>
            </w:r>
            <w:r>
              <w:rPr>
                <w:rStyle w:val="IndexLink"/>
              </w:rPr>
              <w:t>10</w:t>
            </w:r>
          </w:hyperlink>
        </w:p>
        <w:p>
          <w:pPr>
            <w:pStyle w:val="Contents2"/>
            <w:tabs>
              <w:tab w:val="clear" w:pos="8743"/>
              <w:tab w:val="right" w:pos="9026" w:leader="dot"/>
            </w:tabs>
            <w:rPr/>
          </w:pPr>
          <w:hyperlink w:anchor="__RefHeading___Toc17390855_1280447820">
            <w:r>
              <w:rPr>
                <w:webHidden/>
                <w:rStyle w:val="IndexLink"/>
                <w:rtl w:val="true"/>
              </w:rPr>
              <w:t>الأحكام</w:t>
            </w:r>
            <w:r>
              <w:rPr>
                <w:rStyle w:val="IndexLink"/>
                <w:rtl w:val="true"/>
              </w:rPr>
              <w:tab/>
            </w:r>
            <w:r>
              <w:rPr>
                <w:rStyle w:val="IndexLink"/>
              </w:rPr>
              <w:t>14</w:t>
            </w:r>
          </w:hyperlink>
        </w:p>
        <w:p>
          <w:pPr>
            <w:pStyle w:val="Contents2"/>
            <w:tabs>
              <w:tab w:val="clear" w:pos="8743"/>
              <w:tab w:val="right" w:pos="9026" w:leader="dot"/>
            </w:tabs>
            <w:rPr/>
          </w:pPr>
          <w:hyperlink w:anchor="__RefHeading___Toc17390857_1280447820">
            <w:r>
              <w:rPr>
                <w:webHidden/>
                <w:rStyle w:val="IndexLink"/>
                <w:rtl w:val="true"/>
              </w:rPr>
              <w:t>كتاب القضاء</w:t>
            </w:r>
            <w:r>
              <w:rPr>
                <w:rStyle w:val="IndexLink"/>
                <w:rtl w:val="true"/>
              </w:rPr>
              <w:tab/>
            </w:r>
            <w:r>
              <w:rPr>
                <w:rStyle w:val="IndexLink"/>
              </w:rPr>
              <w:t>16</w:t>
            </w:r>
          </w:hyperlink>
        </w:p>
        <w:p>
          <w:pPr>
            <w:pStyle w:val="Contents3"/>
            <w:tabs>
              <w:tab w:val="clear" w:pos="8459"/>
              <w:tab w:val="right" w:pos="9026" w:leader="dot"/>
            </w:tabs>
            <w:rPr/>
          </w:pPr>
          <w:hyperlink w:anchor="__RefHeading___Toc17390859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7390861_1280447820">
            <w:r>
              <w:rPr>
                <w:webHidden/>
                <w:rStyle w:val="IndexLink"/>
                <w:rtl w:val="true"/>
              </w:rPr>
              <w:t>القضاء فى الشريعة</w:t>
            </w:r>
            <w:r>
              <w:rPr>
                <w:rStyle w:val="IndexLink"/>
                <w:rtl w:val="true"/>
              </w:rPr>
              <w:tab/>
            </w:r>
            <w:r>
              <w:rPr>
                <w:rStyle w:val="IndexLink"/>
              </w:rPr>
              <w:t>18</w:t>
            </w:r>
          </w:hyperlink>
        </w:p>
        <w:p>
          <w:pPr>
            <w:pStyle w:val="Contents3"/>
            <w:tabs>
              <w:tab w:val="clear" w:pos="8459"/>
              <w:tab w:val="right" w:pos="9026" w:leader="dot"/>
            </w:tabs>
            <w:rPr/>
          </w:pPr>
          <w:hyperlink w:anchor="__RefHeading___Toc17390863_1280447820">
            <w:r>
              <w:rPr>
                <w:webHidden/>
                <w:rStyle w:val="IndexLink"/>
                <w:rtl w:val="true"/>
              </w:rPr>
              <w:t>كيفية القضاء</w:t>
            </w:r>
            <w:r>
              <w:rPr>
                <w:rStyle w:val="IndexLink"/>
                <w:rtl w:val="true"/>
              </w:rPr>
              <w:tab/>
            </w:r>
            <w:r>
              <w:rPr>
                <w:rStyle w:val="IndexLink"/>
              </w:rPr>
              <w:t>24</w:t>
            </w:r>
          </w:hyperlink>
        </w:p>
        <w:p>
          <w:pPr>
            <w:pStyle w:val="Contents3"/>
            <w:tabs>
              <w:tab w:val="clear" w:pos="8459"/>
              <w:tab w:val="right" w:pos="9026" w:leader="dot"/>
            </w:tabs>
            <w:rPr/>
          </w:pPr>
          <w:hyperlink w:anchor="__RefHeading___Toc17390865_1280447820">
            <w:r>
              <w:rPr>
                <w:webHidden/>
                <w:rStyle w:val="IndexLink"/>
                <w:rtl w:val="true"/>
              </w:rPr>
              <w:t>شروط سماع الدعوى</w:t>
            </w:r>
            <w:r>
              <w:rPr>
                <w:rStyle w:val="IndexLink"/>
                <w:rtl w:val="true"/>
              </w:rPr>
              <w:tab/>
            </w:r>
            <w:r>
              <w:rPr>
                <w:rStyle w:val="IndexLink"/>
              </w:rPr>
              <w:t>27</w:t>
            </w:r>
          </w:hyperlink>
        </w:p>
        <w:p>
          <w:pPr>
            <w:pStyle w:val="Contents3"/>
            <w:tabs>
              <w:tab w:val="clear" w:pos="8459"/>
              <w:tab w:val="right" w:pos="9026" w:leader="dot"/>
            </w:tabs>
            <w:rPr/>
          </w:pPr>
          <w:hyperlink w:anchor="__RefHeading___Toc17390867_1280447820">
            <w:r>
              <w:rPr>
                <w:webHidden/>
                <w:rStyle w:val="IndexLink"/>
                <w:rtl w:val="true"/>
              </w:rPr>
              <w:t>وسائل الاثبات</w:t>
            </w:r>
            <w:r>
              <w:rPr>
                <w:rStyle w:val="IndexLink"/>
                <w:rtl w:val="true"/>
              </w:rPr>
              <w:tab/>
            </w:r>
            <w:r>
              <w:rPr>
                <w:rStyle w:val="IndexLink"/>
              </w:rPr>
              <w:t>29</w:t>
            </w:r>
          </w:hyperlink>
        </w:p>
        <w:p>
          <w:pPr>
            <w:pStyle w:val="Contents3"/>
            <w:tabs>
              <w:tab w:val="clear" w:pos="8459"/>
              <w:tab w:val="right" w:pos="9026" w:leader="dot"/>
            </w:tabs>
            <w:rPr/>
          </w:pPr>
          <w:hyperlink w:anchor="__RefHeading___Toc17390869_1280447820">
            <w:r>
              <w:rPr>
                <w:webHidden/>
                <w:rStyle w:val="IndexLink"/>
                <w:rtl w:val="true"/>
              </w:rPr>
              <w:t xml:space="preserve">ووجه الضعف </w:t>
            </w:r>
            <w:r>
              <w:rPr>
                <w:rStyle w:val="IndexLink"/>
                <w:rtl w:val="true"/>
              </w:rPr>
              <w:t>:</w:t>
              <w:tab/>
            </w:r>
            <w:r>
              <w:rPr>
                <w:rStyle w:val="IndexLink"/>
              </w:rPr>
              <w:t>32</w:t>
            </w:r>
          </w:hyperlink>
        </w:p>
        <w:p>
          <w:pPr>
            <w:pStyle w:val="Contents3"/>
            <w:tabs>
              <w:tab w:val="clear" w:pos="8459"/>
              <w:tab w:val="right" w:pos="9026" w:leader="dot"/>
            </w:tabs>
            <w:rPr/>
          </w:pPr>
          <w:hyperlink w:anchor="__RefHeading___Toc17390871_1280447820">
            <w:r>
              <w:rPr>
                <w:webHidden/>
                <w:rStyle w:val="IndexLink"/>
                <w:rtl w:val="true"/>
              </w:rPr>
              <w:t>أحكام عامة فى باب القضاء</w:t>
            </w:r>
            <w:r>
              <w:rPr>
                <w:rStyle w:val="IndexLink"/>
                <w:rtl w:val="true"/>
              </w:rPr>
              <w:tab/>
            </w:r>
            <w:r>
              <w:rPr>
                <w:rStyle w:val="IndexLink"/>
              </w:rPr>
              <w:t>33</w:t>
            </w:r>
          </w:hyperlink>
        </w:p>
        <w:p>
          <w:pPr>
            <w:pStyle w:val="Contents2"/>
            <w:tabs>
              <w:tab w:val="clear" w:pos="8743"/>
              <w:tab w:val="right" w:pos="9026" w:leader="dot"/>
            </w:tabs>
            <w:rPr/>
          </w:pPr>
          <w:hyperlink w:anchor="__RefHeading___Toc17390873_1280447820">
            <w:r>
              <w:rPr>
                <w:webHidden/>
                <w:rStyle w:val="IndexLink"/>
                <w:rtl w:val="true"/>
              </w:rPr>
              <w:t>كتاب الشهادات</w:t>
            </w:r>
            <w:r>
              <w:rPr>
                <w:rStyle w:val="IndexLink"/>
                <w:rtl w:val="true"/>
              </w:rPr>
              <w:tab/>
            </w:r>
            <w:r>
              <w:rPr>
                <w:rStyle w:val="IndexLink"/>
              </w:rPr>
              <w:t>40</w:t>
            </w:r>
          </w:hyperlink>
        </w:p>
        <w:p>
          <w:pPr>
            <w:pStyle w:val="Contents3"/>
            <w:tabs>
              <w:tab w:val="clear" w:pos="8459"/>
              <w:tab w:val="right" w:pos="9026" w:leader="dot"/>
            </w:tabs>
            <w:rPr/>
          </w:pPr>
          <w:hyperlink w:anchor="__RefHeading___Toc17390875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7390877_1280447820">
            <w:r>
              <w:rPr>
                <w:webHidden/>
                <w:rStyle w:val="IndexLink"/>
                <w:rtl w:val="true"/>
              </w:rPr>
              <w:t>شرائط الشاهد</w:t>
            </w:r>
            <w:r>
              <w:rPr>
                <w:rStyle w:val="IndexLink"/>
                <w:rtl w:val="true"/>
              </w:rPr>
              <w:tab/>
            </w:r>
            <w:r>
              <w:rPr>
                <w:rStyle w:val="IndexLink"/>
              </w:rPr>
              <w:t>42</w:t>
            </w:r>
          </w:hyperlink>
        </w:p>
        <w:p>
          <w:pPr>
            <w:pStyle w:val="Contents3"/>
            <w:tabs>
              <w:tab w:val="clear" w:pos="8459"/>
              <w:tab w:val="right" w:pos="9026" w:leader="dot"/>
            </w:tabs>
            <w:rPr/>
          </w:pPr>
          <w:hyperlink w:anchor="__RefHeading___Toc17390879_1280447820">
            <w:r>
              <w:rPr>
                <w:webHidden/>
                <w:rStyle w:val="IndexLink"/>
                <w:rtl w:val="true"/>
              </w:rPr>
              <w:t>اختلاف الحقوق فى الاثبات</w:t>
            </w:r>
            <w:r>
              <w:rPr>
                <w:rStyle w:val="IndexLink"/>
                <w:rtl w:val="true"/>
              </w:rPr>
              <w:tab/>
            </w:r>
            <w:r>
              <w:rPr>
                <w:rStyle w:val="IndexLink"/>
              </w:rPr>
              <w:t>47</w:t>
            </w:r>
          </w:hyperlink>
        </w:p>
        <w:p>
          <w:pPr>
            <w:pStyle w:val="Contents3"/>
            <w:tabs>
              <w:tab w:val="clear" w:pos="8459"/>
              <w:tab w:val="right" w:pos="9026" w:leader="dot"/>
            </w:tabs>
            <w:rPr/>
          </w:pPr>
          <w:hyperlink w:anchor="__RefHeading___Toc17390881_1280447820">
            <w:r>
              <w:rPr>
                <w:webHidden/>
                <w:rStyle w:val="IndexLink"/>
                <w:rtl w:val="true"/>
              </w:rPr>
              <w:t>أحكام عامة فى باب الشهادات</w:t>
            </w:r>
            <w:r>
              <w:rPr>
                <w:rStyle w:val="IndexLink"/>
                <w:rtl w:val="true"/>
              </w:rPr>
              <w:tab/>
            </w:r>
            <w:r>
              <w:rPr>
                <w:rStyle w:val="IndexLink"/>
              </w:rPr>
              <w:t>56</w:t>
            </w:r>
          </w:hyperlink>
        </w:p>
        <w:p>
          <w:pPr>
            <w:pStyle w:val="Contents2"/>
            <w:tabs>
              <w:tab w:val="clear" w:pos="8743"/>
              <w:tab w:val="right" w:pos="9026" w:leader="dot"/>
            </w:tabs>
            <w:rPr/>
          </w:pPr>
          <w:hyperlink w:anchor="__RefHeading___Toc17390883_1280447820">
            <w:r>
              <w:rPr>
                <w:webHidden/>
                <w:rStyle w:val="IndexLink"/>
                <w:rtl w:val="true"/>
              </w:rPr>
              <w:t>كتاب الإقرار</w:t>
            </w:r>
            <w:r>
              <w:rPr>
                <w:rStyle w:val="IndexLink"/>
                <w:rtl w:val="true"/>
              </w:rPr>
              <w:tab/>
            </w:r>
            <w:r>
              <w:rPr>
                <w:rStyle w:val="IndexLink"/>
              </w:rPr>
              <w:t>62</w:t>
            </w:r>
          </w:hyperlink>
        </w:p>
        <w:p>
          <w:pPr>
            <w:pStyle w:val="Contents3"/>
            <w:tabs>
              <w:tab w:val="clear" w:pos="8459"/>
              <w:tab w:val="right" w:pos="9026" w:leader="dot"/>
            </w:tabs>
            <w:rPr/>
          </w:pPr>
          <w:hyperlink w:anchor="__RefHeading___Toc17390885_128044782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7390887_1280447820">
            <w:r>
              <w:rPr>
                <w:webHidden/>
                <w:rStyle w:val="IndexLink"/>
                <w:rtl w:val="true"/>
              </w:rPr>
              <w:t>حقيقة الإقرار ومدرك حجيته</w:t>
            </w:r>
            <w:r>
              <w:rPr>
                <w:rStyle w:val="IndexLink"/>
                <w:rtl w:val="true"/>
              </w:rPr>
              <w:tab/>
            </w:r>
            <w:r>
              <w:rPr>
                <w:rStyle w:val="IndexLink"/>
              </w:rPr>
              <w:t>64</w:t>
            </w:r>
          </w:hyperlink>
        </w:p>
        <w:p>
          <w:pPr>
            <w:pStyle w:val="Contents3"/>
            <w:tabs>
              <w:tab w:val="clear" w:pos="8459"/>
              <w:tab w:val="right" w:pos="9026" w:leader="dot"/>
            </w:tabs>
            <w:rPr/>
          </w:pPr>
          <w:hyperlink w:anchor="__RefHeading___Toc17390889_1280447820">
            <w:r>
              <w:rPr>
                <w:webHidden/>
                <w:rStyle w:val="IndexLink"/>
                <w:rtl w:val="true"/>
              </w:rPr>
              <w:t>من أحكام الاقرار</w:t>
            </w:r>
            <w:r>
              <w:rPr>
                <w:rStyle w:val="IndexLink"/>
                <w:rtl w:val="true"/>
              </w:rPr>
              <w:tab/>
            </w:r>
            <w:r>
              <w:rPr>
                <w:rStyle w:val="IndexLink"/>
              </w:rPr>
              <w:t>65</w:t>
            </w:r>
          </w:hyperlink>
        </w:p>
        <w:p>
          <w:pPr>
            <w:pStyle w:val="Contents2"/>
            <w:tabs>
              <w:tab w:val="clear" w:pos="8743"/>
              <w:tab w:val="right" w:pos="9026" w:leader="dot"/>
            </w:tabs>
            <w:rPr/>
          </w:pPr>
          <w:hyperlink w:anchor="__RefHeading___Toc17390891_1280447820">
            <w:r>
              <w:rPr>
                <w:webHidden/>
                <w:rStyle w:val="IndexLink"/>
                <w:rtl w:val="true"/>
              </w:rPr>
              <w:t>كتاب اللقطة</w:t>
            </w:r>
            <w:r>
              <w:rPr>
                <w:rStyle w:val="IndexLink"/>
                <w:rtl w:val="true"/>
              </w:rPr>
              <w:tab/>
            </w:r>
            <w:r>
              <w:rPr>
                <w:rStyle w:val="IndexLink"/>
              </w:rPr>
              <w:t>68</w:t>
            </w:r>
          </w:hyperlink>
        </w:p>
        <w:p>
          <w:pPr>
            <w:pStyle w:val="Contents3"/>
            <w:tabs>
              <w:tab w:val="clear" w:pos="8459"/>
              <w:tab w:val="right" w:pos="9026" w:leader="dot"/>
            </w:tabs>
            <w:rPr/>
          </w:pPr>
          <w:hyperlink w:anchor="__RefHeading___Toc17390893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7390895_1280447820">
            <w:r>
              <w:rPr>
                <w:webHidden/>
                <w:rStyle w:val="IndexLink"/>
                <w:rtl w:val="true"/>
              </w:rPr>
              <w:t xml:space="preserve">اللقطة وأقسامها </w:t>
            </w:r>
            <w:r>
              <w:rPr>
                <w:rStyle w:val="IndexLink"/>
                <w:rtl w:val="true"/>
              </w:rPr>
              <w:t>:</w:t>
              <w:tab/>
            </w:r>
            <w:r>
              <w:rPr>
                <w:rStyle w:val="IndexLink"/>
              </w:rPr>
              <w:t>70</w:t>
            </w:r>
          </w:hyperlink>
        </w:p>
        <w:p>
          <w:pPr>
            <w:pStyle w:val="Contents3"/>
            <w:tabs>
              <w:tab w:val="clear" w:pos="8459"/>
              <w:tab w:val="right" w:pos="9026" w:leader="dot"/>
            </w:tabs>
            <w:rPr/>
          </w:pPr>
          <w:hyperlink w:anchor="__RefHeading___Toc17390897_1280447820">
            <w:r>
              <w:rPr>
                <w:webHidden/>
                <w:rStyle w:val="IndexLink"/>
                <w:rtl w:val="true"/>
              </w:rPr>
              <w:t xml:space="preserve">من أحكام اللقطة بالمعنى الأخص </w:t>
            </w:r>
            <w:r>
              <w:rPr>
                <w:rStyle w:val="IndexLink"/>
                <w:rtl w:val="true"/>
              </w:rPr>
              <w:t>:</w:t>
              <w:tab/>
            </w:r>
            <w:r>
              <w:rPr>
                <w:rStyle w:val="IndexLink"/>
              </w:rPr>
              <w:t>71</w:t>
            </w:r>
          </w:hyperlink>
        </w:p>
        <w:p>
          <w:pPr>
            <w:pStyle w:val="Contents3"/>
            <w:tabs>
              <w:tab w:val="clear" w:pos="8459"/>
              <w:tab w:val="right" w:pos="9026" w:leader="dot"/>
            </w:tabs>
            <w:rPr/>
          </w:pPr>
          <w:hyperlink w:anchor="__RefHeading___Toc17390899_1280447820">
            <w:r>
              <w:rPr>
                <w:webHidden/>
                <w:rStyle w:val="IndexLink"/>
                <w:rtl w:val="true"/>
              </w:rPr>
              <w:t>أحكام اللقيط</w:t>
            </w:r>
            <w:r>
              <w:rPr>
                <w:rStyle w:val="IndexLink"/>
                <w:rtl w:val="true"/>
              </w:rPr>
              <w:tab/>
            </w:r>
            <w:r>
              <w:rPr>
                <w:rStyle w:val="IndexLink"/>
              </w:rPr>
              <w:t>77</w:t>
            </w:r>
          </w:hyperlink>
        </w:p>
        <w:p>
          <w:pPr>
            <w:pStyle w:val="Contents3"/>
            <w:tabs>
              <w:tab w:val="clear" w:pos="8459"/>
              <w:tab w:val="right" w:pos="9026" w:leader="dot"/>
            </w:tabs>
            <w:rPr/>
          </w:pPr>
          <w:hyperlink w:anchor="__RefHeading___Toc17390901_1280447820">
            <w:r>
              <w:rPr>
                <w:webHidden/>
                <w:rStyle w:val="IndexLink"/>
                <w:rtl w:val="true"/>
              </w:rPr>
              <w:t xml:space="preserve">من أحكام مجهول المالك </w:t>
            </w:r>
            <w:r>
              <w:rPr>
                <w:rStyle w:val="IndexLink"/>
                <w:rtl w:val="true"/>
              </w:rPr>
              <w:t>:</w:t>
              <w:tab/>
            </w:r>
            <w:r>
              <w:rPr>
                <w:rStyle w:val="IndexLink"/>
              </w:rPr>
              <w:t>78</w:t>
            </w:r>
          </w:hyperlink>
        </w:p>
        <w:p>
          <w:pPr>
            <w:pStyle w:val="Contents2"/>
            <w:tabs>
              <w:tab w:val="clear" w:pos="8743"/>
              <w:tab w:val="right" w:pos="9026" w:leader="dot"/>
            </w:tabs>
            <w:rPr/>
          </w:pPr>
          <w:hyperlink w:anchor="__RefHeading___Toc17390903_1280447820">
            <w:r>
              <w:rPr>
                <w:webHidden/>
                <w:rStyle w:val="IndexLink"/>
                <w:rtl w:val="true"/>
              </w:rPr>
              <w:t>كتاب الغصب</w:t>
            </w:r>
            <w:r>
              <w:rPr>
                <w:rStyle w:val="IndexLink"/>
                <w:rtl w:val="true"/>
              </w:rPr>
              <w:tab/>
            </w:r>
            <w:r>
              <w:rPr>
                <w:rStyle w:val="IndexLink"/>
              </w:rPr>
              <w:t>82</w:t>
            </w:r>
          </w:hyperlink>
        </w:p>
        <w:p>
          <w:pPr>
            <w:pStyle w:val="Contents3"/>
            <w:tabs>
              <w:tab w:val="clear" w:pos="8459"/>
              <w:tab w:val="right" w:pos="9026" w:leader="dot"/>
            </w:tabs>
            <w:rPr/>
          </w:pPr>
          <w:hyperlink w:anchor="__RefHeading___Toc17390905_128044782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7390907_1280447820">
            <w:r>
              <w:rPr>
                <w:webHidden/>
                <w:rStyle w:val="IndexLink"/>
              </w:rPr>
              <w:t>1</w:t>
            </w:r>
            <w:r>
              <w:rPr>
                <w:rStyle w:val="IndexLink"/>
                <w:rtl w:val="true"/>
              </w:rPr>
              <w:t xml:space="preserve"> - </w:t>
            </w:r>
            <w:r>
              <w:rPr>
                <w:rStyle w:val="IndexLink"/>
                <w:rtl w:val="true"/>
              </w:rPr>
              <w:t>اسباب الضمان</w:t>
            </w:r>
            <w:r>
              <w:rPr>
                <w:rStyle w:val="IndexLink"/>
                <w:rtl w:val="true"/>
              </w:rPr>
              <w:tab/>
            </w:r>
            <w:r>
              <w:rPr>
                <w:rStyle w:val="IndexLink"/>
              </w:rPr>
              <w:t>84</w:t>
            </w:r>
          </w:hyperlink>
        </w:p>
        <w:p>
          <w:pPr>
            <w:pStyle w:val="Contents3"/>
            <w:tabs>
              <w:tab w:val="clear" w:pos="8459"/>
              <w:tab w:val="right" w:pos="9026" w:leader="dot"/>
            </w:tabs>
            <w:rPr/>
          </w:pPr>
          <w:hyperlink w:anchor="__RefHeading___Toc17390909_1280447820">
            <w:r>
              <w:rPr>
                <w:webHidden/>
                <w:rStyle w:val="IndexLink"/>
              </w:rPr>
              <w:t>2</w:t>
            </w:r>
            <w:r>
              <w:rPr>
                <w:rStyle w:val="IndexLink"/>
                <w:rtl w:val="true"/>
              </w:rPr>
              <w:t xml:space="preserve"> - </w:t>
            </w:r>
            <w:r>
              <w:rPr>
                <w:rStyle w:val="IndexLink"/>
                <w:rtl w:val="true"/>
              </w:rPr>
              <w:t>الغصب والأحكام الثابتة له</w:t>
            </w:r>
            <w:r>
              <w:rPr>
                <w:rStyle w:val="IndexLink"/>
                <w:rtl w:val="true"/>
              </w:rPr>
              <w:tab/>
            </w:r>
            <w:r>
              <w:rPr>
                <w:rStyle w:val="IndexLink"/>
              </w:rPr>
              <w:t>91</w:t>
            </w:r>
          </w:hyperlink>
        </w:p>
        <w:p>
          <w:pPr>
            <w:pStyle w:val="Contents3"/>
            <w:tabs>
              <w:tab w:val="clear" w:pos="8459"/>
              <w:tab w:val="right" w:pos="9026" w:leader="dot"/>
            </w:tabs>
            <w:rPr/>
          </w:pPr>
          <w:hyperlink w:anchor="__RefHeading___Toc17390911_1280447820">
            <w:r>
              <w:rPr>
                <w:webHidden/>
                <w:rStyle w:val="IndexLink"/>
              </w:rPr>
              <w:t>3</w:t>
            </w:r>
            <w:r>
              <w:rPr>
                <w:rStyle w:val="IndexLink"/>
                <w:rtl w:val="true"/>
              </w:rPr>
              <w:t xml:space="preserve"> - </w:t>
            </w:r>
            <w:r>
              <w:rPr>
                <w:rStyle w:val="IndexLink"/>
                <w:rtl w:val="true"/>
              </w:rPr>
              <w:t>من احكام الغصب</w:t>
            </w:r>
            <w:r>
              <w:rPr>
                <w:rStyle w:val="IndexLink"/>
                <w:rtl w:val="true"/>
              </w:rPr>
              <w:tab/>
            </w:r>
            <w:r>
              <w:rPr>
                <w:rStyle w:val="IndexLink"/>
              </w:rPr>
              <w:t>92</w:t>
            </w:r>
          </w:hyperlink>
        </w:p>
        <w:p>
          <w:pPr>
            <w:pStyle w:val="Contents2"/>
            <w:tabs>
              <w:tab w:val="clear" w:pos="8743"/>
              <w:tab w:val="right" w:pos="9026" w:leader="dot"/>
            </w:tabs>
            <w:rPr/>
          </w:pPr>
          <w:hyperlink w:anchor="__RefHeading___Toc17390913_1280447820">
            <w:r>
              <w:rPr>
                <w:webHidden/>
                <w:rStyle w:val="IndexLink"/>
                <w:rtl w:val="true"/>
              </w:rPr>
              <w:t>كتاب الاطعمة والاشربة</w:t>
            </w:r>
            <w:r>
              <w:rPr>
                <w:rStyle w:val="IndexLink"/>
                <w:rtl w:val="true"/>
              </w:rPr>
              <w:tab/>
            </w:r>
            <w:r>
              <w:rPr>
                <w:rStyle w:val="IndexLink"/>
              </w:rPr>
              <w:t>102</w:t>
            </w:r>
          </w:hyperlink>
        </w:p>
        <w:p>
          <w:pPr>
            <w:pStyle w:val="Contents3"/>
            <w:tabs>
              <w:tab w:val="clear" w:pos="8459"/>
              <w:tab w:val="right" w:pos="9026" w:leader="dot"/>
            </w:tabs>
            <w:rPr/>
          </w:pPr>
          <w:hyperlink w:anchor="__RefHeading___Toc17390915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7390917_1280447820">
            <w:r>
              <w:rPr>
                <w:webHidden/>
                <w:rStyle w:val="IndexLink"/>
                <w:rtl w:val="true"/>
              </w:rPr>
              <w:t>أفراد ما يحرم تناوله</w:t>
            </w:r>
            <w:r>
              <w:rPr>
                <w:rStyle w:val="IndexLink"/>
                <w:rtl w:val="true"/>
              </w:rPr>
              <w:tab/>
            </w:r>
            <w:r>
              <w:rPr>
                <w:rStyle w:val="IndexLink"/>
              </w:rPr>
              <w:t>104</w:t>
            </w:r>
          </w:hyperlink>
        </w:p>
        <w:p>
          <w:pPr>
            <w:pStyle w:val="Contents3"/>
            <w:tabs>
              <w:tab w:val="clear" w:pos="8459"/>
              <w:tab w:val="right" w:pos="9026" w:leader="dot"/>
            </w:tabs>
            <w:rPr/>
          </w:pPr>
          <w:hyperlink w:anchor="__RefHeading___Toc17390919_1280447820">
            <w:r>
              <w:rPr>
                <w:webHidden/>
                <w:rStyle w:val="IndexLink"/>
                <w:rtl w:val="true"/>
              </w:rPr>
              <w:t>حيوان البحر</w:t>
            </w:r>
            <w:r>
              <w:rPr>
                <w:rStyle w:val="IndexLink"/>
                <w:rtl w:val="true"/>
              </w:rPr>
              <w:tab/>
            </w:r>
            <w:r>
              <w:rPr>
                <w:rStyle w:val="IndexLink"/>
              </w:rPr>
              <w:t>104</w:t>
            </w:r>
          </w:hyperlink>
        </w:p>
        <w:p>
          <w:pPr>
            <w:pStyle w:val="Contents3"/>
            <w:tabs>
              <w:tab w:val="clear" w:pos="8459"/>
              <w:tab w:val="right" w:pos="9026" w:leader="dot"/>
            </w:tabs>
            <w:rPr/>
          </w:pPr>
          <w:hyperlink w:anchor="__RefHeading___Toc17390921_1280447820">
            <w:r>
              <w:rPr>
                <w:webHidden/>
                <w:rStyle w:val="IndexLink"/>
                <w:rtl w:val="true"/>
              </w:rPr>
              <w:t>حيوان البرّ</w:t>
            </w:r>
            <w:r>
              <w:rPr>
                <w:rStyle w:val="IndexLink"/>
                <w:rtl w:val="true"/>
              </w:rPr>
              <w:tab/>
            </w:r>
            <w:r>
              <w:rPr>
                <w:rStyle w:val="IndexLink"/>
              </w:rPr>
              <w:t>106</w:t>
            </w:r>
          </w:hyperlink>
        </w:p>
        <w:p>
          <w:pPr>
            <w:pStyle w:val="Contents3"/>
            <w:tabs>
              <w:tab w:val="clear" w:pos="8459"/>
              <w:tab w:val="right" w:pos="9026" w:leader="dot"/>
            </w:tabs>
            <w:rPr/>
          </w:pPr>
          <w:hyperlink w:anchor="__RefHeading___Toc17390923_1280447820">
            <w:r>
              <w:rPr>
                <w:webHidden/>
                <w:rStyle w:val="IndexLink"/>
                <w:rtl w:val="true"/>
              </w:rPr>
              <w:t>الطيور</w:t>
            </w:r>
            <w:r>
              <w:rPr>
                <w:rStyle w:val="IndexLink"/>
                <w:rtl w:val="true"/>
              </w:rPr>
              <w:tab/>
            </w:r>
            <w:r>
              <w:rPr>
                <w:rStyle w:val="IndexLink"/>
              </w:rPr>
              <w:t>112</w:t>
            </w:r>
          </w:hyperlink>
        </w:p>
        <w:p>
          <w:pPr>
            <w:pStyle w:val="Contents3"/>
            <w:tabs>
              <w:tab w:val="clear" w:pos="8459"/>
              <w:tab w:val="right" w:pos="9026" w:leader="dot"/>
            </w:tabs>
            <w:rPr/>
          </w:pPr>
          <w:hyperlink w:anchor="__RefHeading___Toc17390925_1280447820">
            <w:r>
              <w:rPr>
                <w:webHidden/>
                <w:rStyle w:val="IndexLink"/>
                <w:rtl w:val="true"/>
              </w:rPr>
              <w:t>ما يحرم من الحيوان المذبوح</w:t>
            </w:r>
            <w:r>
              <w:rPr>
                <w:rStyle w:val="IndexLink"/>
                <w:rtl w:val="true"/>
              </w:rPr>
              <w:tab/>
            </w:r>
            <w:r>
              <w:rPr>
                <w:rStyle w:val="IndexLink"/>
              </w:rPr>
              <w:t>115</w:t>
            </w:r>
          </w:hyperlink>
        </w:p>
        <w:p>
          <w:pPr>
            <w:pStyle w:val="Contents3"/>
            <w:tabs>
              <w:tab w:val="clear" w:pos="8459"/>
              <w:tab w:val="right" w:pos="9026" w:leader="dot"/>
            </w:tabs>
            <w:rPr/>
          </w:pPr>
          <w:hyperlink w:anchor="__RefHeading___Toc17390927_1280447820">
            <w:r>
              <w:rPr>
                <w:webHidden/>
                <w:rStyle w:val="IndexLink"/>
                <w:rtl w:val="true"/>
              </w:rPr>
              <w:t>التحريم الطارئ</w:t>
            </w:r>
            <w:r>
              <w:rPr>
                <w:rStyle w:val="IndexLink"/>
                <w:rtl w:val="true"/>
              </w:rPr>
              <w:tab/>
            </w:r>
            <w:r>
              <w:rPr>
                <w:rStyle w:val="IndexLink"/>
              </w:rPr>
              <w:t>116</w:t>
            </w:r>
          </w:hyperlink>
        </w:p>
        <w:p>
          <w:pPr>
            <w:pStyle w:val="Contents2"/>
            <w:tabs>
              <w:tab w:val="clear" w:pos="8743"/>
              <w:tab w:val="right" w:pos="9026" w:leader="dot"/>
            </w:tabs>
            <w:rPr/>
          </w:pPr>
          <w:hyperlink w:anchor="__RefHeading___Toc17390929_1280447820">
            <w:r>
              <w:rPr>
                <w:webHidden/>
                <w:rStyle w:val="IndexLink"/>
                <w:rtl w:val="true"/>
              </w:rPr>
              <w:t xml:space="preserve">كتاب الصيد والذباحة </w:t>
            </w:r>
            <w:r>
              <w:rPr>
                <w:rStyle w:val="IndexLink"/>
                <w:rtl w:val="true"/>
              </w:rPr>
              <w:t>(</w:t>
            </w:r>
            <w:r>
              <w:rPr>
                <w:rStyle w:val="IndexLink"/>
                <w:rtl w:val="true"/>
              </w:rPr>
              <w:t>وسائل التذكية</w:t>
            </w:r>
            <w:r>
              <w:rPr>
                <w:rStyle w:val="IndexLink"/>
                <w:rtl w:val="true"/>
              </w:rPr>
              <w:t>)</w:t>
              <w:tab/>
            </w:r>
            <w:r>
              <w:rPr>
                <w:rStyle w:val="IndexLink"/>
              </w:rPr>
              <w:t>120</w:t>
            </w:r>
          </w:hyperlink>
        </w:p>
        <w:p>
          <w:pPr>
            <w:pStyle w:val="Contents3"/>
            <w:tabs>
              <w:tab w:val="clear" w:pos="8459"/>
              <w:tab w:val="right" w:pos="9026" w:leader="dot"/>
            </w:tabs>
            <w:rPr/>
          </w:pPr>
          <w:hyperlink w:anchor="__RefHeading___Toc17390931_128044782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7390933_1280447820">
            <w:r>
              <w:rPr>
                <w:webHidden/>
                <w:rStyle w:val="IndexLink"/>
                <w:rtl w:val="true"/>
              </w:rPr>
              <w:t>وسائل تحقق التذكية</w:t>
            </w:r>
            <w:r>
              <w:rPr>
                <w:rStyle w:val="IndexLink"/>
                <w:rtl w:val="true"/>
              </w:rPr>
              <w:tab/>
            </w:r>
            <w:r>
              <w:rPr>
                <w:rStyle w:val="IndexLink"/>
              </w:rPr>
              <w:t>122</w:t>
            </w:r>
          </w:hyperlink>
        </w:p>
        <w:p>
          <w:pPr>
            <w:pStyle w:val="Contents4"/>
            <w:tabs>
              <w:tab w:val="clear" w:pos="8176"/>
              <w:tab w:val="right" w:pos="9026" w:leader="dot"/>
            </w:tabs>
            <w:rPr/>
          </w:pPr>
          <w:hyperlink w:anchor="__RefHeading___Toc17390935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7390937_1280447820">
            <w:r>
              <w:rPr>
                <w:webHidden/>
                <w:rStyle w:val="IndexLink"/>
                <w:rtl w:val="true"/>
              </w:rPr>
              <w:t xml:space="preserve">أ </w:t>
            </w:r>
            <w:r>
              <w:rPr>
                <w:rStyle w:val="IndexLink"/>
                <w:rtl w:val="true"/>
              </w:rPr>
              <w:t xml:space="preserve">- </w:t>
            </w:r>
            <w:r>
              <w:rPr>
                <w:rStyle w:val="IndexLink"/>
                <w:rtl w:val="true"/>
              </w:rPr>
              <w:t>الذبح</w:t>
            </w:r>
            <w:r>
              <w:rPr>
                <w:rStyle w:val="IndexLink"/>
                <w:rtl w:val="true"/>
              </w:rPr>
              <w:tab/>
            </w:r>
            <w:r>
              <w:rPr>
                <w:rStyle w:val="IndexLink"/>
              </w:rPr>
              <w:t>122</w:t>
            </w:r>
          </w:hyperlink>
        </w:p>
        <w:p>
          <w:pPr>
            <w:pStyle w:val="Contents4"/>
            <w:tabs>
              <w:tab w:val="clear" w:pos="8176"/>
              <w:tab w:val="right" w:pos="9026" w:leader="dot"/>
            </w:tabs>
            <w:rPr/>
          </w:pPr>
          <w:hyperlink w:anchor="__RefHeading___Toc17390939_1280447820">
            <w:r>
              <w:rPr>
                <w:webHidden/>
                <w:rStyle w:val="IndexLink"/>
                <w:rtl w:val="true"/>
              </w:rPr>
              <w:t xml:space="preserve">ب </w:t>
            </w:r>
            <w:r>
              <w:rPr>
                <w:rStyle w:val="IndexLink"/>
                <w:rtl w:val="true"/>
              </w:rPr>
              <w:t xml:space="preserve">- </w:t>
            </w:r>
            <w:r>
              <w:rPr>
                <w:rStyle w:val="IndexLink"/>
                <w:rtl w:val="true"/>
              </w:rPr>
              <w:t>النحر</w:t>
            </w:r>
            <w:r>
              <w:rPr>
                <w:rStyle w:val="IndexLink"/>
                <w:rtl w:val="true"/>
              </w:rPr>
              <w:tab/>
            </w:r>
            <w:r>
              <w:rPr>
                <w:rStyle w:val="IndexLink"/>
              </w:rPr>
              <w:t>132</w:t>
            </w:r>
          </w:hyperlink>
        </w:p>
        <w:p>
          <w:pPr>
            <w:pStyle w:val="Contents4"/>
            <w:tabs>
              <w:tab w:val="clear" w:pos="8176"/>
              <w:tab w:val="right" w:pos="9026" w:leader="dot"/>
            </w:tabs>
            <w:rPr/>
          </w:pPr>
          <w:hyperlink w:anchor="__RefHeading___Toc17390941_1280447820">
            <w:r>
              <w:rPr>
                <w:webHidden/>
                <w:rStyle w:val="IndexLink"/>
                <w:rtl w:val="true"/>
              </w:rPr>
              <w:t xml:space="preserve">ج </w:t>
            </w:r>
            <w:r>
              <w:rPr>
                <w:rStyle w:val="IndexLink"/>
                <w:rtl w:val="true"/>
              </w:rPr>
              <w:t xml:space="preserve">- </w:t>
            </w:r>
            <w:r>
              <w:rPr>
                <w:rStyle w:val="IndexLink"/>
                <w:rtl w:val="true"/>
              </w:rPr>
              <w:t>الاصطياد</w:t>
            </w:r>
            <w:r>
              <w:rPr>
                <w:rStyle w:val="IndexLink"/>
                <w:rtl w:val="true"/>
              </w:rPr>
              <w:tab/>
            </w:r>
            <w:r>
              <w:rPr>
                <w:rStyle w:val="IndexLink"/>
              </w:rPr>
              <w:t>134</w:t>
            </w:r>
          </w:hyperlink>
        </w:p>
        <w:p>
          <w:pPr>
            <w:pStyle w:val="Contents3"/>
            <w:tabs>
              <w:tab w:val="clear" w:pos="8459"/>
              <w:tab w:val="right" w:pos="9026" w:leader="dot"/>
            </w:tabs>
            <w:rPr/>
          </w:pPr>
          <w:hyperlink w:anchor="__RefHeading___Toc17390943_1280447820">
            <w:r>
              <w:rPr>
                <w:webHidden/>
                <w:rStyle w:val="IndexLink"/>
                <w:rtl w:val="true"/>
              </w:rPr>
              <w:t>الحيوان الوحشى</w:t>
            </w:r>
            <w:r>
              <w:rPr>
                <w:rStyle w:val="IndexLink"/>
                <w:rtl w:val="true"/>
              </w:rPr>
              <w:tab/>
            </w:r>
            <w:r>
              <w:rPr>
                <w:rStyle w:val="IndexLink"/>
              </w:rPr>
              <w:t>134</w:t>
            </w:r>
          </w:hyperlink>
        </w:p>
        <w:p>
          <w:pPr>
            <w:pStyle w:val="Contents3"/>
            <w:tabs>
              <w:tab w:val="clear" w:pos="8459"/>
              <w:tab w:val="right" w:pos="9026" w:leader="dot"/>
            </w:tabs>
            <w:rPr/>
          </w:pPr>
          <w:hyperlink w:anchor="__RefHeading___Toc17390945_1280447820">
            <w:r>
              <w:rPr>
                <w:webHidden/>
                <w:rStyle w:val="IndexLink"/>
                <w:rtl w:val="true"/>
              </w:rPr>
              <w:t>الاصطياد بالكلب</w:t>
            </w:r>
            <w:r>
              <w:rPr>
                <w:rStyle w:val="IndexLink"/>
                <w:rtl w:val="true"/>
              </w:rPr>
              <w:tab/>
            </w:r>
            <w:r>
              <w:rPr>
                <w:rStyle w:val="IndexLink"/>
              </w:rPr>
              <w:t>135</w:t>
            </w:r>
          </w:hyperlink>
        </w:p>
        <w:p>
          <w:pPr>
            <w:pStyle w:val="Contents3"/>
            <w:tabs>
              <w:tab w:val="clear" w:pos="8459"/>
              <w:tab w:val="right" w:pos="9026" w:leader="dot"/>
            </w:tabs>
            <w:rPr/>
          </w:pPr>
          <w:hyperlink w:anchor="__RefHeading___Toc17390947_1280447820">
            <w:r>
              <w:rPr>
                <w:webHidden/>
                <w:rStyle w:val="IndexLink"/>
                <w:rtl w:val="true"/>
              </w:rPr>
              <w:t>السمك والجراد</w:t>
            </w:r>
            <w:r>
              <w:rPr>
                <w:rStyle w:val="IndexLink"/>
                <w:rtl w:val="true"/>
              </w:rPr>
              <w:tab/>
            </w:r>
            <w:r>
              <w:rPr>
                <w:rStyle w:val="IndexLink"/>
              </w:rPr>
              <w:t>145</w:t>
            </w:r>
          </w:hyperlink>
        </w:p>
        <w:p>
          <w:pPr>
            <w:pStyle w:val="Contents2"/>
            <w:tabs>
              <w:tab w:val="clear" w:pos="8743"/>
              <w:tab w:val="right" w:pos="9026" w:leader="dot"/>
            </w:tabs>
            <w:rPr/>
          </w:pPr>
          <w:hyperlink w:anchor="__RefHeading___Toc17390949_1280447820">
            <w:r>
              <w:rPr>
                <w:webHidden/>
                <w:rStyle w:val="IndexLink"/>
                <w:rtl w:val="true"/>
              </w:rPr>
              <w:t>كتاب الأنفال والمشتركات</w:t>
            </w:r>
            <w:r>
              <w:rPr>
                <w:rStyle w:val="IndexLink"/>
                <w:rtl w:val="true"/>
              </w:rPr>
              <w:tab/>
            </w:r>
            <w:r>
              <w:rPr>
                <w:rStyle w:val="IndexLink"/>
              </w:rPr>
              <w:t>152</w:t>
            </w:r>
          </w:hyperlink>
        </w:p>
        <w:p>
          <w:pPr>
            <w:pStyle w:val="Contents3"/>
            <w:tabs>
              <w:tab w:val="clear" w:pos="8459"/>
              <w:tab w:val="right" w:pos="9026" w:leader="dot"/>
            </w:tabs>
            <w:rPr/>
          </w:pPr>
          <w:hyperlink w:anchor="__RefHeading___Toc17390951_128044782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7390953_1280447820">
            <w:r>
              <w:rPr>
                <w:webHidden/>
                <w:rStyle w:val="IndexLink"/>
                <w:rtl w:val="true"/>
              </w:rPr>
              <w:t xml:space="preserve">الأنفال </w:t>
            </w:r>
            <w:r>
              <w:rPr>
                <w:rStyle w:val="IndexLink"/>
                <w:rtl w:val="true"/>
              </w:rPr>
              <w:t>(</w:t>
            </w:r>
            <w:r>
              <w:rPr>
                <w:rStyle w:val="IndexLink"/>
                <w:rtl w:val="true"/>
              </w:rPr>
              <w:t>ملكية الإمام علیه السلام أو الدولة</w:t>
            </w:r>
            <w:r>
              <w:rPr>
                <w:rStyle w:val="IndexLink"/>
                <w:rtl w:val="true"/>
              </w:rPr>
              <w:t>)</w:t>
              <w:tab/>
            </w:r>
            <w:r>
              <w:rPr>
                <w:rStyle w:val="IndexLink"/>
              </w:rPr>
              <w:t>154</w:t>
            </w:r>
          </w:hyperlink>
        </w:p>
        <w:p>
          <w:pPr>
            <w:pStyle w:val="Contents3"/>
            <w:tabs>
              <w:tab w:val="clear" w:pos="8459"/>
              <w:tab w:val="right" w:pos="9026" w:leader="dot"/>
            </w:tabs>
            <w:rPr/>
          </w:pPr>
          <w:hyperlink w:anchor="__RefHeading___Toc17390955_1280447820">
            <w:r>
              <w:rPr>
                <w:webHidden/>
                <w:rStyle w:val="IndexLink"/>
                <w:rtl w:val="true"/>
              </w:rPr>
              <w:t>أنحاء الملكية ووسائل تحصيلها</w:t>
            </w:r>
            <w:r>
              <w:rPr>
                <w:rStyle w:val="IndexLink"/>
                <w:rtl w:val="true"/>
              </w:rPr>
              <w:tab/>
            </w:r>
            <w:r>
              <w:rPr>
                <w:rStyle w:val="IndexLink"/>
              </w:rPr>
              <w:t>161</w:t>
            </w:r>
          </w:hyperlink>
        </w:p>
        <w:p>
          <w:pPr>
            <w:pStyle w:val="Contents3"/>
            <w:tabs>
              <w:tab w:val="clear" w:pos="8459"/>
              <w:tab w:val="right" w:pos="9026" w:leader="dot"/>
            </w:tabs>
            <w:rPr/>
          </w:pPr>
          <w:hyperlink w:anchor="__RefHeading___Toc17390957_1280447820">
            <w:r>
              <w:rPr>
                <w:webHidden/>
                <w:rStyle w:val="IndexLink"/>
                <w:rtl w:val="true"/>
              </w:rPr>
              <w:t>من أحكام المشتركات</w:t>
            </w:r>
            <w:r>
              <w:rPr>
                <w:rStyle w:val="IndexLink"/>
                <w:rtl w:val="true"/>
              </w:rPr>
              <w:tab/>
            </w:r>
            <w:r>
              <w:rPr>
                <w:rStyle w:val="IndexLink"/>
              </w:rPr>
              <w:t>167</w:t>
            </w:r>
          </w:hyperlink>
        </w:p>
        <w:p>
          <w:pPr>
            <w:pStyle w:val="Contents2"/>
            <w:tabs>
              <w:tab w:val="clear" w:pos="8743"/>
              <w:tab w:val="right" w:pos="9026" w:leader="dot"/>
            </w:tabs>
            <w:rPr/>
          </w:pPr>
          <w:hyperlink w:anchor="__RefHeading___Toc17390959_1280447820">
            <w:r>
              <w:rPr>
                <w:webHidden/>
                <w:rStyle w:val="IndexLink"/>
                <w:rtl w:val="true"/>
              </w:rPr>
              <w:t>كتاب الإرث</w:t>
            </w:r>
            <w:r>
              <w:rPr>
                <w:rStyle w:val="IndexLink"/>
                <w:rtl w:val="true"/>
              </w:rPr>
              <w:tab/>
            </w:r>
            <w:r>
              <w:rPr>
                <w:rStyle w:val="IndexLink"/>
              </w:rPr>
              <w:t>174</w:t>
            </w:r>
          </w:hyperlink>
        </w:p>
        <w:p>
          <w:pPr>
            <w:pStyle w:val="Contents3"/>
            <w:tabs>
              <w:tab w:val="clear" w:pos="8459"/>
              <w:tab w:val="right" w:pos="9026" w:leader="dot"/>
            </w:tabs>
            <w:rPr/>
          </w:pPr>
          <w:hyperlink w:anchor="__RefHeading___Toc17390961_1280447820">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7390963_1280447820">
            <w:r>
              <w:rPr>
                <w:webHidden/>
                <w:rStyle w:val="IndexLink"/>
                <w:rtl w:val="true"/>
              </w:rPr>
              <w:t>ما يوجب الإرث</w:t>
            </w:r>
            <w:r>
              <w:rPr>
                <w:rStyle w:val="IndexLink"/>
                <w:rtl w:val="true"/>
              </w:rPr>
              <w:tab/>
            </w:r>
            <w:r>
              <w:rPr>
                <w:rStyle w:val="IndexLink"/>
              </w:rPr>
              <w:t>176</w:t>
            </w:r>
          </w:hyperlink>
        </w:p>
        <w:p>
          <w:pPr>
            <w:pStyle w:val="Contents3"/>
            <w:tabs>
              <w:tab w:val="clear" w:pos="8459"/>
              <w:tab w:val="right" w:pos="9026" w:leader="dot"/>
            </w:tabs>
            <w:rPr/>
          </w:pPr>
          <w:hyperlink w:anchor="__RefHeading___Toc17390965_1280447820">
            <w:r>
              <w:rPr>
                <w:webHidden/>
                <w:rStyle w:val="IndexLink"/>
                <w:rtl w:val="true"/>
              </w:rPr>
              <w:t>فروض الإرث</w:t>
            </w:r>
            <w:r>
              <w:rPr>
                <w:rStyle w:val="IndexLink"/>
                <w:rtl w:val="true"/>
              </w:rPr>
              <w:tab/>
            </w:r>
            <w:r>
              <w:rPr>
                <w:rStyle w:val="IndexLink"/>
              </w:rPr>
              <w:t>178</w:t>
            </w:r>
          </w:hyperlink>
        </w:p>
        <w:p>
          <w:pPr>
            <w:pStyle w:val="Contents3"/>
            <w:tabs>
              <w:tab w:val="clear" w:pos="8459"/>
              <w:tab w:val="right" w:pos="9026" w:leader="dot"/>
            </w:tabs>
            <w:rPr/>
          </w:pPr>
          <w:hyperlink w:anchor="__RefHeading___Toc17390967_1280447820">
            <w:r>
              <w:rPr>
                <w:webHidden/>
                <w:rStyle w:val="IndexLink"/>
                <w:rtl w:val="true"/>
              </w:rPr>
              <w:t>الارث بالفرض وبالقرابة</w:t>
            </w:r>
            <w:r>
              <w:rPr>
                <w:rStyle w:val="IndexLink"/>
                <w:rtl w:val="true"/>
              </w:rPr>
              <w:tab/>
            </w:r>
            <w:r>
              <w:rPr>
                <w:rStyle w:val="IndexLink"/>
              </w:rPr>
              <w:t>182</w:t>
            </w:r>
          </w:hyperlink>
        </w:p>
        <w:p>
          <w:pPr>
            <w:pStyle w:val="Contents3"/>
            <w:tabs>
              <w:tab w:val="clear" w:pos="8459"/>
              <w:tab w:val="right" w:pos="9026" w:leader="dot"/>
            </w:tabs>
            <w:rPr/>
          </w:pPr>
          <w:hyperlink w:anchor="__RefHeading___Toc17390969_1280447820">
            <w:r>
              <w:rPr>
                <w:webHidden/>
                <w:rStyle w:val="IndexLink"/>
                <w:rtl w:val="true"/>
              </w:rPr>
              <w:t>الحجب</w:t>
            </w:r>
            <w:r>
              <w:rPr>
                <w:rStyle w:val="IndexLink"/>
                <w:rtl w:val="true"/>
              </w:rPr>
              <w:tab/>
            </w:r>
            <w:r>
              <w:rPr>
                <w:rStyle w:val="IndexLink"/>
              </w:rPr>
              <w:t>185</w:t>
            </w:r>
          </w:hyperlink>
        </w:p>
        <w:p>
          <w:pPr>
            <w:pStyle w:val="Contents3"/>
            <w:tabs>
              <w:tab w:val="clear" w:pos="8459"/>
              <w:tab w:val="right" w:pos="9026" w:leader="dot"/>
            </w:tabs>
            <w:rPr/>
          </w:pPr>
          <w:hyperlink w:anchor="__RefHeading___Toc17390971_1280447820">
            <w:r>
              <w:rPr>
                <w:webHidden/>
                <w:rStyle w:val="IndexLink"/>
                <w:rtl w:val="true"/>
              </w:rPr>
              <w:t>العول والتعصيب</w:t>
            </w:r>
            <w:r>
              <w:rPr>
                <w:rStyle w:val="IndexLink"/>
                <w:rtl w:val="true"/>
              </w:rPr>
              <w:tab/>
            </w:r>
            <w:r>
              <w:rPr>
                <w:rStyle w:val="IndexLink"/>
              </w:rPr>
              <w:t>191</w:t>
            </w:r>
          </w:hyperlink>
        </w:p>
        <w:p>
          <w:pPr>
            <w:pStyle w:val="Contents3"/>
            <w:tabs>
              <w:tab w:val="clear" w:pos="8459"/>
              <w:tab w:val="right" w:pos="9026" w:leader="dot"/>
            </w:tabs>
            <w:rPr/>
          </w:pPr>
          <w:hyperlink w:anchor="__RefHeading___Toc17390973_1280447820">
            <w:r>
              <w:rPr>
                <w:webHidden/>
                <w:rStyle w:val="IndexLink"/>
                <w:rtl w:val="true"/>
              </w:rPr>
              <w:t>من تفاصيل إرث الطبقات</w:t>
            </w:r>
            <w:r>
              <w:rPr>
                <w:rStyle w:val="IndexLink"/>
                <w:rtl w:val="true"/>
              </w:rPr>
              <w:tab/>
            </w:r>
            <w:r>
              <w:rPr>
                <w:rStyle w:val="IndexLink"/>
              </w:rPr>
              <w:t>195</w:t>
            </w:r>
          </w:hyperlink>
        </w:p>
        <w:p>
          <w:pPr>
            <w:pStyle w:val="Contents3"/>
            <w:tabs>
              <w:tab w:val="clear" w:pos="8459"/>
              <w:tab w:val="right" w:pos="9026" w:leader="dot"/>
            </w:tabs>
            <w:rPr/>
          </w:pPr>
          <w:hyperlink w:anchor="__RefHeading___Toc17390975_1280447820">
            <w:r>
              <w:rPr>
                <w:webHidden/>
                <w:rStyle w:val="IndexLink"/>
                <w:rtl w:val="true"/>
              </w:rPr>
              <w:t>إرث الطبقة الثانية</w:t>
            </w:r>
            <w:r>
              <w:rPr>
                <w:rStyle w:val="IndexLink"/>
                <w:rtl w:val="true"/>
              </w:rPr>
              <w:tab/>
            </w:r>
            <w:r>
              <w:rPr>
                <w:rStyle w:val="IndexLink"/>
              </w:rPr>
              <w:t>200</w:t>
            </w:r>
          </w:hyperlink>
        </w:p>
        <w:p>
          <w:pPr>
            <w:pStyle w:val="Contents3"/>
            <w:tabs>
              <w:tab w:val="clear" w:pos="8459"/>
              <w:tab w:val="right" w:pos="9026" w:leader="dot"/>
            </w:tabs>
            <w:rPr/>
          </w:pPr>
          <w:hyperlink w:anchor="__RefHeading___Toc17390977_1280447820">
            <w:r>
              <w:rPr>
                <w:webHidden/>
                <w:rStyle w:val="IndexLink"/>
                <w:rtl w:val="true"/>
              </w:rPr>
              <w:t>إرث الطبقة الثالثة</w:t>
            </w:r>
            <w:r>
              <w:rPr>
                <w:rStyle w:val="IndexLink"/>
                <w:rtl w:val="true"/>
              </w:rPr>
              <w:tab/>
            </w:r>
            <w:r>
              <w:rPr>
                <w:rStyle w:val="IndexLink"/>
              </w:rPr>
              <w:t>204</w:t>
            </w:r>
          </w:hyperlink>
        </w:p>
        <w:p>
          <w:pPr>
            <w:pStyle w:val="Contents2"/>
            <w:tabs>
              <w:tab w:val="clear" w:pos="8743"/>
              <w:tab w:val="right" w:pos="9026" w:leader="dot"/>
            </w:tabs>
            <w:rPr/>
          </w:pPr>
          <w:hyperlink w:anchor="__RefHeading___Toc17390979_1280447820">
            <w:r>
              <w:rPr>
                <w:webHidden/>
                <w:rStyle w:val="IndexLink"/>
                <w:rtl w:val="true"/>
              </w:rPr>
              <w:t>كتاب الحدود</w:t>
            </w:r>
            <w:r>
              <w:rPr>
                <w:rStyle w:val="IndexLink"/>
                <w:rtl w:val="true"/>
              </w:rPr>
              <w:tab/>
            </w:r>
            <w:r>
              <w:rPr>
                <w:rStyle w:val="IndexLink"/>
              </w:rPr>
              <w:t>208</w:t>
            </w:r>
          </w:hyperlink>
        </w:p>
        <w:p>
          <w:pPr>
            <w:pStyle w:val="Contents3"/>
            <w:tabs>
              <w:tab w:val="clear" w:pos="8459"/>
              <w:tab w:val="right" w:pos="9026" w:leader="dot"/>
            </w:tabs>
            <w:rPr/>
          </w:pPr>
          <w:hyperlink w:anchor="__RefHeading___Toc17390981_1280447820">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7390983_1280447820">
            <w:r>
              <w:rPr>
                <w:webHidden/>
                <w:rStyle w:val="IndexLink"/>
                <w:rtl w:val="true"/>
              </w:rPr>
              <w:t>موجبات الحدّ</w:t>
            </w:r>
            <w:r>
              <w:rPr>
                <w:rStyle w:val="IndexLink"/>
                <w:rtl w:val="true"/>
              </w:rPr>
              <w:tab/>
            </w:r>
            <w:r>
              <w:rPr>
                <w:rStyle w:val="IndexLink"/>
              </w:rPr>
              <w:t>210</w:t>
            </w:r>
          </w:hyperlink>
        </w:p>
        <w:p>
          <w:pPr>
            <w:pStyle w:val="Contents4"/>
            <w:tabs>
              <w:tab w:val="clear" w:pos="8176"/>
              <w:tab w:val="right" w:pos="9026" w:leader="dot"/>
            </w:tabs>
            <w:rPr/>
          </w:pPr>
          <w:hyperlink w:anchor="__RefHeading___Toc17390985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7390987_1280447820">
            <w:r>
              <w:rPr>
                <w:webHidden/>
                <w:rStyle w:val="IndexLink"/>
                <w:rtl w:val="true"/>
              </w:rPr>
              <w:t xml:space="preserve">الأول </w:t>
            </w:r>
            <w:r>
              <w:rPr>
                <w:rStyle w:val="IndexLink"/>
                <w:rtl w:val="true"/>
              </w:rPr>
              <w:t xml:space="preserve">: </w:t>
            </w:r>
            <w:r>
              <w:rPr>
                <w:rStyle w:val="IndexLink"/>
                <w:rtl w:val="true"/>
              </w:rPr>
              <w:t>الزنا</w:t>
            </w:r>
            <w:r>
              <w:rPr>
                <w:rStyle w:val="IndexLink"/>
                <w:rtl w:val="true"/>
              </w:rPr>
              <w:tab/>
            </w:r>
            <w:r>
              <w:rPr>
                <w:rStyle w:val="IndexLink"/>
              </w:rPr>
              <w:t>210</w:t>
            </w:r>
          </w:hyperlink>
        </w:p>
        <w:p>
          <w:pPr>
            <w:pStyle w:val="Contents5"/>
            <w:tabs>
              <w:tab w:val="clear" w:pos="7892"/>
              <w:tab w:val="right" w:pos="9026" w:leader="dot"/>
            </w:tabs>
            <w:rPr/>
          </w:pPr>
          <w:hyperlink w:anchor="__RefHeading___Toc17390989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7390991_1280447820">
            <w:r>
              <w:rPr>
                <w:webHidden/>
                <w:rStyle w:val="IndexLink"/>
                <w:rtl w:val="true"/>
              </w:rPr>
              <w:t>حدُّ الزنا</w:t>
            </w:r>
            <w:r>
              <w:rPr>
                <w:rStyle w:val="IndexLink"/>
                <w:rtl w:val="true"/>
              </w:rPr>
              <w:tab/>
            </w:r>
            <w:r>
              <w:rPr>
                <w:rStyle w:val="IndexLink"/>
              </w:rPr>
              <w:t>213</w:t>
            </w:r>
          </w:hyperlink>
        </w:p>
        <w:p>
          <w:pPr>
            <w:pStyle w:val="Contents5"/>
            <w:tabs>
              <w:tab w:val="clear" w:pos="7892"/>
              <w:tab w:val="right" w:pos="9026" w:leader="dot"/>
            </w:tabs>
            <w:rPr/>
          </w:pPr>
          <w:hyperlink w:anchor="__RefHeading___Toc17390993_1280447820">
            <w:r>
              <w:rPr>
                <w:webHidden/>
                <w:rStyle w:val="IndexLink"/>
                <w:rtl w:val="true"/>
              </w:rPr>
              <w:t>الإحصان</w:t>
            </w:r>
            <w:r>
              <w:rPr>
                <w:rStyle w:val="IndexLink"/>
                <w:rtl w:val="true"/>
              </w:rPr>
              <w:tab/>
            </w:r>
            <w:r>
              <w:rPr>
                <w:rStyle w:val="IndexLink"/>
              </w:rPr>
              <w:t>218</w:t>
            </w:r>
          </w:hyperlink>
        </w:p>
        <w:p>
          <w:pPr>
            <w:pStyle w:val="Contents5"/>
            <w:tabs>
              <w:tab w:val="clear" w:pos="7892"/>
              <w:tab w:val="right" w:pos="9026" w:leader="dot"/>
            </w:tabs>
            <w:rPr/>
          </w:pPr>
          <w:hyperlink w:anchor="__RefHeading___Toc17390995_1280447820">
            <w:r>
              <w:rPr>
                <w:webHidden/>
                <w:rStyle w:val="IndexLink"/>
                <w:rtl w:val="true"/>
              </w:rPr>
              <w:t>شرائط ثبوت حدِّ الزنا</w:t>
            </w:r>
            <w:r>
              <w:rPr>
                <w:rStyle w:val="IndexLink"/>
                <w:rtl w:val="true"/>
              </w:rPr>
              <w:tab/>
            </w:r>
            <w:r>
              <w:rPr>
                <w:rStyle w:val="IndexLink"/>
              </w:rPr>
              <w:t>221</w:t>
            </w:r>
          </w:hyperlink>
        </w:p>
        <w:p>
          <w:pPr>
            <w:pStyle w:val="Contents5"/>
            <w:tabs>
              <w:tab w:val="clear" w:pos="7892"/>
              <w:tab w:val="right" w:pos="9026" w:leader="dot"/>
            </w:tabs>
            <w:rPr/>
          </w:pPr>
          <w:hyperlink w:anchor="__RefHeading___Toc17390997_1280447820">
            <w:r>
              <w:rPr>
                <w:webHidden/>
                <w:rStyle w:val="IndexLink"/>
                <w:rtl w:val="true"/>
              </w:rPr>
              <w:t>الوسائل المثبتة للزنا</w:t>
            </w:r>
            <w:r>
              <w:rPr>
                <w:rStyle w:val="IndexLink"/>
                <w:rtl w:val="true"/>
              </w:rPr>
              <w:tab/>
            </w:r>
            <w:r>
              <w:rPr>
                <w:rStyle w:val="IndexLink"/>
              </w:rPr>
              <w:t>222</w:t>
            </w:r>
          </w:hyperlink>
        </w:p>
        <w:p>
          <w:pPr>
            <w:pStyle w:val="Contents5"/>
            <w:tabs>
              <w:tab w:val="clear" w:pos="7892"/>
              <w:tab w:val="right" w:pos="9026" w:leader="dot"/>
            </w:tabs>
            <w:rPr/>
          </w:pPr>
          <w:hyperlink w:anchor="__RefHeading___Toc17390999_1280447820">
            <w:r>
              <w:rPr>
                <w:webHidden/>
                <w:rStyle w:val="IndexLink"/>
                <w:rtl w:val="true"/>
              </w:rPr>
              <w:t>كيفية اقامة الحدِّ</w:t>
            </w:r>
            <w:r>
              <w:rPr>
                <w:rStyle w:val="IndexLink"/>
                <w:rtl w:val="true"/>
              </w:rPr>
              <w:tab/>
            </w:r>
            <w:r>
              <w:rPr>
                <w:rStyle w:val="IndexLink"/>
              </w:rPr>
              <w:t>224</w:t>
            </w:r>
          </w:hyperlink>
        </w:p>
        <w:p>
          <w:pPr>
            <w:pStyle w:val="Contents4"/>
            <w:tabs>
              <w:tab w:val="clear" w:pos="8176"/>
              <w:tab w:val="right" w:pos="9026" w:leader="dot"/>
            </w:tabs>
            <w:rPr/>
          </w:pPr>
          <w:hyperlink w:anchor="__RefHeading___Toc17391001_1280447820">
            <w:r>
              <w:rPr>
                <w:webHidden/>
                <w:rStyle w:val="IndexLink"/>
                <w:rtl w:val="true"/>
              </w:rPr>
              <w:t xml:space="preserve">الثاني </w:t>
            </w:r>
            <w:r>
              <w:rPr>
                <w:rStyle w:val="IndexLink"/>
                <w:rtl w:val="true"/>
              </w:rPr>
              <w:t xml:space="preserve">: </w:t>
            </w:r>
            <w:r>
              <w:rPr>
                <w:rStyle w:val="IndexLink"/>
                <w:rtl w:val="true"/>
              </w:rPr>
              <w:t>اللواط</w:t>
            </w:r>
            <w:r>
              <w:rPr>
                <w:rStyle w:val="IndexLink"/>
                <w:rtl w:val="true"/>
              </w:rPr>
              <w:tab/>
            </w:r>
            <w:r>
              <w:rPr>
                <w:rStyle w:val="IndexLink"/>
              </w:rPr>
              <w:t>225</w:t>
            </w:r>
          </w:hyperlink>
        </w:p>
        <w:p>
          <w:pPr>
            <w:pStyle w:val="Contents4"/>
            <w:tabs>
              <w:tab w:val="clear" w:pos="8176"/>
              <w:tab w:val="right" w:pos="9026" w:leader="dot"/>
            </w:tabs>
            <w:rPr/>
          </w:pPr>
          <w:hyperlink w:anchor="__RefHeading___Toc17391003_1280447820">
            <w:r>
              <w:rPr>
                <w:webHidden/>
                <w:rStyle w:val="IndexLink"/>
                <w:rtl w:val="true"/>
              </w:rPr>
              <w:t xml:space="preserve">الثالث </w:t>
            </w:r>
            <w:r>
              <w:rPr>
                <w:rStyle w:val="IndexLink"/>
                <w:rtl w:val="true"/>
              </w:rPr>
              <w:t xml:space="preserve">: </w:t>
            </w:r>
            <w:r>
              <w:rPr>
                <w:rStyle w:val="IndexLink"/>
                <w:rtl w:val="true"/>
              </w:rPr>
              <w:t>التفخيذ</w:t>
            </w:r>
            <w:r>
              <w:rPr>
                <w:rStyle w:val="IndexLink"/>
                <w:rtl w:val="true"/>
              </w:rPr>
              <w:tab/>
            </w:r>
            <w:r>
              <w:rPr>
                <w:rStyle w:val="IndexLink"/>
              </w:rPr>
              <w:t>227</w:t>
            </w:r>
          </w:hyperlink>
        </w:p>
        <w:p>
          <w:pPr>
            <w:pStyle w:val="Contents4"/>
            <w:tabs>
              <w:tab w:val="clear" w:pos="8176"/>
              <w:tab w:val="right" w:pos="9026" w:leader="dot"/>
            </w:tabs>
            <w:rPr/>
          </w:pPr>
          <w:hyperlink w:anchor="__RefHeading___Toc17391005_1280447820">
            <w:r>
              <w:rPr>
                <w:webHidden/>
                <w:rStyle w:val="IndexLink"/>
                <w:rtl w:val="true"/>
              </w:rPr>
              <w:t xml:space="preserve">الرابع </w:t>
            </w:r>
            <w:r>
              <w:rPr>
                <w:rStyle w:val="IndexLink"/>
                <w:rtl w:val="true"/>
              </w:rPr>
              <w:t xml:space="preserve">: </w:t>
            </w:r>
            <w:r>
              <w:rPr>
                <w:rStyle w:val="IndexLink"/>
                <w:rtl w:val="true"/>
              </w:rPr>
              <w:t>السَّحق</w:t>
            </w:r>
            <w:r>
              <w:rPr>
                <w:rStyle w:val="IndexLink"/>
                <w:rtl w:val="true"/>
              </w:rPr>
              <w:tab/>
            </w:r>
            <w:r>
              <w:rPr>
                <w:rStyle w:val="IndexLink"/>
              </w:rPr>
              <w:t>229</w:t>
            </w:r>
          </w:hyperlink>
        </w:p>
        <w:p>
          <w:pPr>
            <w:pStyle w:val="Contents4"/>
            <w:tabs>
              <w:tab w:val="clear" w:pos="8176"/>
              <w:tab w:val="right" w:pos="9026" w:leader="dot"/>
            </w:tabs>
            <w:rPr/>
          </w:pPr>
          <w:hyperlink w:anchor="__RefHeading___Toc17391007_1280447820">
            <w:r>
              <w:rPr>
                <w:webHidden/>
                <w:rStyle w:val="IndexLink"/>
                <w:rtl w:val="true"/>
              </w:rPr>
              <w:t xml:space="preserve">الخامس </w:t>
            </w:r>
            <w:r>
              <w:rPr>
                <w:rStyle w:val="IndexLink"/>
                <w:rtl w:val="true"/>
              </w:rPr>
              <w:t xml:space="preserve">: </w:t>
            </w:r>
            <w:r>
              <w:rPr>
                <w:rStyle w:val="IndexLink"/>
                <w:rtl w:val="true"/>
              </w:rPr>
              <w:t>القذف</w:t>
            </w:r>
            <w:r>
              <w:rPr>
                <w:rStyle w:val="IndexLink"/>
                <w:rtl w:val="true"/>
              </w:rPr>
              <w:tab/>
            </w:r>
            <w:r>
              <w:rPr>
                <w:rStyle w:val="IndexLink"/>
              </w:rPr>
              <w:t>230</w:t>
            </w:r>
          </w:hyperlink>
        </w:p>
        <w:p>
          <w:pPr>
            <w:pStyle w:val="Contents4"/>
            <w:tabs>
              <w:tab w:val="clear" w:pos="8176"/>
              <w:tab w:val="right" w:pos="9026" w:leader="dot"/>
            </w:tabs>
            <w:rPr/>
          </w:pPr>
          <w:hyperlink w:anchor="__RefHeading___Toc17391009_1280447820">
            <w:r>
              <w:rPr>
                <w:webHidden/>
                <w:rStyle w:val="IndexLink"/>
                <w:rtl w:val="true"/>
              </w:rPr>
              <w:t xml:space="preserve">السادس </w:t>
            </w:r>
            <w:r>
              <w:rPr>
                <w:rStyle w:val="IndexLink"/>
                <w:rtl w:val="true"/>
              </w:rPr>
              <w:t xml:space="preserve">: </w:t>
            </w:r>
            <w:r>
              <w:rPr>
                <w:rStyle w:val="IndexLink"/>
                <w:rtl w:val="true"/>
              </w:rPr>
              <w:t>شرب المسكر</w:t>
            </w:r>
            <w:r>
              <w:rPr>
                <w:rStyle w:val="IndexLink"/>
                <w:rtl w:val="true"/>
              </w:rPr>
              <w:tab/>
            </w:r>
            <w:r>
              <w:rPr>
                <w:rStyle w:val="IndexLink"/>
              </w:rPr>
              <w:t>232</w:t>
            </w:r>
          </w:hyperlink>
        </w:p>
        <w:p>
          <w:pPr>
            <w:pStyle w:val="Contents4"/>
            <w:tabs>
              <w:tab w:val="clear" w:pos="8176"/>
              <w:tab w:val="right" w:pos="9026" w:leader="dot"/>
            </w:tabs>
            <w:rPr/>
          </w:pPr>
          <w:hyperlink w:anchor="__RefHeading___Toc17391011_1280447820">
            <w:r>
              <w:rPr>
                <w:webHidden/>
                <w:rStyle w:val="IndexLink"/>
                <w:rtl w:val="true"/>
              </w:rPr>
              <w:t xml:space="preserve">السابع </w:t>
            </w:r>
            <w:r>
              <w:rPr>
                <w:rStyle w:val="IndexLink"/>
                <w:rtl w:val="true"/>
              </w:rPr>
              <w:t xml:space="preserve">: </w:t>
            </w:r>
            <w:r>
              <w:rPr>
                <w:rStyle w:val="IndexLink"/>
                <w:rtl w:val="true"/>
              </w:rPr>
              <w:t>السرقة</w:t>
            </w:r>
            <w:r>
              <w:rPr>
                <w:rStyle w:val="IndexLink"/>
                <w:rtl w:val="true"/>
              </w:rPr>
              <w:tab/>
            </w:r>
            <w:r>
              <w:rPr>
                <w:rStyle w:val="IndexLink"/>
              </w:rPr>
              <w:t>233</w:t>
            </w:r>
          </w:hyperlink>
        </w:p>
        <w:p>
          <w:pPr>
            <w:pStyle w:val="Contents4"/>
            <w:tabs>
              <w:tab w:val="clear" w:pos="8176"/>
              <w:tab w:val="right" w:pos="9026" w:leader="dot"/>
            </w:tabs>
            <w:rPr/>
          </w:pPr>
          <w:hyperlink w:anchor="__RefHeading___Toc17391013_1280447820">
            <w:r>
              <w:rPr>
                <w:webHidden/>
                <w:rStyle w:val="IndexLink"/>
                <w:rtl w:val="true"/>
              </w:rPr>
              <w:t xml:space="preserve">الثامن </w:t>
            </w:r>
            <w:r>
              <w:rPr>
                <w:rStyle w:val="IndexLink"/>
                <w:rtl w:val="true"/>
              </w:rPr>
              <w:t xml:space="preserve">: </w:t>
            </w:r>
            <w:r>
              <w:rPr>
                <w:rStyle w:val="IndexLink"/>
                <w:rtl w:val="true"/>
              </w:rPr>
              <w:t>المحاربة والإفساد</w:t>
            </w:r>
            <w:r>
              <w:rPr>
                <w:rStyle w:val="IndexLink"/>
                <w:rtl w:val="true"/>
              </w:rPr>
              <w:tab/>
            </w:r>
            <w:r>
              <w:rPr>
                <w:rStyle w:val="IndexLink"/>
              </w:rPr>
              <w:t>237</w:t>
            </w:r>
          </w:hyperlink>
        </w:p>
        <w:p>
          <w:pPr>
            <w:pStyle w:val="Contents3"/>
            <w:tabs>
              <w:tab w:val="clear" w:pos="8459"/>
              <w:tab w:val="right" w:pos="9026" w:leader="dot"/>
            </w:tabs>
            <w:rPr/>
          </w:pPr>
          <w:hyperlink w:anchor="__RefHeading___Toc17391015_1280447820">
            <w:r>
              <w:rPr>
                <w:webHidden/>
                <w:rStyle w:val="IndexLink"/>
                <w:rtl w:val="true"/>
              </w:rPr>
              <w:t>التعزير</w:t>
            </w:r>
            <w:r>
              <w:rPr>
                <w:rStyle w:val="IndexLink"/>
                <w:rtl w:val="true"/>
              </w:rPr>
              <w:tab/>
            </w:r>
            <w:r>
              <w:rPr>
                <w:rStyle w:val="IndexLink"/>
              </w:rPr>
              <w:t>238</w:t>
            </w:r>
          </w:hyperlink>
        </w:p>
        <w:p>
          <w:pPr>
            <w:pStyle w:val="Contents3"/>
            <w:tabs>
              <w:tab w:val="clear" w:pos="8459"/>
              <w:tab w:val="right" w:pos="9026" w:leader="dot"/>
            </w:tabs>
            <w:rPr/>
          </w:pPr>
          <w:hyperlink w:anchor="__RefHeading___Toc17391017_1280447820">
            <w:r>
              <w:rPr>
                <w:webHidden/>
                <w:rStyle w:val="IndexLink"/>
                <w:rtl w:val="true"/>
              </w:rPr>
              <w:t>اقامة الحدود فى عصر الغيبة</w:t>
            </w:r>
            <w:r>
              <w:rPr>
                <w:rStyle w:val="IndexLink"/>
                <w:rtl w:val="true"/>
              </w:rPr>
              <w:tab/>
            </w:r>
            <w:r>
              <w:rPr>
                <w:rStyle w:val="IndexLink"/>
              </w:rPr>
              <w:t>239</w:t>
            </w:r>
          </w:hyperlink>
        </w:p>
        <w:p>
          <w:pPr>
            <w:pStyle w:val="Contents2"/>
            <w:tabs>
              <w:tab w:val="clear" w:pos="8743"/>
              <w:tab w:val="right" w:pos="9026" w:leader="dot"/>
            </w:tabs>
            <w:rPr/>
          </w:pPr>
          <w:hyperlink w:anchor="__RefHeading___Toc17391019_1280447820">
            <w:r>
              <w:rPr>
                <w:webHidden/>
                <w:rStyle w:val="IndexLink"/>
                <w:rtl w:val="true"/>
              </w:rPr>
              <w:t>كتاب القصاص</w:t>
            </w:r>
            <w:r>
              <w:rPr>
                <w:rStyle w:val="IndexLink"/>
                <w:rtl w:val="true"/>
              </w:rPr>
              <w:tab/>
            </w:r>
            <w:r>
              <w:rPr>
                <w:rStyle w:val="IndexLink"/>
              </w:rPr>
              <w:t>242</w:t>
            </w:r>
          </w:hyperlink>
        </w:p>
        <w:p>
          <w:pPr>
            <w:pStyle w:val="Contents3"/>
            <w:tabs>
              <w:tab w:val="clear" w:pos="8459"/>
              <w:tab w:val="right" w:pos="9026" w:leader="dot"/>
            </w:tabs>
            <w:rPr/>
          </w:pPr>
          <w:hyperlink w:anchor="__RefHeading___Toc17391021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7391023_1280447820">
            <w:r>
              <w:rPr>
                <w:webHidden/>
                <w:rStyle w:val="IndexLink"/>
                <w:rtl w:val="true"/>
              </w:rPr>
              <w:t>القصاص واقسامه</w:t>
            </w:r>
            <w:r>
              <w:rPr>
                <w:rStyle w:val="IndexLink"/>
                <w:rtl w:val="true"/>
              </w:rPr>
              <w:tab/>
            </w:r>
            <w:r>
              <w:rPr>
                <w:rStyle w:val="IndexLink"/>
              </w:rPr>
              <w:t>244</w:t>
            </w:r>
          </w:hyperlink>
        </w:p>
        <w:p>
          <w:pPr>
            <w:pStyle w:val="Contents3"/>
            <w:tabs>
              <w:tab w:val="clear" w:pos="8459"/>
              <w:tab w:val="right" w:pos="9026" w:leader="dot"/>
            </w:tabs>
            <w:rPr/>
          </w:pPr>
          <w:hyperlink w:anchor="__RefHeading___Toc17391025_1280447820">
            <w:r>
              <w:rPr>
                <w:webHidden/>
                <w:rStyle w:val="IndexLink"/>
                <w:rtl w:val="true"/>
              </w:rPr>
              <w:t>قصاص النفس</w:t>
            </w:r>
            <w:r>
              <w:rPr>
                <w:rStyle w:val="IndexLink"/>
                <w:rtl w:val="true"/>
              </w:rPr>
              <w:tab/>
            </w:r>
            <w:r>
              <w:rPr>
                <w:rStyle w:val="IndexLink"/>
              </w:rPr>
              <w:t>246</w:t>
            </w:r>
          </w:hyperlink>
        </w:p>
        <w:p>
          <w:pPr>
            <w:pStyle w:val="Contents3"/>
            <w:tabs>
              <w:tab w:val="clear" w:pos="8459"/>
              <w:tab w:val="right" w:pos="9026" w:leader="dot"/>
            </w:tabs>
            <w:rPr/>
          </w:pPr>
          <w:hyperlink w:anchor="__RefHeading___Toc17391027_1280447820">
            <w:r>
              <w:rPr>
                <w:webHidden/>
                <w:rStyle w:val="IndexLink"/>
                <w:rtl w:val="true"/>
              </w:rPr>
              <w:t>متى يصدق القتل متعمداً</w:t>
            </w:r>
            <w:r>
              <w:rPr>
                <w:rStyle w:val="IndexLink"/>
                <w:rtl w:val="true"/>
              </w:rPr>
              <w:tab/>
            </w:r>
            <w:r>
              <w:rPr>
                <w:rStyle w:val="IndexLink"/>
              </w:rPr>
              <w:t>247</w:t>
            </w:r>
          </w:hyperlink>
        </w:p>
        <w:p>
          <w:pPr>
            <w:pStyle w:val="Contents3"/>
            <w:tabs>
              <w:tab w:val="clear" w:pos="8459"/>
              <w:tab w:val="right" w:pos="9026" w:leader="dot"/>
            </w:tabs>
            <w:rPr/>
          </w:pPr>
          <w:hyperlink w:anchor="__RefHeading___Toc17391029_1280447820">
            <w:r>
              <w:rPr>
                <w:webHidden/>
                <w:rStyle w:val="IndexLink"/>
                <w:rtl w:val="true"/>
              </w:rPr>
              <w:t>اقسام القتل</w:t>
            </w:r>
            <w:r>
              <w:rPr>
                <w:rStyle w:val="IndexLink"/>
                <w:rtl w:val="true"/>
              </w:rPr>
              <w:tab/>
            </w:r>
            <w:r>
              <w:rPr>
                <w:rStyle w:val="IndexLink"/>
              </w:rPr>
              <w:t>248</w:t>
            </w:r>
          </w:hyperlink>
        </w:p>
        <w:p>
          <w:pPr>
            <w:pStyle w:val="Contents3"/>
            <w:tabs>
              <w:tab w:val="clear" w:pos="8459"/>
              <w:tab w:val="right" w:pos="9026" w:leader="dot"/>
            </w:tabs>
            <w:rPr/>
          </w:pPr>
          <w:hyperlink w:anchor="__RefHeading___Toc17391031_1280447820">
            <w:r>
              <w:rPr>
                <w:webHidden/>
                <w:rStyle w:val="IndexLink"/>
                <w:rtl w:val="true"/>
              </w:rPr>
              <w:t>وسائل اثبات القتل عمداً</w:t>
            </w:r>
            <w:r>
              <w:rPr>
                <w:rStyle w:val="IndexLink"/>
                <w:rtl w:val="true"/>
              </w:rPr>
              <w:tab/>
            </w:r>
            <w:r>
              <w:rPr>
                <w:rStyle w:val="IndexLink"/>
              </w:rPr>
              <w:t>251</w:t>
            </w:r>
          </w:hyperlink>
        </w:p>
        <w:p>
          <w:pPr>
            <w:pStyle w:val="Contents3"/>
            <w:tabs>
              <w:tab w:val="clear" w:pos="8459"/>
              <w:tab w:val="right" w:pos="9026" w:leader="dot"/>
            </w:tabs>
            <w:rPr/>
          </w:pPr>
          <w:hyperlink w:anchor="__RefHeading___Toc17391033_1280447820">
            <w:r>
              <w:rPr>
                <w:webHidden/>
                <w:rStyle w:val="IndexLink"/>
                <w:rtl w:val="true"/>
              </w:rPr>
              <w:t>من احكام قصاص النفس</w:t>
            </w:r>
            <w:r>
              <w:rPr>
                <w:rStyle w:val="IndexLink"/>
                <w:rtl w:val="true"/>
              </w:rPr>
              <w:tab/>
            </w:r>
            <w:r>
              <w:rPr>
                <w:rStyle w:val="IndexLink"/>
              </w:rPr>
              <w:t>255</w:t>
            </w:r>
          </w:hyperlink>
        </w:p>
        <w:p>
          <w:pPr>
            <w:pStyle w:val="Contents3"/>
            <w:tabs>
              <w:tab w:val="clear" w:pos="8459"/>
              <w:tab w:val="right" w:pos="9026" w:leader="dot"/>
            </w:tabs>
            <w:rPr/>
          </w:pPr>
          <w:hyperlink w:anchor="__RefHeading___Toc17391035_1280447820">
            <w:r>
              <w:rPr>
                <w:webHidden/>
                <w:rStyle w:val="IndexLink"/>
                <w:rtl w:val="true"/>
              </w:rPr>
              <w:t>قصاص ما دون النفس</w:t>
            </w:r>
            <w:r>
              <w:rPr>
                <w:rStyle w:val="IndexLink"/>
                <w:rtl w:val="true"/>
              </w:rPr>
              <w:tab/>
            </w:r>
            <w:r>
              <w:rPr>
                <w:rStyle w:val="IndexLink"/>
              </w:rPr>
              <w:t>261</w:t>
            </w:r>
          </w:hyperlink>
        </w:p>
        <w:p>
          <w:pPr>
            <w:pStyle w:val="Contents2"/>
            <w:tabs>
              <w:tab w:val="clear" w:pos="8743"/>
              <w:tab w:val="right" w:pos="9026" w:leader="dot"/>
            </w:tabs>
            <w:rPr/>
          </w:pPr>
          <w:hyperlink w:anchor="__RefHeading___Toc17391037_1280447820">
            <w:r>
              <w:rPr>
                <w:webHidden/>
                <w:rStyle w:val="IndexLink"/>
                <w:rtl w:val="true"/>
              </w:rPr>
              <w:t>كتاب الديات</w:t>
            </w:r>
            <w:r>
              <w:rPr>
                <w:rStyle w:val="IndexLink"/>
                <w:rtl w:val="true"/>
              </w:rPr>
              <w:tab/>
            </w:r>
            <w:r>
              <w:rPr>
                <w:rStyle w:val="IndexLink"/>
              </w:rPr>
              <w:t>264</w:t>
            </w:r>
          </w:hyperlink>
        </w:p>
        <w:p>
          <w:pPr>
            <w:pStyle w:val="Contents3"/>
            <w:tabs>
              <w:tab w:val="clear" w:pos="8459"/>
              <w:tab w:val="right" w:pos="9026" w:leader="dot"/>
            </w:tabs>
            <w:rPr/>
          </w:pPr>
          <w:hyperlink w:anchor="__RefHeading___Toc17391039_128044782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7391041_1280447820">
            <w:r>
              <w:rPr>
                <w:webHidden/>
                <w:rStyle w:val="IndexLink"/>
                <w:rtl w:val="true"/>
              </w:rPr>
              <w:t>الدية واقسامها</w:t>
            </w:r>
            <w:r>
              <w:rPr>
                <w:rStyle w:val="IndexLink"/>
                <w:rtl w:val="true"/>
              </w:rPr>
              <w:tab/>
            </w:r>
            <w:r>
              <w:rPr>
                <w:rStyle w:val="IndexLink"/>
              </w:rPr>
              <w:t>266</w:t>
            </w:r>
          </w:hyperlink>
        </w:p>
        <w:p>
          <w:pPr>
            <w:pStyle w:val="Contents3"/>
            <w:tabs>
              <w:tab w:val="clear" w:pos="8459"/>
              <w:tab w:val="right" w:pos="9026" w:leader="dot"/>
            </w:tabs>
            <w:rPr/>
          </w:pPr>
          <w:hyperlink w:anchor="__RefHeading___Toc17391043_1280447820">
            <w:r>
              <w:rPr>
                <w:webHidden/>
                <w:rStyle w:val="IndexLink"/>
                <w:rtl w:val="true"/>
              </w:rPr>
              <w:t>مقادير الديات</w:t>
            </w:r>
            <w:r>
              <w:rPr>
                <w:rStyle w:val="IndexLink"/>
                <w:rtl w:val="true"/>
              </w:rPr>
              <w:tab/>
            </w:r>
            <w:r>
              <w:rPr>
                <w:rStyle w:val="IndexLink"/>
              </w:rPr>
              <w:t>268</w:t>
            </w:r>
          </w:hyperlink>
        </w:p>
        <w:p>
          <w:pPr>
            <w:pStyle w:val="Contents3"/>
            <w:tabs>
              <w:tab w:val="clear" w:pos="8459"/>
              <w:tab w:val="right" w:pos="9026" w:leader="dot"/>
            </w:tabs>
            <w:rPr/>
          </w:pPr>
          <w:hyperlink w:anchor="__RefHeading___Toc17391045_1280447820">
            <w:r>
              <w:rPr>
                <w:webHidden/>
                <w:rStyle w:val="IndexLink"/>
                <w:rtl w:val="true"/>
              </w:rPr>
              <w:t>دية القتل عمداً</w:t>
            </w:r>
            <w:r>
              <w:rPr>
                <w:rStyle w:val="IndexLink"/>
                <w:rtl w:val="true"/>
              </w:rPr>
              <w:tab/>
            </w:r>
            <w:r>
              <w:rPr>
                <w:rStyle w:val="IndexLink"/>
              </w:rPr>
              <w:t>268</w:t>
            </w:r>
          </w:hyperlink>
        </w:p>
        <w:p>
          <w:pPr>
            <w:pStyle w:val="Contents3"/>
            <w:tabs>
              <w:tab w:val="clear" w:pos="8459"/>
              <w:tab w:val="right" w:pos="9026" w:leader="dot"/>
            </w:tabs>
            <w:rPr/>
          </w:pPr>
          <w:hyperlink w:anchor="__RefHeading___Toc17391047_1280447820">
            <w:r>
              <w:rPr>
                <w:webHidden/>
                <w:rStyle w:val="IndexLink"/>
                <w:rtl w:val="true"/>
              </w:rPr>
              <w:t>دية الشبيه بالعمد</w:t>
            </w:r>
            <w:r>
              <w:rPr>
                <w:rStyle w:val="IndexLink"/>
                <w:rtl w:val="true"/>
              </w:rPr>
              <w:tab/>
            </w:r>
            <w:r>
              <w:rPr>
                <w:rStyle w:val="IndexLink"/>
              </w:rPr>
              <w:t>271</w:t>
            </w:r>
          </w:hyperlink>
        </w:p>
        <w:p>
          <w:pPr>
            <w:pStyle w:val="Contents3"/>
            <w:tabs>
              <w:tab w:val="clear" w:pos="8459"/>
              <w:tab w:val="right" w:pos="9026" w:leader="dot"/>
            </w:tabs>
            <w:rPr/>
          </w:pPr>
          <w:hyperlink w:anchor="__RefHeading___Toc17391049_1280447820">
            <w:r>
              <w:rPr>
                <w:webHidden/>
                <w:rStyle w:val="IndexLink"/>
                <w:rtl w:val="true"/>
              </w:rPr>
              <w:t>دية الخطأ المحض</w:t>
            </w:r>
            <w:r>
              <w:rPr>
                <w:rStyle w:val="IndexLink"/>
                <w:rtl w:val="true"/>
              </w:rPr>
              <w:tab/>
            </w:r>
            <w:r>
              <w:rPr>
                <w:rStyle w:val="IndexLink"/>
              </w:rPr>
              <w:t>272</w:t>
            </w:r>
          </w:hyperlink>
        </w:p>
        <w:p>
          <w:pPr>
            <w:pStyle w:val="Contents3"/>
            <w:tabs>
              <w:tab w:val="clear" w:pos="8459"/>
              <w:tab w:val="right" w:pos="9026" w:leader="dot"/>
            </w:tabs>
            <w:rPr/>
          </w:pPr>
          <w:hyperlink w:anchor="__RefHeading___Toc17391051_1280447820">
            <w:r>
              <w:rPr>
                <w:webHidden/>
                <w:rStyle w:val="IndexLink"/>
                <w:rtl w:val="true"/>
              </w:rPr>
              <w:t>دية الجوارح</w:t>
            </w:r>
            <w:r>
              <w:rPr>
                <w:rStyle w:val="IndexLink"/>
                <w:rtl w:val="true"/>
              </w:rPr>
              <w:tab/>
            </w:r>
            <w:r>
              <w:rPr>
                <w:rStyle w:val="IndexLink"/>
              </w:rPr>
              <w:t>273</w:t>
            </w:r>
          </w:hyperlink>
        </w:p>
        <w:p>
          <w:pPr>
            <w:pStyle w:val="Contents3"/>
            <w:tabs>
              <w:tab w:val="clear" w:pos="8459"/>
              <w:tab w:val="right" w:pos="9026" w:leader="dot"/>
            </w:tabs>
            <w:rPr/>
          </w:pPr>
          <w:hyperlink w:anchor="__RefHeading___Toc17391053_1280447820">
            <w:r>
              <w:rPr>
                <w:webHidden/>
                <w:rStyle w:val="IndexLink"/>
                <w:rtl w:val="true"/>
              </w:rPr>
              <w:t>دية الأصابع</w:t>
            </w:r>
            <w:r>
              <w:rPr>
                <w:rStyle w:val="IndexLink"/>
                <w:rtl w:val="true"/>
              </w:rPr>
              <w:tab/>
            </w:r>
            <w:r>
              <w:rPr>
                <w:rStyle w:val="IndexLink"/>
              </w:rPr>
              <w:t>274</w:t>
            </w:r>
          </w:hyperlink>
        </w:p>
        <w:p>
          <w:pPr>
            <w:pStyle w:val="Contents3"/>
            <w:tabs>
              <w:tab w:val="clear" w:pos="8459"/>
              <w:tab w:val="right" w:pos="9026" w:leader="dot"/>
            </w:tabs>
            <w:rPr/>
          </w:pPr>
          <w:hyperlink w:anchor="__RefHeading___Toc17391055_1280447820">
            <w:r>
              <w:rPr>
                <w:webHidden/>
                <w:rStyle w:val="IndexLink"/>
                <w:rtl w:val="true"/>
              </w:rPr>
              <w:t>دية الضرب</w:t>
            </w:r>
            <w:r>
              <w:rPr>
                <w:rStyle w:val="IndexLink"/>
                <w:rtl w:val="true"/>
              </w:rPr>
              <w:tab/>
            </w:r>
            <w:r>
              <w:rPr>
                <w:rStyle w:val="IndexLink"/>
              </w:rPr>
              <w:t>274</w:t>
            </w:r>
          </w:hyperlink>
        </w:p>
        <w:p>
          <w:pPr>
            <w:pStyle w:val="Contents3"/>
            <w:tabs>
              <w:tab w:val="clear" w:pos="8459"/>
              <w:tab w:val="right" w:pos="9026" w:leader="dot"/>
            </w:tabs>
            <w:rPr/>
          </w:pPr>
          <w:hyperlink w:anchor="__RefHeading___Toc17391057_1280447820">
            <w:r>
              <w:rPr>
                <w:webHidden/>
                <w:rStyle w:val="IndexLink"/>
                <w:rtl w:val="true"/>
              </w:rPr>
              <w:t>دية الحمل</w:t>
            </w:r>
            <w:r>
              <w:rPr>
                <w:rStyle w:val="IndexLink"/>
                <w:rtl w:val="true"/>
              </w:rPr>
              <w:tab/>
            </w:r>
            <w:r>
              <w:rPr>
                <w:rStyle w:val="IndexLink"/>
              </w:rPr>
              <w:t>275</w:t>
            </w:r>
          </w:hyperlink>
        </w:p>
        <w:p>
          <w:pPr>
            <w:pStyle w:val="Contents3"/>
            <w:tabs>
              <w:tab w:val="clear" w:pos="8459"/>
              <w:tab w:val="right" w:pos="9026" w:leader="dot"/>
            </w:tabs>
            <w:rPr/>
          </w:pPr>
          <w:hyperlink w:anchor="__RefHeading___Toc17391059_1280447820">
            <w:r>
              <w:rPr>
                <w:webHidden/>
                <w:rStyle w:val="IndexLink"/>
                <w:rtl w:val="true"/>
              </w:rPr>
              <w:t>من احكام القتل والديات</w:t>
            </w:r>
            <w:r>
              <w:rPr>
                <w:rStyle w:val="IndexLink"/>
                <w:rtl w:val="true"/>
              </w:rPr>
              <w:tab/>
            </w:r>
            <w:r>
              <w:rPr>
                <w:rStyle w:val="IndexLink"/>
              </w:rPr>
              <w:t>276</w:t>
            </w:r>
          </w:hyperlink>
        </w:p>
        <w:p>
          <w:pPr>
            <w:pStyle w:val="Contents3"/>
            <w:tabs>
              <w:tab w:val="clear" w:pos="8459"/>
              <w:tab w:val="right" w:pos="9026" w:leader="dot"/>
            </w:tabs>
            <w:rPr/>
          </w:pPr>
          <w:hyperlink w:anchor="__RefHeading___Toc17391061_1280447820">
            <w:r>
              <w:rPr>
                <w:webHidden/>
                <w:rStyle w:val="IndexLink"/>
                <w:rtl w:val="true"/>
              </w:rPr>
              <w:t>الأرش والحكومة</w:t>
            </w:r>
            <w:r>
              <w:rPr>
                <w:rStyle w:val="IndexLink"/>
                <w:rtl w:val="true"/>
              </w:rPr>
              <w:tab/>
            </w:r>
            <w:r>
              <w:rPr>
                <w:rStyle w:val="IndexLink"/>
              </w:rPr>
              <w:t>277</w:t>
            </w:r>
          </w:hyperlink>
        </w:p>
        <w:p>
          <w:pPr>
            <w:pStyle w:val="Contents3"/>
            <w:tabs>
              <w:tab w:val="clear" w:pos="8459"/>
              <w:tab w:val="right" w:pos="9026" w:leader="dot"/>
            </w:tabs>
            <w:rPr/>
          </w:pPr>
          <w:hyperlink w:anchor="__RefHeading___Toc17391063_1280447820">
            <w:r>
              <w:rPr>
                <w:webHidden/>
                <w:rStyle w:val="IndexLink"/>
                <w:rtl w:val="true"/>
              </w:rPr>
              <w:t>دية المرأة</w:t>
            </w:r>
            <w:r>
              <w:rPr>
                <w:rStyle w:val="IndexLink"/>
                <w:rtl w:val="true"/>
              </w:rPr>
              <w:tab/>
            </w:r>
            <w:r>
              <w:rPr>
                <w:rStyle w:val="IndexLink"/>
              </w:rPr>
              <w:t>279</w:t>
            </w:r>
          </w:hyperlink>
        </w:p>
        <w:p>
          <w:pPr>
            <w:pStyle w:val="Contents3"/>
            <w:tabs>
              <w:tab w:val="clear" w:pos="8459"/>
              <w:tab w:val="right" w:pos="9026" w:leader="dot"/>
            </w:tabs>
            <w:rPr/>
          </w:pPr>
          <w:hyperlink w:anchor="__RefHeading___Toc17391065_1280447820">
            <w:r>
              <w:rPr>
                <w:webHidden/>
                <w:rStyle w:val="IndexLink"/>
                <w:rtl w:val="true"/>
              </w:rPr>
              <w:t>العاقلة</w:t>
            </w:r>
            <w:r>
              <w:rPr>
                <w:rStyle w:val="IndexLink"/>
                <w:rtl w:val="true"/>
              </w:rPr>
              <w:tab/>
            </w:r>
            <w:r>
              <w:rPr>
                <w:rStyle w:val="IndexLink"/>
              </w:rPr>
              <w:t>279</w:t>
            </w:r>
          </w:hyperlink>
        </w:p>
        <w:p>
          <w:pPr>
            <w:pStyle w:val="Contents2"/>
            <w:tabs>
              <w:tab w:val="clear" w:pos="8743"/>
              <w:tab w:val="right" w:pos="9026" w:leader="dot"/>
            </w:tabs>
            <w:rPr/>
          </w:pPr>
          <w:hyperlink w:anchor="__RefHeading___Toc17391067_1280447820">
            <w:r>
              <w:rPr>
                <w:webHidden/>
                <w:rStyle w:val="IndexLink"/>
                <w:rtl w:val="true"/>
              </w:rPr>
              <w:t>فهرس</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0_198020"/>
      <w:bookmarkStart w:id="1" w:name="pg19370_198020"/>
      <w:bookmarkEnd w:id="1"/>
    </w:p>
    <w:p>
      <w:pPr>
        <w:pStyle w:val="Heading2"/>
        <w:numPr>
          <w:ilvl w:val="1"/>
          <w:numId w:val="1"/>
        </w:numPr>
        <w:rPr/>
      </w:pPr>
      <w:bookmarkStart w:id="2" w:name="pg19370_198020"/>
      <w:bookmarkStart w:id="3" w:name="__RefHeading___Toc1739084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للدّراسات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دروس تمهيدية في الفقه الإستدلالي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قسم الأحكام</w:t>
      </w:r>
    </w:p>
    <w:p>
      <w:pPr>
        <w:pStyle w:val="BookText"/>
        <w:rPr/>
      </w:pPr>
      <w:r>
        <w:rPr>
          <w:rFonts w:ascii="Amiri" w:hAnsi="Amiri" w:eastAsia="Amiri" w:cs="Amiri"/>
          <w:color w:val="111111"/>
          <w:sz w:val="28"/>
          <w:sz w:val="28"/>
          <w:szCs w:val="28"/>
          <w:rtl w:val="true"/>
          <w:lang w:bidi="ar-SA"/>
        </w:rPr>
        <w:t>سماحة الشيخ باقر الإيرواني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9085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70_198024"/>
      <w:bookmarkStart w:id="8" w:name="pg19370_198024"/>
      <w:bookmarkEnd w:id="8"/>
    </w:p>
    <w:p>
      <w:pPr>
        <w:pStyle w:val="Heading2"/>
        <w:numPr>
          <w:ilvl w:val="1"/>
          <w:numId w:val="1"/>
        </w:numPr>
        <w:rPr/>
      </w:pPr>
      <w:bookmarkStart w:id="9" w:name="pg19370_198024"/>
      <w:bookmarkStart w:id="10" w:name="__RefHeading___Toc17390853_1280447820"/>
      <w:bookmarkStart w:id="11" w:name="_Toc3"/>
      <w:bookmarkEnd w:id="9"/>
      <w:bookmarkEnd w:id="10"/>
      <w:r>
        <w:rPr>
          <w:rtl w:val="true"/>
        </w:rPr>
        <w:t>كلمة المكتب</w:t>
      </w:r>
      <w:bookmarkEnd w:id="11"/>
    </w:p>
    <w:p>
      <w:pPr>
        <w:pStyle w:val="BookText"/>
        <w:rPr/>
      </w:pPr>
      <w:r>
        <w:rPr>
          <w:rFonts w:ascii="Amiri" w:hAnsi="Amiri" w:eastAsia="Amiri" w:cs="Amiri"/>
          <w:color w:val="111111"/>
          <w:sz w:val="28"/>
          <w:sz w:val="28"/>
          <w:szCs w:val="28"/>
          <w:rtl w:val="true"/>
          <w:lang w:bidi="ar-SA"/>
        </w:rPr>
        <w:t>الحمدللّه والصلاّة والسلام على أنبياء اللّه ، لاسيما رسوله الخاتم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 لاشك ان اصلاح المناهج الدراسية المتداولة فى الحوزات العلمية والمعاهد الدراسية فى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عُرف بعصر ثورة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حاجة ملحّة يقتضيها تطور العلوم وتكاملها عبر الزمان ، وظهور مناهج تعليمية وتربوية حديثة ، تتوافق مع الطموحات والحاجات الانسانية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لم تعد خافية على القائمين على هذه المراكز ، فوضعوا نصب أعينهم اصلاح النظام التعليمى فى قائمة الاولويات بعد ان باتت فاعليته رهن اجراء تغييرات جذرية على هيكلية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هذه الرؤية ان اصلاح النظام الحوزوى ليس امراً بعيد المنال ، إلا انه من دون احداث تغيير فى المناهج الحوزوية ستبوء كافة الدعوات الاصلاحية بالفشل الذريع وستموت فى مهدها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والمركز العالمى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يتولّى مهمّة إعداد المئات من الطلاب الوافدين من مختلف بقاع الارض للاغتراف من نمير علوم </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فى الخطوات اللازمة لاجراء تغييرات جذرية علي المناهج الدراسية المتبعة وفق الأساليب العلمية الحديثة بهدف عرض المواد التعليمية بنحو أفضل ، الامر الذى لاتلبّيه الكتب الحوزوية السائدة؛ ذلك انها لم تؤلف لهدف التدريس ، وانما الفت لتعبر عن افكار مؤلفيها حيال موضوعات مرّ عليها حقبة طويلة من الزمن واصبحت جزءاً من 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وفضلا عن ذلك فانها تفتقد مزايا الكتب الدراسية التى يراعى فيها مستوي الطالب ومؤهلاته الفكرية والعلمية ، وتسلسل الأفكار المودعة فيها وأداؤها ، واستعراض الآراء والنظريات الحديثة التى تعبر عن المدى الذى وصلت اليه من عمق بلغة عصرية يتوخى فيها السهولة والتيسير وتذليل صعب المسائل مع احتفاظها بدقة العبارات وعمق الافكار بعيداً عن التعقيد الذى يقتل الطالب فيه وقته الثمين دون 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توجيهات كبار العلماء والمصلحين وعلى رأسهم سماحة الامام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وتلبية لنداء قائد الثورة الاسلامية آية اللّه الخامنئى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هذا المركز بتخويل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مطالعة وتدوين المناهج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تجديد الكتب الدراسية السائدة فى الحوزات العلمية ، ان يضع له خطة عمل لاعداد كتب دراسية تتوفر المزايا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بدت امام المكتب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خيارات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اختصار الكتب الدراسية المتداولة من خلال انتقاء الموضوعات التى لها مساس بالواقع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ايجازها وشحنها بآراء ونظريات حديثة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تحديثها من رأس بلغة عصرية وايداعها افكار جديدة الا ان العقبة الكأداء </w:t>
      </w:r>
    </w:p>
    <w:p>
      <w:pPr>
        <w:pStyle w:val="BookText"/>
        <w:rPr/>
      </w:pPr>
      <w:r>
        <w:rPr>
          <w:rFonts w:ascii="Amiri" w:hAnsi="Amiri" w:eastAsia="Amiri" w:cs="Amiri"/>
          <w:color w:val="111111"/>
          <w:sz w:val="28"/>
          <w:sz w:val="28"/>
          <w:szCs w:val="28"/>
          <w:rtl w:val="true"/>
          <w:lang w:bidi="ar-SA"/>
        </w:rPr>
        <w:t>التى ظلت تواجه هذا الخيار وقوع القطيعة التامة بين الماضى والحاضر ، بحيث تبدو الافكار المطروحة فى الكتب الحديثة وكأنها تعيش فى غربة عن التراث وللحيلولة دون ذلك ، لمعت فكرة جمع الخيارات المذكورة فى قالب واحد تمثّل في المحافظة على الكتب الدراسية القديمة كمتون وشرحها باسلوب عصرى يجمع بين القديم الغابر والجديد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راح المكتب يشمرّ عن ساعد الجدّ ويستعين بمجموعة من الاساتذة المتخصصين لوضع كتب وكراسات فى المواد الدراسية المختلفة ، من فقه واصول وتفسير وكلام ورجال وحديث وأدب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ماسّة إلى وضع كتاب جديد فيها ، يتناسب مع تطلّعات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للمرحلة التعليمية الأولى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فطلبنا من الأستاذ الكريم ، سماحة الحجّة الشيخ باقر الإيروانى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دروس تمهيدية فى الفقه الإستدلالى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فلبّى رغبتنا مشكوراً وتفضّل بتدوين هذا الكتاب وجعلِه يتوافق مع المطلوب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لانشكّ فى أنّ الخطوات الأولى ستصحبها بعض العقبات والنواقص ، إلاّ انّه يمكن تذليلها من خلال البصيرة النافذة وإبداء الآراء البنّاءة من قبل المخلصين من ذوى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العالمى للدراسات الإسلامية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مطالعة وتدوين المناهج الدراسيّة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70_198028"/>
      <w:bookmarkStart w:id="13" w:name="pg19370_198028"/>
      <w:bookmarkEnd w:id="13"/>
    </w:p>
    <w:p>
      <w:pPr>
        <w:pStyle w:val="Heading2"/>
        <w:numPr>
          <w:ilvl w:val="1"/>
          <w:numId w:val="1"/>
        </w:numPr>
        <w:rPr/>
      </w:pPr>
      <w:bookmarkStart w:id="14" w:name="pg19370_198028"/>
      <w:bookmarkStart w:id="15" w:name="__RefHeading___Toc17390855_1280447820"/>
      <w:bookmarkStart w:id="16" w:name="_Toc4"/>
      <w:bookmarkEnd w:id="14"/>
      <w:bookmarkEnd w:id="15"/>
      <w:r>
        <w:rPr>
          <w:rtl w:val="true"/>
        </w:rPr>
        <w:t>الأحكام</w:t>
      </w:r>
      <w:bookmarkEnd w:id="16"/>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IRNazanin" w:hAnsi="IRNazanin" w:eastAsia="IRNazanin"/>
          <w:color w:val="111111"/>
          <w:sz w:val="28"/>
          <w:sz w:val="28"/>
          <w:szCs w:val="28"/>
          <w:rtl w:val="true"/>
          <w:lang w:bidi="fa-IR"/>
        </w:rPr>
        <w:t>الشهادات</w:t>
      </w:r>
    </w:p>
    <w:p>
      <w:pPr>
        <w:pStyle w:val="BookText"/>
        <w:rPr/>
      </w:pPr>
      <w:r>
        <w:rPr>
          <w:rFonts w:ascii="IRNazanin" w:hAnsi="IRNazanin" w:eastAsia="IRNazanin"/>
          <w:color w:val="111111"/>
          <w:sz w:val="28"/>
          <w:sz w:val="28"/>
          <w:szCs w:val="28"/>
          <w:rtl w:val="true"/>
          <w:lang w:bidi="fa-IR"/>
        </w:rPr>
        <w:t>الاقرار</w:t>
      </w:r>
    </w:p>
    <w:p>
      <w:pPr>
        <w:pStyle w:val="BookText"/>
        <w:rPr/>
      </w:pPr>
      <w:r>
        <w:rPr>
          <w:rFonts w:ascii="Amiri" w:hAnsi="Amiri" w:eastAsia="Amiri" w:cs="Amiri"/>
          <w:color w:val="111111"/>
          <w:sz w:val="28"/>
          <w:sz w:val="28"/>
          <w:szCs w:val="28"/>
          <w:rtl w:val="true"/>
          <w:lang w:bidi="ar-SA"/>
        </w:rPr>
        <w:t>اللقطة</w:t>
      </w:r>
    </w:p>
    <w:p>
      <w:pPr>
        <w:pStyle w:val="BookText"/>
        <w:rPr/>
      </w:pPr>
      <w:r>
        <w:rPr>
          <w:rFonts w:ascii="IRNazanin" w:hAnsi="IRNazanin" w:eastAsia="IRNazanin"/>
          <w:color w:val="111111"/>
          <w:sz w:val="28"/>
          <w:sz w:val="28"/>
          <w:szCs w:val="28"/>
          <w:rtl w:val="true"/>
          <w:lang w:bidi="fa-IR"/>
        </w:rPr>
        <w:t>الغصب</w:t>
      </w:r>
    </w:p>
    <w:p>
      <w:pPr>
        <w:pStyle w:val="BookText"/>
        <w:rPr/>
      </w:pPr>
      <w:r>
        <w:rPr>
          <w:rFonts w:ascii="Amiri" w:hAnsi="Amiri" w:eastAsia="Amiri" w:cs="Amiri"/>
          <w:color w:val="111111"/>
          <w:sz w:val="28"/>
          <w:sz w:val="28"/>
          <w:szCs w:val="28"/>
          <w:rtl w:val="true"/>
          <w:lang w:bidi="ar-SA"/>
        </w:rPr>
        <w:t>الاطعمة والاشربة</w:t>
      </w:r>
    </w:p>
    <w:p>
      <w:pPr>
        <w:pStyle w:val="BookText"/>
        <w:rPr/>
      </w:pPr>
      <w:r>
        <w:rPr>
          <w:rFonts w:ascii="Amiri" w:hAnsi="Amiri" w:eastAsia="Amiri" w:cs="Amiri"/>
          <w:color w:val="111111"/>
          <w:sz w:val="28"/>
          <w:sz w:val="28"/>
          <w:szCs w:val="28"/>
          <w:rtl w:val="true"/>
          <w:lang w:bidi="ar-SA"/>
        </w:rPr>
        <w:t>الصيد والذباحة</w:t>
      </w:r>
    </w:p>
    <w:p>
      <w:pPr>
        <w:pStyle w:val="BookText"/>
        <w:rPr/>
      </w:pPr>
      <w:r>
        <w:rPr>
          <w:rFonts w:ascii="Amiri" w:hAnsi="Amiri" w:eastAsia="Amiri" w:cs="Amiri"/>
          <w:color w:val="111111"/>
          <w:sz w:val="28"/>
          <w:sz w:val="28"/>
          <w:szCs w:val="28"/>
          <w:rtl w:val="true"/>
          <w:lang w:bidi="ar-SA"/>
        </w:rPr>
        <w:t>الانفال والمشتركات</w:t>
      </w:r>
    </w:p>
    <w:p>
      <w:pPr>
        <w:pStyle w:val="BookText"/>
        <w:rPr/>
      </w:pPr>
      <w:r>
        <w:rPr>
          <w:rFonts w:ascii="IRNazanin" w:hAnsi="IRNazanin" w:eastAsia="IRNazanin"/>
          <w:color w:val="111111"/>
          <w:sz w:val="28"/>
          <w:sz w:val="28"/>
          <w:szCs w:val="28"/>
          <w:rtl w:val="true"/>
          <w:lang w:bidi="fa-IR"/>
        </w:rPr>
        <w:t>الارث</w:t>
      </w:r>
    </w:p>
    <w:p>
      <w:pPr>
        <w:pStyle w:val="BookText"/>
        <w:rPr/>
      </w:pP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القصاص</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370_198030"/>
      <w:bookmarkStart w:id="18" w:name="pg19370_198030"/>
      <w:bookmarkEnd w:id="18"/>
    </w:p>
    <w:p>
      <w:pPr>
        <w:pStyle w:val="Heading2"/>
        <w:numPr>
          <w:ilvl w:val="1"/>
          <w:numId w:val="1"/>
        </w:numPr>
        <w:rPr/>
      </w:pPr>
      <w:bookmarkStart w:id="19" w:name="pg19370_198030"/>
      <w:bookmarkStart w:id="20" w:name="__RefHeading___Toc17390857_1280447820"/>
      <w:bookmarkStart w:id="21" w:name="_Toc5"/>
      <w:bookmarkEnd w:id="19"/>
      <w:bookmarkEnd w:id="20"/>
      <w:r>
        <w:rPr>
          <w:rtl w:val="true"/>
        </w:rPr>
        <w:t>كتاب القضاء</w:t>
      </w:r>
      <w:bookmarkEnd w:id="21"/>
    </w:p>
    <w:p>
      <w:pPr>
        <w:pStyle w:val="Heading3"/>
        <w:numPr>
          <w:ilvl w:val="2"/>
          <w:numId w:val="1"/>
        </w:numPr>
        <w:rPr/>
      </w:pPr>
      <w:bookmarkStart w:id="22" w:name="__RefHeading___Toc17390859_1280447820"/>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القضاء فى الشريعة</w:t>
      </w:r>
    </w:p>
    <w:p>
      <w:pPr>
        <w:pStyle w:val="BookText"/>
        <w:rPr/>
      </w:pPr>
      <w:r>
        <w:rPr>
          <w:rFonts w:ascii="Amiri" w:hAnsi="Amiri" w:eastAsia="Amiri" w:cs="Amiri"/>
          <w:color w:val="111111"/>
          <w:sz w:val="28"/>
          <w:sz w:val="28"/>
          <w:szCs w:val="28"/>
          <w:rtl w:val="true"/>
          <w:lang w:bidi="ar-SA"/>
        </w:rPr>
        <w:t>الشروط اللازمة فى القاضى</w:t>
      </w:r>
    </w:p>
    <w:p>
      <w:pPr>
        <w:pStyle w:val="BookText"/>
        <w:rPr/>
      </w:pPr>
      <w:r>
        <w:rPr>
          <w:rFonts w:ascii="Amiri" w:hAnsi="Amiri" w:eastAsia="Amiri" w:cs="Amiri"/>
          <w:color w:val="111111"/>
          <w:sz w:val="28"/>
          <w:sz w:val="28"/>
          <w:szCs w:val="28"/>
          <w:rtl w:val="true"/>
          <w:lang w:bidi="ar-SA"/>
        </w:rPr>
        <w:t>كيفية القضاء</w:t>
      </w:r>
    </w:p>
    <w:p>
      <w:pPr>
        <w:pStyle w:val="BookText"/>
        <w:rPr/>
      </w:pPr>
      <w:r>
        <w:rPr>
          <w:rFonts w:ascii="IRNazanin" w:hAnsi="IRNazanin" w:eastAsia="IRNazanin"/>
          <w:color w:val="111111"/>
          <w:sz w:val="28"/>
          <w:sz w:val="28"/>
          <w:szCs w:val="28"/>
          <w:rtl w:val="true"/>
          <w:lang w:bidi="fa-IR"/>
        </w:rPr>
        <w:t>شروط سماع الدعوى</w:t>
      </w:r>
    </w:p>
    <w:p>
      <w:pPr>
        <w:pStyle w:val="BookText"/>
        <w:rPr/>
      </w:pPr>
      <w:r>
        <w:rPr>
          <w:rFonts w:ascii="IRNazanin" w:hAnsi="IRNazanin" w:eastAsia="IRNazanin"/>
          <w:color w:val="111111"/>
          <w:sz w:val="28"/>
          <w:sz w:val="28"/>
          <w:szCs w:val="28"/>
          <w:rtl w:val="true"/>
          <w:lang w:bidi="fa-IR"/>
        </w:rPr>
        <w:t>وسائل الاثبات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عامة فى القضاء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370_198032"/>
      <w:bookmarkStart w:id="25" w:name="pg19370_198032"/>
      <w:bookmarkEnd w:id="25"/>
    </w:p>
    <w:p>
      <w:pPr>
        <w:pStyle w:val="Heading3"/>
        <w:numPr>
          <w:ilvl w:val="2"/>
          <w:numId w:val="1"/>
        </w:numPr>
        <w:rPr/>
      </w:pPr>
      <w:bookmarkStart w:id="26" w:name="pg19370_198032"/>
      <w:bookmarkStart w:id="27" w:name="__RefHeading___Toc17390861_1280447820"/>
      <w:bookmarkStart w:id="28" w:name="_Toc7"/>
      <w:bookmarkEnd w:id="26"/>
      <w:bookmarkEnd w:id="27"/>
      <w:r>
        <w:rPr>
          <w:rtl w:val="true"/>
        </w:rPr>
        <w:t>القضاء فى الشريعة</w:t>
      </w:r>
      <w:bookmarkEnd w:id="28"/>
    </w:p>
    <w:p>
      <w:pPr>
        <w:pStyle w:val="BookText"/>
        <w:rPr/>
      </w:pPr>
      <w:r>
        <w:rPr>
          <w:rFonts w:ascii="Amiri" w:hAnsi="Amiri" w:eastAsia="Amiri" w:cs="Amiri"/>
          <w:color w:val="111111"/>
          <w:sz w:val="28"/>
          <w:sz w:val="28"/>
          <w:szCs w:val="28"/>
          <w:rtl w:val="true"/>
          <w:lang w:bidi="ar-SA"/>
        </w:rPr>
        <w:t>القضاء واجب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منصب جليل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القاضى نافذ على الجميع ولايجوز نقضه من قبل قاضٍ آخر الاّ مع فرض فقدان الأول للشروط المعتبرة فى القاضي ، أو فرض مخالفة حكمه لما ثبت بنحو القطع من الكتاب والسنّة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والقاضى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المنصوب وقاضى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كليهما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جواز أخذ الاُجرة على القضاء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القضاء واجب ، فلتوقف حفظ النظام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مقدمة لتحقيق المعروف والانتهاء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كفائي ، فلأنّ‌الغرض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حفظ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بتصدى من به الكفاية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منصب جليل ، فلأنّه منصب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بل هو منصب اشرف الخلق نبينا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p>
    <w:p>
      <w:pPr>
        <w:pStyle w:val="BookText"/>
        <w:rPr/>
      </w:pPr>
      <w:r>
        <w:rPr>
          <w:rFonts w:ascii="Amiri" w:hAnsi="Amiri" w:eastAsia="Amiri" w:cs="Amiri"/>
          <w:color w:val="111111"/>
          <w:sz w:val="28"/>
          <w:sz w:val="28"/>
          <w:szCs w:val="28"/>
          <w:rtl w:val="true"/>
          <w:lang w:bidi="ar-SA"/>
        </w:rPr>
        <w:t>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وأما أنّه منصب خطير ، فلما ورد فى حديث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جُعل قاضياً فقد ذبح بغير سكين </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القاضى بين جمرتين من نار حتى يقضى بين الناس فإما الى الجنة وإما الى النار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نفوذ حكم القاضى وعدم جواز نقضه حتى من حاكم آخر ، فلمقبولة عمر بن حنظلة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رجلين من أصحابنا بينهما منازعة فى دين أو ميراث فتحاكما الى السلطان والى القضاة أيحل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اليهم فى حق أو باطل فإنّما تحاكم الى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يصنعان؟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من كان منكم ممّن قد روى حديثنا ونظر فى حلالنا وحرامنا وعرف أحكامنا فليرضوا به حكماً ، فإنّى قد جعلته عليكم حاكماً ، فإذا حكم بحكمنا فلم يقبل منه فإنما استخف بحكم اللّه </w:t>
      </w:r>
      <w:r>
        <w:rPr>
          <w:rFonts w:eastAsia="IRNazanin" w:cs="IRNazanin"/>
          <w:color w:val="111111"/>
          <w:sz w:val="28"/>
          <w:szCs w:val="28"/>
          <w:rtl w:val="true"/>
          <w:lang w:bidi="fa-IR"/>
        </w:rPr>
        <w:t xml:space="preserve">... » </w:t>
      </w:r>
      <w:r>
        <w:rPr>
          <w:rStyle w:val="FootnoteAnchor"/>
          <w:rtl w:val="true"/>
        </w:rPr>
        <w:footnoteReference w:id="6"/>
      </w:r>
      <w:r>
        <w:rPr>
          <w:rFonts w:ascii="Amiri" w:hAnsi="Amiri" w:eastAsia="Amiri" w:cs="Amiri"/>
          <w:color w:val="111111"/>
          <w:sz w:val="28"/>
          <w:sz w:val="28"/>
          <w:szCs w:val="28"/>
          <w:rtl w:val="true"/>
          <w:lang w:bidi="ar-SA"/>
        </w:rPr>
        <w:t>، فإنّ الذيل يدل بوضوح على أنّ الحكم إذا كان على طبق القواعد فعدم قبوله استخفاف بحكم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حنظلة وإن لم‌يوثق إلاّ أنّه قد روى عنه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كفاية مثل ذلك</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على أنّ تلقّى الأصحاب للرواية بالقبول قد يورث للفقيه الوثوق بصدورها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إذا لم‌يفترض حلُّ الخصومة بيمين المدّعى عليه ، وإلاّ أمكن أن يضاف الى ذلك التمسك بصحيحة عبد اللّه بن أبى يعفور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رضي </w:t>
      </w:r>
    </w:p>
    <w:p>
      <w:pPr>
        <w:pStyle w:val="BookText"/>
        <w:rPr/>
      </w:pPr>
      <w:r>
        <w:rPr>
          <w:rFonts w:ascii="Amiri" w:hAnsi="Amiri" w:eastAsia="Amiri" w:cs="Amiri"/>
          <w:color w:val="111111"/>
          <w:sz w:val="28"/>
          <w:sz w:val="28"/>
          <w:szCs w:val="28"/>
          <w:rtl w:val="true"/>
          <w:lang w:bidi="ar-SA"/>
        </w:rPr>
        <w:t>صاحب الحق بيمين المنكر لحقه فاستحلفه فحلف أنّ لاحق له قِبَلَهُ ذهبت اليمين بحق المدّعى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عليه بيّنة عادلة؟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أقام بعدما استحلفه باللّه خمسين قسامة ما كان له وكانت اليمين قد أبطلت كل ما ادّعاه قِبَلَهُ ممّا قد استحلفه عليه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الاستثناء ، فلأنّ الحكم كلا حكم إذا افترض اختلال الشروط في القاضى أو فى موازين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أن تكون المخالفة مخالفة لما ثبت اعتباره بنحو القطع ، فلأنّه بدون ذلك يعود الحكم مشمولاً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حكم بحكمنا فلم يقبل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إذ المراد فإذا حكم على طبق الموازين الشرعية التى يؤدى اليها نظره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قسما القاضى ، فيقصد من القاضى المنصوب من كان منصوباً للقضاء من قبل الشرع قبل أن يتراضى عليه المتخاصمان ، ومن قاضى التحكيم القاضى الذي تراضى المتخاصمان على التحاكم اليه وكان نصبه من قبل الشارع فى طول التراضى على التخاصم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الاول مقبولة ابن حنظلة المتقدمة 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فإنى قد جعلته عليكم حاكماً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وصحيحة أبى خديجة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انظروا الى رجل منكم يعلم شيئاً من قضايانا ، فاجعلوه بينكم فإنّى قد جعلته قاضياً فتحاكموا اليه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الثانى 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 بين الرجلين من أصحابنا المنازعة فى الشيء فيتراضيان برجل منّا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ذاك ، إنّما </w:t>
      </w:r>
    </w:p>
    <w:p>
      <w:pPr>
        <w:pStyle w:val="BookText"/>
        <w:rPr/>
      </w:pPr>
      <w:r>
        <w:rPr>
          <w:rFonts w:ascii="Amiri" w:hAnsi="Amiri" w:eastAsia="Amiri" w:cs="Amiri"/>
          <w:color w:val="111111"/>
          <w:sz w:val="28"/>
          <w:sz w:val="28"/>
          <w:szCs w:val="28"/>
          <w:rtl w:val="true"/>
          <w:lang w:bidi="ar-SA"/>
        </w:rPr>
        <w:t xml:space="preserve">هو الذى يجبر الناس على حكمه بالسيف والسوط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أخذ الاُجرة على القضاء ، فقد قيل بعدم جوازه إما لأنّ القضاء واجب ، وحيثية الوجوب نفسها تمنع من أخذ الاُجرة ، أو لأنّ حيثية القضاء بخصوصها تمنع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المنع من الحيثية الاُولي ، فقد ذكرت له عدة تقريبات ، نذكر من بينها ما نقله الشيخ الأعظم فى مكاسبه من أنّ الشيء إذا كان واجباً فهو مملوك لله سبحانه ، ومع كون الشيء مملوكاً للغير فلا يمكن تمليكه لآخر ، إما لأنّ الشيء الواحد لايمكن أن يكون مملوكاً لاثنين فى آنٍ واحد ، أو لأنّ الشخص إذا لم‌يملك فعله ، فلا يمكن أن يملِّكه لغيره ، فإنّ فاقد الشيء لايعطيه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الفعل يستدعى الالزام بايجاده دون الملكية الاعتبارية ليلزم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المنع من الحيثية الثانية فتدل عليه صحيحة عمار بن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غُل من الإمام فهو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والسحت أنواع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اُصيب من أعمال الولاة الظلمة ، ومنها اُجور القضاء واُجور الفواجر وثمن الخمر والنبيذ والمسكر </w:t>
      </w:r>
      <w:r>
        <w:rPr>
          <w:rFonts w:eastAsia="IRNazanin" w:cs="IRNazanin"/>
          <w:color w:val="111111"/>
          <w:sz w:val="28"/>
          <w:szCs w:val="28"/>
          <w:rtl w:val="true"/>
          <w:lang w:bidi="fa-IR"/>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يضاف الى ذلك أنّه قد علم من مذاق الشارع إرادته لصدور القضاء بنحو المجانية؛ لأنّه من شوؤن تبليغ الرسالة وقد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الشروط اللازمة فى القاضى يلزم فى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والذكورة ، وطهارة المولد ، والعدالة ، والايمان والاجتهاد ، بل والأعلمية فى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اعتبار البلوغ ، فلأن الوارد فى صحيحة أبى خديجة المتقدمة عنوان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الى رجل منكم يعلم شيئاً من قضايانا </w:t>
      </w:r>
      <w:r>
        <w:rPr>
          <w:rFonts w:eastAsia="IRNazanin" w:cs="IRNazanin"/>
          <w:color w:val="111111"/>
          <w:sz w:val="28"/>
          <w:szCs w:val="28"/>
          <w:rtl w:val="true"/>
          <w:lang w:bidi="fa-IR"/>
        </w:rPr>
        <w:t xml:space="preserve">... » </w:t>
      </w:r>
      <w:r>
        <w:rPr>
          <w:rStyle w:val="FootnoteAnchor"/>
          <w:rtl w:val="true"/>
        </w:rPr>
        <w:footnoteReference w:id="15"/>
      </w:r>
      <w:r>
        <w:rPr>
          <w:rFonts w:ascii="Amiri" w:hAnsi="Amiri" w:eastAsia="Amiri" w:cs="Amiri"/>
          <w:color w:val="111111"/>
          <w:sz w:val="28"/>
          <w:sz w:val="28"/>
          <w:szCs w:val="28"/>
          <w:rtl w:val="true"/>
          <w:lang w:bidi="ar-SA"/>
        </w:rPr>
        <w:t>، واللقب وإن لم‌يكن له مفهوم إلاّ أنّه لوروده مورد التحديد لمن نصب شرعاً للقضاء يثبت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العقل ، فللمقيّد المتصل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الذكورة ، فلما تقدم فى وجه اعتبار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ولاينبغى أن يفهم من هذا تفضيل الاسلام للرجل على المرأة ، فإنّ الجميع من‌حيث الكرامة بدرجة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بل ذلك تمييز فى الوظائف على أساس ما يملكه كلّ واحد من الصنفين من تركيبة طبيعيّة خاصة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اضافة الى ذلك نظام الاُسرة بحاجة الى حنان الاُم ونشاطها البيتى أكثر من حاجة وظائف الدولة لها بعد إمكان تصدى الرجل لها بشكل أتم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طهارة المولد ، فلا خلاف فيه</w:t>
      </w:r>
      <w:r>
        <w:rPr>
          <w:rStyle w:val="FootnoteAnchor"/>
          <w:rtl w:val="true"/>
        </w:rPr>
        <w:footnoteReference w:id="18"/>
      </w:r>
      <w:r>
        <w:rPr>
          <w:rFonts w:ascii="Amiri" w:hAnsi="Amiri" w:eastAsia="Amiri" w:cs="Amiri"/>
          <w:color w:val="111111"/>
          <w:sz w:val="28"/>
          <w:sz w:val="28"/>
          <w:szCs w:val="28"/>
          <w:rtl w:val="true"/>
          <w:lang w:bidi="ar-SA"/>
        </w:rPr>
        <w:t xml:space="preserve">إما لانصراف صحيحة أبى خديجة المتقدمة الى غير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عدم قبول شهادة ولد الزنا وإمامته فى الصلاة يفهم منه عدم قبول الشارع لقضائه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ينبغى أن يفهم من هذا تحميل الاسلام الوزر على الولد البري‌ء ، فإنّ عدم منحه الوظائف إما وليد عدم تفاعل المجتمع مع ولد الزنا الذى هو أثر وضعي للجريمة التى ارتكبها الزاني ، وهو الذى يتحمل وزرها ، أو وليد بعض السلبيات الكامنة فى ولد الزنا التى تسبب الزانى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العدالة ، فهو إما لما ذكره السيد اليزدى قدس سره وغيره من كون الفاسق ظالماً لنفسه ، والترافع اليه نحو ركون اليه ، وقد 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الى الذين ظلموا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أو لأنّ القضاء منصب رفيع وخطير لايحتمل منحه لغير العادل الذى لايؤمن انحرافه ، أو لأنّ غير العادل إذا لم‌تقبل شهادته ، فبالأولى لايقبل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الإيمان ، فلصحيحة أبى خديجة بل ومقبولة ابن حنظلة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الاجتهاد ، فلأنّ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حديثنا ونظر فى حلالنا وحرامنا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فى مقبولة ابن حنظلة المتقدمة لايصدق إلاّ على المجتهد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لايبعد فى حالة اتساع دائرة الحكومة الاسلامية وعدم كفاية عدد المجتهدين لإدارة القضاء ثبوت الحق للحاكم الشرعى فى نصب غير المجتهد للقضاء حفظاً للنظام من الاختلال</w:t>
      </w:r>
      <w:r>
        <w:rPr>
          <w:rFonts w:eastAsia="Amiri" w:cs="Amiri" w:ascii="Amiri" w:hAnsi="Amiri"/>
          <w:color w:val="111111"/>
          <w:sz w:val="28"/>
          <w:szCs w:val="28"/>
          <w:rtl w:val="true"/>
          <w:lang w:bidi="ar-SA"/>
        </w:rPr>
        <w:t xml:space="preserve">. </w:t>
      </w:r>
      <w:bookmarkStart w:id="29" w:name="pg19370_198038"/>
    </w:p>
    <w:p>
      <w:pPr>
        <w:pStyle w:val="BookText"/>
        <w:rPr/>
      </w:pPr>
      <w:bookmarkEnd w:id="29"/>
      <w:r>
        <w:rPr>
          <w:rFonts w:ascii="Amiri" w:hAnsi="Amiri" w:eastAsia="Amiri" w:cs="Amiri"/>
          <w:color w:val="111111"/>
          <w:sz w:val="28"/>
          <w:sz w:val="28"/>
          <w:szCs w:val="28"/>
          <w:rtl w:val="true"/>
          <w:lang w:bidi="ar-SA"/>
        </w:rPr>
        <w:t>بل إنّ فكرة حفظ النظام من الاختلال قد يتمسك بها لإثبات نصب القاضى من قبل الشريعة بلا حاجة الى التمسك بمقبوله ابن 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الأعلمية فهو إما لما ورد فى عهد الإمام علیه السلام للأشتر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 للحكم بين الناس أفضل رعيتك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أو لأنّ حكم العقل القطعى بترجيح الأعلم أشبه بالقرينة اللبّية المتصلة المانعة من انعقاد الإطلاق فى مثل مقبولة ابن حنظلة ، فيعود نصب غير الأعلم لادليل يدل عليه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390863_1280447820"/>
      <w:bookmarkStart w:id="31" w:name="_Toc8"/>
      <w:bookmarkEnd w:id="30"/>
      <w:r>
        <w:rPr>
          <w:rtl w:val="true"/>
        </w:rPr>
        <w:t>كيفية القضاء</w:t>
      </w:r>
      <w:bookmarkEnd w:id="31"/>
    </w:p>
    <w:p>
      <w:pPr>
        <w:pStyle w:val="BookText"/>
        <w:rPr/>
      </w:pPr>
      <w:r>
        <w:rPr>
          <w:rFonts w:ascii="Amiri" w:hAnsi="Amiri" w:eastAsia="Amiri" w:cs="Amiri"/>
          <w:color w:val="111111"/>
          <w:sz w:val="28"/>
          <w:sz w:val="28"/>
          <w:szCs w:val="28"/>
          <w:rtl w:val="true"/>
          <w:lang w:bidi="ar-SA"/>
        </w:rPr>
        <w:t xml:space="preserve">اذا طرحت دعوى فى مال على الحاكم فيلزمه لأجل القضاء فيها تشخيص المدّعى وتمييزه عن المدّعى عليه ، ثم ملاحظة جواب الثاني ، وهو لايخلو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يعترف بكون الحق مع المدّعي ، فيُلزمه الحاكم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ينكر فيطالب الحاكم المدّعى بالبينة فإن لم‌يقمها حلف المدّعى عليه وتسقط بذلك الدعوي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لم‌يحلف وردّ اليمين على المدّعى وفرض حلفه تثبت بذلك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نكل عن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القضاء عليه بمجرد ذلك أو بشرط ردّ الحاكم اليمين على المدّعى وحلفه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لايعترف ولاينكر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فى حالة الانكار ، بَيْدَ أنّه إذا كان يدّعى الجهل بالحال فبإمكان المدّعى طلب احلافه على نفى العلم إن لم‌يصدقه فى دعواه الجهل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الحالتين الأخيرتين إذا حلف المدّعى عليه ، فلا تسمع البيّنة بعد ذلك من المدّعي </w:t>
      </w:r>
    </w:p>
    <w:p>
      <w:pPr>
        <w:pStyle w:val="BookText"/>
        <w:rPr/>
      </w:pPr>
      <w:r>
        <w:rPr>
          <w:rFonts w:ascii="Amiri" w:hAnsi="Amiri" w:eastAsia="Amiri" w:cs="Amiri"/>
          <w:color w:val="111111"/>
          <w:sz w:val="28"/>
          <w:sz w:val="28"/>
          <w:szCs w:val="28"/>
          <w:rtl w:val="true"/>
          <w:lang w:bidi="ar-SA"/>
        </w:rPr>
        <w:t>حتى لدى حاكم آخر ، كما لاتحق له المقاصّة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 لايحق له طلب الحلف من المدّعى عليه إلاّ بعد طلب المدّعى احلافه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لزوم تشخيص المدّعى وتميزه عن المدّعى عليه فلكى يطالب المدّعي بالبينة مع فرض انكار المدّعى عليه ، فإن أقامها ثبت ما ادّعاه ، وإلاّ حلف المدّعي عليه وسقطت الدعوي ، لصحيحة جميل وهشام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من ادّعى واليمين على من ادّعى عليه </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الحاكم يلزم المدّعى عليه مع اعترافه ، فلحجية الاقرار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الحاكم يطالب المدّعى بالبينة عند انكار المدّعى عليه ، فللصحيحة المتقدمة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المدّعى عليه بالخيار بين الحلف ، فتسقط الدعوى الموجهة اليه وبين ردّه اليمين على المدّعى فيلزم عند حلفه ، فلصحيحة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يدعى ولابينة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يستحلفه ، فإن ردّ اليمين على صاحب الحق فلم يحلف فلا حقّ له </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الخلاف فى القضاء بمجرد النكول عن الأمرين أو بشرط ردّ الحاكم اليمين على المدّعى وحلفه ، فالمعروف فيه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السيد اليزدى وآخرون على ذلك بالبيانين التاليين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بالأصل المقتضى لعدم نفوذ قضاء أى شخص فى حق غيره ، والقدر </w:t>
      </w:r>
    </w:p>
    <w:p>
      <w:pPr>
        <w:pStyle w:val="BookText"/>
        <w:rPr/>
      </w:pPr>
      <w:r>
        <w:rPr>
          <w:rFonts w:ascii="Amiri" w:hAnsi="Amiri" w:eastAsia="Amiri" w:cs="Amiri"/>
          <w:color w:val="111111"/>
          <w:sz w:val="28"/>
          <w:sz w:val="28"/>
          <w:szCs w:val="28"/>
          <w:rtl w:val="true"/>
          <w:lang w:bidi="ar-SA"/>
        </w:rPr>
        <w:t>المتيقن فى الخارج عن الأصل المذكور حالة ما إذا ردّ المدّعى عليه اليمين علي المدّعى أو ما إذا ردّ الحاكم عليه ذلك ، وأما حالة عدم تحقق الرد من أحد الطرفين فهى للشك فى خروجها عن الأصل يحكم ببقائها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بما دلّ على أنّ القضاء بين الناس إنّما هو بالبينات والأيمان ، كما دلت على ذلك صحيحة هشام بن الحكم عن أبى عبداللّه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أقضى بينكم بالبينات والأيمان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وبعضكم ألحن بحجته من بعض ، فأيّما رجل قطعت له من مال أخيه شيئاً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بتقريب أنّ المدّعى إذا لم‌تكن له بينة والمدّعى عليه لم‌يحلف فالقضاء آنذاك على المدّعي عليه بمجرد نكوله عن كلا الأمرين قضاء من دون بينة ولايمين فلا يكون نافذاً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حكم حالة السكوت نفس حكم حالة الانكار ، فلإطلاق صحيحة جميل وهشام المتقدمة الدالة على أنّ البينة على من ادّعى واليمين على من ادّعى عليه ، غايته يلزم فى حالة الانكار حلف المدعى عليه على نفى الحق واقعاً ، بينما في حالة السكوت ودعوى المدّعى عليه الجهل بالحال يمكن للمدّعى طلب احلافه على عدم العلم بالحال وليس على نفى الحق واقعاً لفرض عدم 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حلف المدّعى عليه يمنع من قبول البينة بعد ذلك ومن المقاصة ، فلصحيحة ابن أبى يعفور المتقدمة عند البحث عن عدم جواز نقض حكم القاضي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ينبغى أن يفهم من هذا صيرورة المال حلالاً واقعاً للحالف ، كلاّ بل هو حرام واقعاً لو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فى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أيضاً صحيحة هشام بن الحكم المتقدمة</w:t>
      </w:r>
      <w:r>
        <w:rPr>
          <w:rFonts w:eastAsia="Amiri" w:cs="Amiri" w:ascii="Amiri" w:hAnsi="Amiri"/>
          <w:color w:val="111111"/>
          <w:sz w:val="28"/>
          <w:szCs w:val="28"/>
          <w:rtl w:val="true"/>
          <w:lang w:bidi="ar-SA"/>
        </w:rPr>
        <w:t xml:space="preserve">. </w:t>
      </w:r>
      <w:bookmarkStart w:id="32" w:name="pg19370_198041"/>
    </w:p>
    <w:p>
      <w:pPr>
        <w:pStyle w:val="BookText"/>
        <w:rPr/>
      </w:pPr>
      <w:bookmarkEnd w:id="3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الحاكم لايجوز له احلاف المدّعى عليه قبل طلب المدّعى ، فلأن عدم طلب المدّعى لذلك يعنى غلقه للدعوى ولو مؤقتاً ، وذلك حق ثابت 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390865_1280447820"/>
      <w:bookmarkStart w:id="34" w:name="_Toc9"/>
      <w:bookmarkEnd w:id="33"/>
      <w:r>
        <w:rPr>
          <w:rtl w:val="true"/>
        </w:rPr>
        <w:t>شروط سماع الدعوى</w:t>
      </w:r>
      <w:bookmarkEnd w:id="34"/>
    </w:p>
    <w:p>
      <w:pPr>
        <w:pStyle w:val="BookText"/>
        <w:rPr/>
      </w:pPr>
      <w:r>
        <w:rPr>
          <w:rFonts w:ascii="Amiri" w:hAnsi="Amiri" w:eastAsia="Amiri" w:cs="Amiri"/>
          <w:color w:val="111111"/>
          <w:sz w:val="28"/>
          <w:sz w:val="28"/>
          <w:szCs w:val="28"/>
          <w:rtl w:val="true"/>
          <w:lang w:bidi="ar-SA"/>
        </w:rPr>
        <w:t xml:space="preserve">يلزم لسماع الدعوى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شروط أهمها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جازماً فى دعواه لاظاناً أو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بعض من ذلك ما إذا دفع شخص الى غيره ماله كوديعة أو غيرها وادّعى تلفه فإنّه مع اتهامه يضمن إلاّ أن يقيم البينة على نفى اتهامه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دعواه لنفسه أو لمن له الولاية عليه أو الوكالة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الدعوى أمراً سائغاً ، فلا تسمع الدعوى من المسلم على غيره اشتغال ذمته بالخمر أو 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المتعلق ذا أثر شرعى فلاتسمع دعوى الهبة أو الوقف من دون 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المدّعى به معلوماً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البلوغ ، فقد علل بأنّه لو لم‌تكن للصبى بينة فليس له طلب احلاف المدّعى عليه ، كما لايتمكن من الحلف لو ردّ المدّعى عليه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إذا كان للصبى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إقامة البينة والتصدى للحلف أو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وجوب سماع دعواه ، وذلك يكفى فى رفضها بعد عدم لزوم الإخلال بالنظام واقرار الظلم حيث فرض وجود وليٍّ بإمكانه التصدي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الى شرطية العقل ، فوجه اعتبارها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الجزم فى الدعوى ، فقد علل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عنوان المدعى مع عدم الجزم ، وبانتفائه لايمكن تطبيق قاعدة البينة على من ادّعى واليمين على من ادّعى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إذا ادّعى سرقة مثلاً على شخص ، فالأصل يقتضى عدم ذلك وبراءة ذمة المدّعى عليه ، وهذا الأصل كما هو حجة للمدّعى عليه هو حجة على المدّعي ، ومعه فلا يحق له الزام المدّعى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عند فرض الجزم فإنّ الأصل لايكون حجة على المدّعى لفرض جزمه ، وشرط حجية الأصل الشك بمعنى عدم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وجه الاستثناء ، فاستدل له بصحيحة أبى بصير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سألتة عن قصّار دفعت اليه ثوباً فزعم أنّه سرق من بين متاعه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أن يقيم البينة أنّه سرق‌من‌بين‌متاعه‌وليس عليه شيء ، فإن سرق متاعه‌كله فليس عليه شيء </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صحيحة بطريق الشيخ الصدوق والطوسى وإن كانت ضعيفة بالارسال فى طريق الشيخ الكلينى إلاّ أنّ ذلك غير مهم لأنّه يكفى فى صحة الرواية صحة بعض طرقها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أن تكون دعوى المدّعى لنفسه أو لمن له الولاية أو الوكالة عنه ، فلأنّه لولا ذلك يكون أجنبياً عن الدعوى ومن ثم يكون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واليمين على من ادّعى عليه </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منصرفاً عنه</w:t>
      </w:r>
      <w:r>
        <w:rPr>
          <w:rFonts w:eastAsia="Amiri" w:cs="Amiri" w:ascii="Amiri" w:hAnsi="Amiri"/>
          <w:color w:val="111111"/>
          <w:sz w:val="28"/>
          <w:szCs w:val="28"/>
          <w:rtl w:val="true"/>
          <w:lang w:bidi="ar-SA"/>
        </w:rPr>
        <w:t xml:space="preserve">. </w:t>
      </w:r>
      <w:bookmarkStart w:id="35" w:name="pg19370_198043"/>
    </w:p>
    <w:p>
      <w:pPr>
        <w:pStyle w:val="BookText"/>
        <w:rPr/>
      </w:pPr>
      <w:bookmarkEnd w:id="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متعلق الدعوى أمراً ، سائغاً فواضح بعد عدم اشتغال الذمة شرعاً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المتعلق ذا أثر شرعى ، فلعدم الفائدة فى قبول الدعوى في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المعلومية في الجملة ، فلأنّ المجهول بشكل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لايمكن‌الالزام به لتردده بين ماتسمع فيه الدعوى وما لاتسمع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إذا فسره بما يمكن الالزام به قُبل ذلك منه وتحصل آنذاك دعوى ثانية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390867_1280447820"/>
      <w:bookmarkStart w:id="37" w:name="_Toc10"/>
      <w:bookmarkEnd w:id="36"/>
      <w:r>
        <w:rPr>
          <w:rtl w:val="true"/>
        </w:rPr>
        <w:t>وسائل الاثبات</w:t>
      </w:r>
      <w:bookmarkEnd w:id="37"/>
    </w:p>
    <w:p>
      <w:pPr>
        <w:pStyle w:val="BookText"/>
        <w:rPr/>
      </w:pPr>
      <w:r>
        <w:rPr>
          <w:rFonts w:ascii="Amiri" w:hAnsi="Amiri" w:eastAsia="Amiri" w:cs="Amiri"/>
          <w:color w:val="111111"/>
          <w:sz w:val="28"/>
          <w:sz w:val="28"/>
          <w:szCs w:val="28"/>
          <w:rtl w:val="true"/>
          <w:lang w:bidi="ar-SA"/>
        </w:rPr>
        <w:t xml:space="preserve">الوسائل التى يعتمد عليها للإثبات وحلّ الخصومة فى باب القضاء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 واليمين ، والاقرار ، والقرعة ، وعلم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البينة ، فهى حجة لإثبات دعوى المدّعى بخلاف اليمين ، فإنّها حجة لاسقاط المدّعى عليه الدعوى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هى حجة للمدّعى لإثبات دعواه لو ردت عليه إما من قبل المدّعى عليه أو الحاكم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وبينة المدّعى هى المقدمة ، فإن لم‌تكن فالنوبة تصل الى يمين المدّعى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لذلك قول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واليمين على من ادّعي عليه </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الاقرار ، فلا إشكال فى حجيته ، للسيرة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مدارك القضاء منحصرة بالبينات والأيمان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وبعضكم ألحن بحجته من بعض ، فأيّما رجل قطعت له من مال أخيه شيئاً فإنّما قطعت له به قطعة من النار </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وليس الاقرار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دلالة الحديث على الحصر ، فبالإمكان دعوى اختصاص نظره الى حالة الخصومة ، ومع الاقرار لاخصومة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القرعة ، فتدل على حجيتها سيرة العقلاء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السيرة ، فانعقادها على العمل بها فى الاُمور المشكلة واضح ، وحيث لاردع عنها شرعاً فيثبت امضاؤها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السنّة ، الشريفة فالدال منها فى الموارد الخاصة كثير إلاّ أنّ المهم هو الروايات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الاستشهاد بصحيحة محمد بن حكيم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شيء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مجهول ففيه القرعة </w:t>
      </w:r>
      <w:r>
        <w:rPr>
          <w:rFonts w:eastAsia="IRNazanin" w:cs="IRNazanin"/>
          <w:color w:val="111111"/>
          <w:sz w:val="28"/>
          <w:szCs w:val="28"/>
          <w:rtl w:val="true"/>
          <w:lang w:bidi="fa-IR"/>
        </w:rPr>
        <w:t xml:space="preserve">... » </w:t>
      </w:r>
      <w:r>
        <w:rPr>
          <w:rStyle w:val="FootnoteAnchor"/>
          <w:rtl w:val="true"/>
        </w:rPr>
        <w:footnoteReference w:id="29"/>
      </w:r>
      <w:r>
        <w:rPr>
          <w:rFonts w:ascii="Amiri" w:hAnsi="Amiri" w:eastAsia="Amiri" w:cs="Amiri"/>
          <w:color w:val="111111"/>
          <w:sz w:val="28"/>
          <w:sz w:val="28"/>
          <w:szCs w:val="28"/>
          <w:rtl w:val="true"/>
          <w:lang w:bidi="ar-SA"/>
        </w:rPr>
        <w:t xml:space="preserve">، فإنّه وإن لم‌يحدد فيها 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المحتمل اختصاصه بمورد معيّن إلاّ أنّ ذلك لايمنع من استفادة العموم منها ، فإنّ العبرة بعموم الجواب ، ولايضر بذلك اختصاص السؤال بمورد معيّن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يمكن الاستشهاد بصحيحة ابراهيم بن عمر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مملوك أملكه فهو حر فورث ثلاثة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يقرع بينهم فمن أصابه القرعة 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والقرعة سنّة </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فان موردها وإن كان خاصاً إلاّ أنّه يمكن استفادة </w:t>
      </w:r>
    </w:p>
    <w:p>
      <w:pPr>
        <w:pStyle w:val="BookText"/>
        <w:rPr/>
      </w:pPr>
      <w:r>
        <w:rPr>
          <w:rFonts w:ascii="Amiri" w:hAnsi="Amiri" w:eastAsia="Amiri" w:cs="Amiri"/>
          <w:color w:val="111111"/>
          <w:sz w:val="28"/>
          <w:sz w:val="28"/>
          <w:szCs w:val="28"/>
          <w:rtl w:val="true"/>
          <w:lang w:bidi="ar-SA"/>
        </w:rPr>
        <w:t>التعميم منها بتوسط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ينبغى الالتفات الى أنّ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جواز التمسك بها فى مورد القضاء بما إذا فرض تساوى الخصمين من جهة جميع وسائل الإثبات وجوداً وعدماً وإلاّ فلاتصل النوبة اليها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علم القاضى كوسيلة للإثبات ، فهو المشهور ، بل المتفق عليه علي ما ذكر صاحب الجواهر ، من غير فرق بين حقوق الناس وحقوق اللّه سبحانه ، خلافاً لابن الجنيد حيث نسب له المنع مطلقاً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على الاعتبار بعدّة وجوه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جعلت حجة لكاشفيتها ، ومن الواضح أنّ العلم أقوى منها كاشفية فيلزم أن يكون حجة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دلّ على وجوب الحكم بالعدل والحق ،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بتقريب أنّ الحاكم لو علم أنّ هذا زانٍ مثلاً فمتى ما حكم بزناه وثبوت الحدّ عليه ، كان ذلك حكماً بالحق والعدل فيكون جائزاً ، بل واجباً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سليمان بن خالد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كتاب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نبياً من الأنبياء شكا الى 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كيف أقضى فى ما لم أر وأشهد؟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بينهم بكتابى وأضفهم الى اسمى فحلِّفهم به</w:t>
      </w:r>
      <w:r>
        <w:rPr>
          <w:rFonts w:eastAsia="IRNazanin" w:cs="IRNazanin"/>
          <w:color w:val="111111"/>
          <w:sz w:val="28"/>
          <w:szCs w:val="28"/>
          <w:rtl w:val="true"/>
          <w:lang w:bidi="fa-IR"/>
        </w:rPr>
        <w:t xml:space="preserve">. </w:t>
      </w:r>
      <w:bookmarkStart w:id="38" w:name="pg19370_198046"/>
    </w:p>
    <w:p>
      <w:pPr>
        <w:pStyle w:val="BookText"/>
        <w:rPr/>
      </w:pPr>
      <w:bookmarkEnd w:id="38"/>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لم‌تقم له بينة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حيث دلت على جواز قضاء الحاكم فيما إذا رأى الواقعة وشهدها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نقل القصة فى الحديث امضاء ما نقل فيها من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المدارك لاعتبار علم القاضى فى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أمكنت المناقشة فى بعضها ففى البقية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معارض لذلك سوى بعض الوجوه الضعيفة ، من قبيل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صحيحة هشام بن الحكم المتقدمة دلت على حصر الوسائل المثبتة فى باب القضاء بالبينة واليمين ، حيث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أقضى بينكم بالبينات والأيمان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أو من قبيل ما دلّ على عدم جواز إقامة الحد عند رؤية الزنا ، فقد ورد في صحيحة داود بن فرقد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رسول اللّه قالوا لسعد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وجدت على بطن امرأتك رجلاً ما كنت صانعاً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أضربه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يا سعد؟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على بطن امرأتك رجلاً ما كنت صانعاً 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أضربه بالسيف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فكيف بالأربعة الشهود؟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رأى عينى وعلم اللّه أن قد 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إى واللّه بعد رأى عينك وعلم اللّه أن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جعل لكل شيء حدّاً ، وجعل لمن تعدّى ذلك الحدّ حدّاً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7390869_1280447820"/>
      <w:bookmarkStart w:id="40" w:name="_Toc11"/>
      <w:bookmarkEnd w:id="39"/>
      <w:r>
        <w:rPr>
          <w:rtl w:val="true"/>
        </w:rPr>
        <w:t xml:space="preserve">ووجه الضعف </w:t>
      </w:r>
      <w:r>
        <w:rPr>
          <w:rtl w:val="true"/>
        </w:rPr>
        <w:t>:</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الى الأول ، فباعتبار أنّ صحيحة هشام ناظرة الى الحالة الغالبة التى لا علم فيها للحاكم كما يتضح ذلك بأدنى تأمل</w:t>
      </w:r>
      <w:r>
        <w:rPr>
          <w:rFonts w:eastAsia="Amiri" w:cs="Amiri" w:ascii="Amiri" w:hAnsi="Amiri"/>
          <w:color w:val="111111"/>
          <w:sz w:val="28"/>
          <w:szCs w:val="28"/>
          <w:rtl w:val="true"/>
          <w:lang w:bidi="ar-SA"/>
        </w:rPr>
        <w:t xml:space="preserve">. </w:t>
      </w:r>
      <w:bookmarkStart w:id="41" w:name="pg19370_198047"/>
    </w:p>
    <w:p>
      <w:pPr>
        <w:pStyle w:val="BookText"/>
        <w:rPr/>
      </w:pPr>
      <w:bookmarkEnd w:id="41"/>
      <w:r>
        <w:rPr>
          <w:rFonts w:ascii="Amiri" w:hAnsi="Amiri" w:eastAsia="Amiri" w:cs="Amiri"/>
          <w:color w:val="111111"/>
          <w:sz w:val="28"/>
          <w:sz w:val="28"/>
          <w:szCs w:val="28"/>
          <w:rtl w:val="true"/>
          <w:lang w:bidi="ar-SA"/>
        </w:rPr>
        <w:t>وأمّابالنسبة الى الثاني ، فلأن المدّعى جواز قضاء الحاكم بعلمه دون أى شخص كان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390871_1280447820"/>
      <w:bookmarkStart w:id="43" w:name="_Toc12"/>
      <w:bookmarkEnd w:id="42"/>
      <w:r>
        <w:rPr>
          <w:rtl w:val="true"/>
        </w:rPr>
        <w:t>أحكام عامة فى باب القضاء</w:t>
      </w:r>
      <w:bookmarkEnd w:id="43"/>
    </w:p>
    <w:p>
      <w:pPr>
        <w:pStyle w:val="BookText"/>
        <w:rPr/>
      </w:pPr>
      <w:r>
        <w:rPr>
          <w:rFonts w:ascii="Amiri" w:hAnsi="Amiri" w:eastAsia="Amiri" w:cs="Amiri"/>
          <w:color w:val="111111"/>
          <w:sz w:val="28"/>
          <w:sz w:val="28"/>
          <w:szCs w:val="28"/>
          <w:rtl w:val="true"/>
          <w:lang w:bidi="ar-SA"/>
        </w:rPr>
        <w:t>المدّعى هو من خالف قوله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مطالب بالبينة بلا حاجة الى ضمّ يمينه إلاّ فى الدعوى على الميت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والحلف لايصحّ إلاّ باللّه سبحانه وبأسمائه الخاصة ولو مع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والدعوى على الغائب مسموعة إذا أقام المدّعى البينة على مايدّعيه ويأخذ الحاكم بحقه من أموال المدّعي‌عليه بعد طلب كفيل منه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الغائب على حجته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أثبت عدم استحقاق شيء عليه يسترجع الحاكم ما دفعه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لشخص مال فى يد غيره ، جاز له أخذه منه من دون استئذانه إن لم‌يستلزم ذلك تصرفاً فى ملكه أو كان الامتناع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المال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ديناً فى ذمّته فمع اعترافه وبذله لايجوز له أخذه منه من دون 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 غير باذل له وكان امتناعه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إذا كان امتناعه بظلم جازت المقاصة بلاحاجة إلى استئذان من‌الحاكم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مالاً لا يدَ لأحدٍ عليه ، حُكم له به بلا مطالبة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المال فى يد الغير ، فلا يحكم به للمدّعى إلاّ مع إقامته البينة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ادّعى شخص زوجية امرأة أو بالعكس ، فمع تصديق الآخر يحكم بها بلا حاجة إلي </w:t>
      </w:r>
    </w:p>
    <w:p>
      <w:pPr>
        <w:pStyle w:val="BookText"/>
        <w:rPr/>
      </w:pPr>
      <w:r>
        <w:rPr>
          <w:rFonts w:ascii="Amiri" w:hAnsi="Amiri" w:eastAsia="Amiri" w:cs="Amiri"/>
          <w:color w:val="111111"/>
          <w:sz w:val="28"/>
          <w:sz w:val="28"/>
          <w:szCs w:val="28"/>
          <w:rtl w:val="true"/>
          <w:lang w:bidi="ar-SA"/>
        </w:rPr>
        <w:t>بينة أو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تصديق الآخر يلزم المدّعى إقامة البينة ، فإن لم‌يقمها فله احلاف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تصادق رجل وامرأة على الزوجية وادّعاها آخر ، لزمه إقامة البينة على إثبات مدّعاه ، وله مع عدم إقامة البينة طلب احلاف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اختلف‌الزوجان فيالعقد فادّعي‌أحدهما دوامه والآخرانقطاعه ، فالمناسب على رأي المشهور ترجيح مدّعى الدوام بعد يمينه إن لم‌يكن للآخر بينة على إثبات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تحديد الضابط للمدّعى ، فقد وقع محلاًّ للإختلاف بين الأعلام بعد اتفاقهم على كونه هو المطالب بالبينة ، 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هو من إذا تَرك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يتمّ فيما لو ادّعى شخص على آخر ديناً أو عيناً أوغيرهما ، ولايتمّ فيما إذا اعترف شخص بالدين وادّعى ايفائه أو اعترف بأخذ العين عارية أو وديعة وادّعى إرجاعها ، فإنّه مدّعٍ جزماً بالرغم من أنّه إذا ترك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الجواهر وصرح باختياره الآشتيانى وغيره من أن المرجع فى تحديد المدّعى هو العرف ، فكل من صدق عليه عرفاً عنوان المدّعي ثبت كونه كذلك وكان مُلزماً بالبينة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التحديد المذكور وإن كان من جهةٍ جيداً ، لأن الشارع مادام لم‌يتصدَ لتحديد مفهوم المدّعي ، فالمرجع يكون 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فى كل مفهوم </w:t>
      </w:r>
    </w:p>
    <w:p>
      <w:pPr>
        <w:pStyle w:val="BookText"/>
        <w:rPr/>
      </w:pPr>
      <w:r>
        <w:rPr>
          <w:rFonts w:ascii="Amiri" w:hAnsi="Amiri" w:eastAsia="Amiri" w:cs="Amiri"/>
          <w:color w:val="111111"/>
          <w:sz w:val="28"/>
          <w:sz w:val="28"/>
          <w:szCs w:val="28"/>
          <w:rtl w:val="true"/>
          <w:lang w:bidi="ar-SA"/>
        </w:rPr>
        <w:t xml:space="preserve">لم يرد فيه تحديد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الآن هو فى تحديد نظر العرف وأنّه من هو المدّعى عنده ليكون ملزماً بالبينة؟</w:t>
      </w:r>
    </w:p>
    <w:p>
      <w:pPr>
        <w:pStyle w:val="BookText"/>
        <w:rPr/>
      </w:pPr>
      <w:r>
        <w:rPr>
          <w:rFonts w:ascii="Amiri" w:hAnsi="Amiri" w:eastAsia="Amiri" w:cs="Amiri"/>
          <w:color w:val="111111"/>
          <w:sz w:val="28"/>
          <w:sz w:val="28"/>
          <w:szCs w:val="28"/>
          <w:rtl w:val="true"/>
          <w:lang w:bidi="ar-SA"/>
        </w:rPr>
        <w:t xml:space="preserve">ولعلَّ 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فى نظر العرف هو من خالف قوله الحجة ، فاليد حجة كاشفة عن ملكية صاحبها ، واستصحاب الحالة السابقة حجة علي بقائها ، ومن خالف فى دعواه احدى هاتين الحجتين وما شاكلهما فهو المدّعي ويكون ملزماً بالإثبات ، لأنه يدّعى شيئاً يخالف ما عليه الحجة ، بخلاف المدّعي عليه ، فإنَّ قوله موافق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مقصود من فسَّر المدّعى بمن خالف قوله الأصل أو الظاهر بعد أخذ الأصل والظاهر كمثال لمطلق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المدّعى لايطالَب باليمين إضافة الى البينة ، فلدلالة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واليمين على من ادّعى عليه </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على ذلك بعد الالتفات إلى أن التفصيل قاطع للشركة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استثناء دعوى الدين على الميت ، فيأتى إن شاء اللّه تعالى فى كتاب الشهادات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الحلف لايصح إلاّ باللّه سبحانه ، فلصحيحة سليمان بن خالد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كتاب على علیه السلام أنّ نبياً من الأنبياء شكا إلى 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كيف أقضى فى ما لم‌أرَ ولم أشهد؟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بينهم بكتابى وأضفهم إلى اسمى فحلّفهم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لم‌تقم له بينة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فإنّها تدل بوضوح على صحة الحلف بتوسط </w:t>
      </w:r>
    </w:p>
    <w:p>
      <w:pPr>
        <w:pStyle w:val="BookText"/>
        <w:rPr/>
      </w:pPr>
      <w:r>
        <w:rPr>
          <w:rFonts w:ascii="Amiri" w:hAnsi="Amiri" w:eastAsia="Amiri" w:cs="Amiri"/>
          <w:color w:val="111111"/>
          <w:sz w:val="28"/>
          <w:sz w:val="28"/>
          <w:szCs w:val="28"/>
          <w:rtl w:val="true"/>
          <w:lang w:bidi="ar-SA"/>
        </w:rPr>
        <w:t xml:space="preserve">لفظ الجلالة ، بل بجميع أسمائه عزّوجلّ ولو مع الترجمة تمسكاً بإطلاق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وأضفهم الى اسمي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لانتمسك لإثبات جواز الحلف بغير اللّه سبحانه بإطلاق ما دلّ علي أنّ اليمين على المدّعى عليه ، كما فى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واليمين علي من ادّعى عليه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لو كان له إطلاق من الناحية المذكورة ، فهو مقيد بالصحيحة المتقدمة ، فإنّها واردة فى مقام بيان تحديد الوظيفة وقد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وأضفهم الى اسمي فحلّفهم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يفهم منه أنّ الحلف بغير اسمه تعالى ليس بنافع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الدعوى على الغائب مسموعة ، فلصحيحة جميل عن جماعة من أصحابنا عنهما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الغائب يقضى عليه إذا قامت عليه البينة ويباع ماله ويقضي عنه دينه وهو غائب ، ويكون الغائب على حجّته 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ولايدفع المال إلي الذى أقام البينة إلاّ بكفلاء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يشكل بأنّ الصحيحة مرسلة حيث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تشخيصهم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يجاب أنّ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أقلّها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لايحتمل اجتماعها على الكذب وعدم وجود ثقة من بينهم خصوصاً وهم مشايخ لجميل بن دراج الذى هو من أعاظم الرواة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فى بعض الطرق الاُخرى قد صُرح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عن محمد بن </w:t>
      </w:r>
    </w:p>
    <w:p>
      <w:pPr>
        <w:pStyle w:val="BookText"/>
        <w:rPr/>
      </w:pPr>
      <w:r>
        <w:rPr>
          <w:rFonts w:ascii="IRNazanin" w:hAnsi="IRNazanin" w:eastAsia="IRNazanin"/>
          <w:color w:val="111111"/>
          <w:sz w:val="28"/>
          <w:sz w:val="28"/>
          <w:szCs w:val="28"/>
          <w:rtl w:val="true"/>
          <w:lang w:bidi="fa-IR"/>
        </w:rPr>
        <w:t xml:space="preserve">مسلم عن أبى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المذكورة معارضة برواية الحميرى فى قرب الإسناد عن السندى بن محمد عن أبى البخترى عن جعفر عن أبيه عن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علي غائب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مطلقة فيمكن حملها بقرينة الرواية السابقة على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 عليه بنحو بتى بل يبقى على حجته ، أو أنه لايقضى عليه من دون كفلاء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سندها بأبى البخترى وهب بن وهب الذى قيل فى حقه بأنّه أكذب أهل البرية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جواز أخذ الشخص ماله إذا كان فى يد غيره بدون استئذانه مادام لايستلزم ذلك تصرفاً فى ملكه أو يكون الامتناع بغير حق ، فلقاعدة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بعدم استلزام ذلك التصرف فى ملك الغير أو يكون الامتناع بغير حق باعتبار أنّ ذلك هو القدر المتيقن من معقد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المال إذا كان ديناً لايجوز أخذه بدون استئذان مع فرض الاعتراف والبذل ، فلأن الكلّى فى الذمّة لايتشخص فى الفرد الخارجى إلاّ بتشخيص صاحب الذمّة المشغولة ، فإنّه ذو الولاية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النكتة المذكورة تأتى لو كان الامتناع من البذل بحق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جواز المقاصة مع الامتناع بغير حق ، فلصحيحة داود بن رزين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p>
    <w:p>
      <w:pPr>
        <w:pStyle w:val="BookText"/>
        <w:rPr/>
      </w:pPr>
      <w:r>
        <w:rPr>
          <w:rFonts w:ascii="IRNazanin" w:hAnsi="IRNazanin" w:eastAsia="IRNazanin"/>
          <w:color w:val="111111"/>
          <w:sz w:val="28"/>
          <w:sz w:val="28"/>
          <w:szCs w:val="28"/>
          <w:rtl w:val="true"/>
          <w:lang w:bidi="fa-IR"/>
        </w:rPr>
        <w:t xml:space="preserve">لأبى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اُخالط السلطان فتكون عندى الجارية فيأخذونها والدابة الفارهة فيبعثون فيأخذونها ثم يقع لهم عندى المال فلى أن آخذه؟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 ذلك ولاتزد عليه </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اطلاقها عدم الحاجة الى الإستئذان من الحاكم الشرعي ، بل بعد ثبوت الإذن من الشرع لاتعود حاجة إلى الاستئذان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ادّعى مالاً لا يدَ لأحدٍ عليه حكم له به بلا مطالبة بالبينة ، فلقاعدة قبول دعوى المدّعى بلا منازع ، الثابتة بسيرة العقلاء والممضاة بعدم الردع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ذلك أيضاً صحيحة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كانوا جلوساً ، وسطهم كيس ، فيه ألف درهم ، فسأل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ألكم هذا الكيس؟ 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وقال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 ، فلمن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للذى ادّعاه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من ادّعى مالاً فى يد غيره لايحكم به للمدّعى إلاّ إذا أقام البينة ، فلقاعدة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واليمين على من ادّعى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إذا لم‌يكن للمدّعى بينة فبإمكانه المطالبة بإحلاف صاحب اليد ، كما تقدّم توضيح ذلك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بالزوجية عند تصادق الرجل والمرأة عليها بلا مطالبة بالبينة ، فلعدم وجود مدعٍ عليه ليستحق المطالبة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الحاكم تصديقهما تطبيقاً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الحق لايعدوهما فلا معنى لعدم تصديقهما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مع عدم تصديق الطرف الثانى يتحقق عنوان المدّعى والمدّعى عليه </w:t>
      </w:r>
    </w:p>
    <w:p>
      <w:pPr>
        <w:pStyle w:val="BookText"/>
        <w:rPr/>
      </w:pPr>
      <w:r>
        <w:rPr>
          <w:rFonts w:ascii="Amiri" w:hAnsi="Amiri" w:eastAsia="Amiri" w:cs="Amiri"/>
          <w:color w:val="111111"/>
          <w:sz w:val="28"/>
          <w:sz w:val="28"/>
          <w:szCs w:val="28"/>
          <w:rtl w:val="true"/>
          <w:lang w:bidi="ar-SA"/>
        </w:rPr>
        <w:t>فيكون الأول ملزماً بالبينة ، وإذا لم‌يقمها فبإمكان الثانى الحلف لنفى الزوجية واسقاط الدعوي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تصادق الطرفين على الزوجية ، فعلى الرجل الثانى إقامة البينة لو ادّعى الزوجية ، فلأنّه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مع عدم إقامته البينة فبإمكانه طلب احلاف أيّهما شاء وتسقط بذلك الدعوي ، فباعتبار أنّ كل واحد من الرجل والمرأة المتصادقين على الزوجية ينطبق عليه عنوان المدّعى عليه ، فإذا حلف تسقط بذلك الدعوي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ترجيح مدّعى الدوام أو الانقطاع عند اختلاف الزوجين فى دوام العقد وانقطاعه ، فيتضح بعد الالتفات إلى أنّ الاختلاف فى دوام العقد وانقطاعه ينشأ عادة من الاختلاف فى ذكر الأجل فى العقد وعدمه ، فإذا بنى على أن عدم ذكر الأجل مع قصد الانقطاع يوجب قلبه دائماً كما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بعض الروايات ، من قبيل موثقة عبداللّه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فى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سمّي الأجل فهو متعة وإن لم‌يسمِّ الأجل فهو نكاح بات </w:t>
      </w:r>
      <w:r>
        <w:rPr>
          <w:rFonts w:eastAsia="IRNazanin" w:cs="IRNazanin"/>
          <w:color w:val="111111"/>
          <w:sz w:val="28"/>
          <w:szCs w:val="28"/>
          <w:rtl w:val="true"/>
          <w:lang w:bidi="fa-IR"/>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تقديم قول مدّعى الدوام مع يمينه لأصالة عدم ذكر الأجل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بنى على بطلان العقد رأساً عند عدم ذكر الأجل ولو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تقديم قول مدّعى الانقطاع بيمينه؛ لأن دعواه موافقة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اتفاق الطرفين على جعل الزوجية بمقدار الأجل ، والأصل عدم اعتبارها بالمقدار الزائد</w:t>
      </w:r>
      <w:r>
        <w:rPr>
          <w:rFonts w:eastAsia="Amiri" w:cs="Amiri" w:ascii="Amiri" w:hAnsi="Amiri"/>
          <w:color w:val="111111"/>
          <w:sz w:val="28"/>
          <w:szCs w:val="28"/>
          <w:rtl w:val="true"/>
          <w:lang w:bidi="ar-SA"/>
        </w:rPr>
        <w:t xml:space="preserve">. </w:t>
      </w:r>
      <w:bookmarkStart w:id="44" w:name="pg19370_198054"/>
    </w:p>
    <w:p>
      <w:pPr>
        <w:pStyle w:val="Heading2"/>
        <w:numPr>
          <w:ilvl w:val="1"/>
          <w:numId w:val="1"/>
        </w:numPr>
        <w:rPr/>
      </w:pPr>
      <w:bookmarkStart w:id="45" w:name="__RefHeading___Toc17390873_1280447820"/>
      <w:bookmarkStart w:id="46" w:name="_Toc13"/>
      <w:bookmarkEnd w:id="44"/>
      <w:bookmarkEnd w:id="45"/>
      <w:r>
        <w:rPr>
          <w:rtl w:val="true"/>
        </w:rPr>
        <w:t>كتاب الشهادات</w:t>
      </w:r>
      <w:bookmarkEnd w:id="46"/>
    </w:p>
    <w:p>
      <w:pPr>
        <w:pStyle w:val="Heading3"/>
        <w:numPr>
          <w:ilvl w:val="2"/>
          <w:numId w:val="1"/>
        </w:numPr>
        <w:rPr/>
      </w:pPr>
      <w:bookmarkStart w:id="47" w:name="__RefHeading___Toc17390875_1280447820"/>
      <w:bookmarkStart w:id="48" w:name="_Toc14"/>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شرائط الشاهد</w:t>
      </w:r>
    </w:p>
    <w:p>
      <w:pPr>
        <w:pStyle w:val="BookText"/>
        <w:rPr/>
      </w:pPr>
      <w:r>
        <w:rPr>
          <w:rFonts w:ascii="IRNazanin" w:hAnsi="IRNazanin" w:eastAsia="IRNazanin"/>
          <w:color w:val="111111"/>
          <w:sz w:val="28"/>
          <w:sz w:val="28"/>
          <w:szCs w:val="28"/>
          <w:rtl w:val="true"/>
          <w:lang w:bidi="fa-IR"/>
        </w:rPr>
        <w:t>اختلاف الحقوق فى الاثبات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عامة فى باب الشهادات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9370_198056"/>
      <w:bookmarkStart w:id="50" w:name="pg19370_198056"/>
      <w:bookmarkEnd w:id="50"/>
    </w:p>
    <w:p>
      <w:pPr>
        <w:pStyle w:val="Heading3"/>
        <w:numPr>
          <w:ilvl w:val="2"/>
          <w:numId w:val="1"/>
        </w:numPr>
        <w:rPr/>
      </w:pPr>
      <w:bookmarkStart w:id="51" w:name="pg19370_198056"/>
      <w:bookmarkStart w:id="52" w:name="__RefHeading___Toc17390877_1280447820"/>
      <w:bookmarkStart w:id="53" w:name="_Toc15"/>
      <w:bookmarkEnd w:id="51"/>
      <w:bookmarkEnd w:id="52"/>
      <w:r>
        <w:rPr>
          <w:rtl w:val="true"/>
        </w:rPr>
        <w:t>شرائط الشاهد</w:t>
      </w:r>
      <w:bookmarkEnd w:id="53"/>
    </w:p>
    <w:p>
      <w:pPr>
        <w:pStyle w:val="BookText"/>
        <w:rPr/>
      </w:pPr>
      <w:r>
        <w:rPr>
          <w:rFonts w:ascii="Amiri" w:hAnsi="Amiri" w:eastAsia="Amiri" w:cs="Amiri"/>
          <w:color w:val="111111"/>
          <w:sz w:val="28"/>
          <w:sz w:val="28"/>
          <w:szCs w:val="28"/>
          <w:rtl w:val="true"/>
          <w:lang w:bidi="ar-SA"/>
        </w:rPr>
        <w:t xml:space="preserve">يلزم لقبول شهادة الشاهد فى مطلق موارد الشهادة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فلاتقبل شهادة غير البالغ إلاّ فى القتل فإنّه يؤخذ بأول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وفيالتعدى إلي الجرح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الصبي ، وأمّا الصبية فينبغى الجزم بعدم قبول شهادتها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 بل الإيمان فلا تقبل شهادة غير المسلم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الذمّى فى الوصية بالمال إذا لم‌يوجد شاهدان عادلان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شهادة غير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المولد إلاّ فى الشيء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لاتجرّ الشهادة نفعاً ولاتدفع ضرراً ، كشهادة الشريك لشريكه بأنّه اشترى من ثالث عيناً لهما أو شهادة بعض أفراد العاقلة بجرح شهود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لايكون الشاهد ذا عداوة دنيوية مع المشهود عليه ولو لم‌توجب فسقاً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لايكون سائلاً بكفّه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الصبى غير المميّز ، فلايمكن تحقق الشهادة منه ، وأمّا المميّز فقد يدّعي وجود بعض المطلقات الدالة على حجّية شهادته أيضاً ،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إِلَيْهِمْ أَمْوَالَهُمْ فَأَشْهِدُوا عَلَيْهِمْ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 مِنْكُمْ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على تقدير تمامية الإطلاق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المناقشة بكون الخطابات المذكورة فى مقام بيان الحث على الشهادة وطلبها لا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تقييده بصحيحة محمد بن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شهادة الصبى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فى القتل يؤخذ بأول كلامه ولايؤخذ بالثاني </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عدم حجية شهادة غير البالغ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 يَكُونَا رَجُلَيْنِ فَرَجُلٌ وَامْرَأَتَانِ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فإنّ اعتبار بلوغ الشاهد فى باب الدين يدل على اعتباره فى غيره إمّا بالأولوية أو بتنقيح المناط والغاء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يؤخذ بأول كلام الصبى ، فللصحيحة المتقدّمة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الجرح ، فقد قيل بقبول شهادة الصبى فيه أيضاً بالأولوية ، وفى المقابل يمكن أن يقال باختصاص القبول بمورد القتل لاحتمال وجود خصوصية له فى نظر الشارع ، وهى التحفظ على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لازم القول بالأولوية التعدّى إلى جميع الموارد الاُخري ، لأنها أدون من القتل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الجزم فى رفض شهادة الصبية ، أن مثل صحيحة محمد بن حمران المتقدّمة جاءت استثناءً من شرطية البلوغ وليس من شرطية الذكورة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العقل ، فاعتباره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فى الأدوارى لامحذور فى قبول شهادته حالة إفاقته ،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العدالة ، فلا اشكال فى اعتبارها فى الشاهد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تعالي فى شاهدى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شاهدى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 إِذَا حَضَرَ أَحَدَكُمُ الْمَوْتُ حِينَ الْوَصِيَّةِ اثْنَانِ ذَوَا عَدْلٍ مِنْكُمْ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موثقة عبداللّه بن أبى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بين المسلمين حتى تقبل شهادته لهم وعليهم؟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تعرفوه بالستر والعفاف وكف البطن والفرج واليد واللسان ويعرف باجتناب الكبائر التى أوعد اللّه عليها النار من شرب الخمر والزنا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على ذلك كلّه أن يكون ساتراً لجميع عيوبه حتي يحرم على المسلمين ماوراء ذلك من عثراته </w:t>
      </w:r>
      <w:r>
        <w:rPr>
          <w:rFonts w:eastAsia="IRNazanin" w:cs="IRNazanin"/>
          <w:color w:val="111111"/>
          <w:sz w:val="28"/>
          <w:szCs w:val="28"/>
          <w:rtl w:val="true"/>
          <w:lang w:bidi="fa-IR"/>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دلالة واضحة على شرطية العدالة لا بمعناها الدقيق ، بل بمعنى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صحيح محمد بن قيس الآتى دلالة واضحة على المطلوب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اشتراط الاسلام ، فهو من واضحات الفقه ، وقد دلّت على ذلك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شهادة أهل الملّة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لاتجوز إلاّ على أهل ملتهم </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الاستثناء المذكور ، فممّا لاخلاف فيه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w:t>
      </w:r>
      <w:r>
        <w:rPr>
          <w:rFonts w:eastAsia="Amiri" w:cs="Amiri" w:ascii="Amiri" w:hAnsi="Amiri"/>
          <w:color w:val="111111"/>
          <w:sz w:val="28"/>
          <w:szCs w:val="28"/>
          <w:rtl w:val="true"/>
          <w:lang w:bidi="ar-SA"/>
        </w:rPr>
        <w:t xml:space="preserve">... ) </w:t>
      </w:r>
      <w:r>
        <w:rPr>
          <w:rStyle w:val="FootnoteAnchor"/>
          <w:rtl w:val="true"/>
        </w:rPr>
        <w:footnoteReference w:id="55"/>
      </w:r>
      <w:r>
        <w:rPr>
          <w:rFonts w:ascii="Amiri" w:hAnsi="Amiri" w:eastAsia="Amiri" w:cs="Amiri"/>
          <w:color w:val="111111"/>
          <w:sz w:val="28"/>
          <w:sz w:val="28"/>
          <w:szCs w:val="28"/>
          <w:rtl w:val="true"/>
          <w:lang w:bidi="ar-SA"/>
        </w:rPr>
        <w:t xml:space="preserve">والروايات الكثيرة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الإيمان ، فلا إشكال فى اشتراطه إذا كان غير المؤمن معانداً ، لأنّه فاسق ، والحديث الشريف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أقبل شهادة الفاسق إلاّ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فى صحيح محمد بن قيس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مستضعفاً فالمشهور عدم قبول شهادته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لم‌يفصلوا في رفض شهادة غير المؤمن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الشهيد الثانى قدس سره شكّك فى ذلك وأبرز احتمال قبول شهادته ، لوجود المقتضى وفقدان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وجود المقتضي ، فلإطلاق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فيصحيحة محمدبن‌مسلم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لوكان الأمر إلينا لأجزنا شهادة الرجل إذا علم منه خير مع يمين الخصم فى حقوق الناس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فقدان المانع فلأنّ مايتصور كونه مانعاً ليس إلاّ صدق عنوان الفاسق عليه ، وهو مدفوع ، باعتبار أنّ صدقه يختص بالمعاند ، أى الذى يفعل المعصية وهو يعلم أنّها معصية دون من يرتكبها وهو يعتقد أنّها طاعة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العدالة لايختص بالإمامي ، بل تتحقق فى جميع أهل الملل مع قيامهم بمقتضاها بحسب اعتقادهم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طهارة المولد ، فقد دلّت عليه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لاتجوز شهادة ولد الزنا </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استثناء اليسير ، فلصحيحة عيسى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شهادة ولد الزنا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لاتجوز إلاّ فى الشيء اليسير إذا رأيت منه صلاحاً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لاتجر الشهادة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الاستدلال له بالوجهين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يردّ من الشهود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 والخصم والشريك ، ودافع مغرم ، والأجير ، والعبد ، والتابع ، والمتهم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تردّ شهادتهم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فإنّ المنصرف من الشريك ، شهادته لشريكه فى ما هو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ثابت بمقتضى القاعدة ، فإنّ‌الشريك إذا شهدبشراء عين مشتركة لهما يصير الشاهد مدّعياً والمدّعى شاهداً ، وعدم جواز مثل ذلك لايحتاج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قبول شهادة من يدفع عن نفسه بشهادته ضرراً ، فلأنّه بمثابة المدّعى عليه ، ولا معنى لقبول شهادته ويصدق عليه عنوان الخصم المذكور في موثقة سماعة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عدم العداوة الدنيوية ، فلموثقة اسماعيل بن مسلم عن الصادق عن أبيه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لاتقبل شهادة ذى شحناء أو ذى مخزية فى الدين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وقع فى بلية يشار اليه بها ، كالمحدود قبل توبته وولدالزنا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9370_198061"/>
    </w:p>
    <w:p>
      <w:pPr>
        <w:pStyle w:val="BookText"/>
        <w:rPr/>
      </w:pPr>
      <w:bookmarkEnd w:id="54"/>
      <w:r>
        <w:rPr>
          <w:rFonts w:ascii="Amiri" w:hAnsi="Amiri" w:eastAsia="Amiri" w:cs="Amiri"/>
          <w:color w:val="111111"/>
          <w:sz w:val="28"/>
          <w:sz w:val="28"/>
          <w:szCs w:val="28"/>
          <w:rtl w:val="true"/>
          <w:lang w:bidi="ar-SA"/>
        </w:rPr>
        <w:t>وإطلاقها يقتضى عدم الفرق بين استلزام العداوة الفسق وعدمه ، هذا في العداوة 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العداوة الاُخروية فلاتمنع جزماً ، فإنّها تؤكد العدالة ، والموثقة منصرفة عن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فى صحيحة أبى عبيدة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المسلمين على جميع أهل الملل ولاتجوز شهادة أهل الذمّة على المسلمين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منع السؤال بالكف عن قبول الشهادة ، فلصحيحة على بن جعفر عن أخيه أبى الحسن موسى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السائل الذى يسأل بكفّه هل تقبل شهادته؟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أبى لايقبل شهادته إذا سأل فى كفّه </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ما إذا اتّخذ ذلك حرفة ، دون ما لو تحققت مرّة أو مرّتين لعارض ، للانصراف عن مثل ذلك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390879_1280447820"/>
      <w:bookmarkStart w:id="56" w:name="_Toc16"/>
      <w:bookmarkEnd w:id="55"/>
      <w:r>
        <w:rPr>
          <w:rtl w:val="true"/>
        </w:rPr>
        <w:t>اختلاف الحقوق فى الاثبات</w:t>
      </w:r>
      <w:bookmarkEnd w:id="56"/>
    </w:p>
    <w:p>
      <w:pPr>
        <w:pStyle w:val="BookText"/>
        <w:rPr/>
      </w:pPr>
      <w:r>
        <w:rPr>
          <w:rFonts w:ascii="Amiri" w:hAnsi="Amiri" w:eastAsia="Amiri" w:cs="Amiri"/>
          <w:color w:val="111111"/>
          <w:sz w:val="28"/>
          <w:sz w:val="28"/>
          <w:szCs w:val="28"/>
          <w:rtl w:val="true"/>
          <w:lang w:bidi="ar-SA"/>
        </w:rPr>
        <w:t>تثبت الدعوى بمقتضى الأصل الأوّلى بالبينة ، أى بشهادة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الدين </w:t>
      </w:r>
      <w:r>
        <w:rPr>
          <w:rStyle w:val="FootnoteAnchor"/>
          <w:rtl w:val="true"/>
        </w:rPr>
        <w:footnoteReference w:id="66"/>
      </w:r>
      <w:r>
        <w:rPr>
          <w:rFonts w:ascii="Amiri" w:hAnsi="Amiri" w:eastAsia="Amiri" w:cs="Amiri"/>
          <w:color w:val="111111"/>
          <w:sz w:val="28"/>
          <w:sz w:val="28"/>
          <w:szCs w:val="28"/>
          <w:rtl w:val="true"/>
          <w:lang w:bidi="ar-SA"/>
        </w:rPr>
        <w:t>على الميت ، فإنّها لاتثبت بالبينة وحدها ، بل مع ضم يمين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الدين على الحي ، فإنّها كما تثبت بشهادة رجلين كذلك تثبت بشهادة رجل ويمين المدّعي ، وبرجل وامرأتين ، وبامرأتين ويمين المدّعي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عين من الأموال على الحي ، فإنّها تثبت بما سبق ما عدا الرجل والمرأتين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 والمساحقة ، فإنهما لايثبتان إلاّ بشهادة أربعة رجال 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 ، فإنّه لايثبت إلاّ بشهادة أربعة رجال عدول أو ثلاثة وامرأتين ، بل برجلين وأربع نساء ، غايته يثبت الجلد بذلك دون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والدية ، فإنّهما كما يثبتان بشهادة عدلين كذلك يثبتان برجل وامرأتين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العذرة ، </w:t>
      </w:r>
      <w:r>
        <w:rPr>
          <w:rStyle w:val="FootnoteAnchor"/>
          <w:rtl w:val="true"/>
        </w:rPr>
        <w:footnoteReference w:id="67"/>
      </w:r>
      <w:r>
        <w:rPr>
          <w:rFonts w:ascii="Amiri" w:hAnsi="Amiri" w:eastAsia="Amiri" w:cs="Amiri"/>
          <w:color w:val="111111"/>
          <w:sz w:val="28"/>
          <w:sz w:val="28"/>
          <w:szCs w:val="28"/>
          <w:rtl w:val="true"/>
          <w:lang w:bidi="ar-SA"/>
        </w:rPr>
        <w:t>والعيوب الباطنية للنساء ، والرضاع ، وكلّ مالايجوز للرجال النظر إليه ، فإنّه يثبت بأربع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لشخص بمال ، فإنّه يثبت ربعه بشهادة امرأة واحدة ، ونصفه بشهادة ثنتين ، وعلى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شهدت القابلة بل مطلق المرأة باستهلال الطفل عند فرض موت أبيه ، فإنّه يرث ربع التركة بذلك ، ولو شهدت ثنتان ورث النصف ، وعلى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شهدت المرأة بالقتل ، فإنّه يثبت ربع الدية ، وإذا شهدت ثنتان يثبت نصفها ، وعلى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الأصل الأوّلى فى الإثبات هو البينة ، بمعنى شهادة رجلين عدلين ، فلأن ذلك هو المنصرف من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فى الإثبات فى مثل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ادّعي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أقضى بينكم بالبينات والأيمان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التشكيك فى ذلك يمكن التمسك بالإطلاق المقامي ، فإنَّ الوسيلة </w:t>
      </w:r>
    </w:p>
    <w:p>
      <w:pPr>
        <w:pStyle w:val="BookText"/>
        <w:rPr/>
      </w:pPr>
      <w:r>
        <w:rPr>
          <w:rFonts w:ascii="Amiri" w:hAnsi="Amiri" w:eastAsia="Amiri" w:cs="Amiri"/>
          <w:color w:val="111111"/>
          <w:sz w:val="28"/>
          <w:sz w:val="28"/>
          <w:szCs w:val="28"/>
          <w:rtl w:val="true"/>
          <w:lang w:bidi="ar-SA"/>
        </w:rPr>
        <w:t>المعروفة فى الإثبات هى شهادة عدلين ، والسكوت عن تحديد البينة لابدَّ وأن يكون اعتماداً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ضمّ يمين المدّعى إلى البينة فى دعوى الدين على الميت ، فلم ينقل فيه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لذلك بصحيحة محمد بن يحيي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محمد بن الحسن يعنى الصفار إلى أبى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تقبل شهادة الوصى للميت بدين له على رجل مع شاهد آخر عدل؟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معه آخر عدل فعلى المدّعى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أو تقبلُ شهادة الوصى على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شاهد آخر عدل؟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بعد يمين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بتقريب أنّ قوله علیه السلام فى الذيل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بعد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يمين المدّعى لا يمين الوصي الذى هو أحد الشاهدين بقرينة التعبير فى الصدر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فعلى المدّعى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فإطلاق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الذيل جاء اعتماداً على تقييدها بالمدّعى فى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ثبوت الدين على الحى برجلٍ ويمين المدّعى ، فممّا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روايات كثيرة كادت أن تبلغ حدَّ التواتر ، من قبيل صحيحة محمد ابن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يجيز فى الدين شهادة رجل واحد ويمين صاحب الدين ولم‌يجز فى الهلال إلاّ شاهدى عدل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ثبوت ذلك برجل وامرأتين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 وصحيحة الحلبى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تجوز شهادة النساء مع الرجل فى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Style w:val="FootnoteAnchor"/>
          <w:rtl w:val="true"/>
        </w:rPr>
        <w:footnoteReference w:id="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ثبوت ذلك بامرأتين ويمين المدعى ، فلصحيحة الحلبى الأخرى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أجاز شهادة النساء مع يمين الطالب فى الدين يحلف باللّه إنَّ حقّه لحق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شهادة النساء شهادة امرأتين؛ لأن الديون حيث يكفى لإثباتها رجل ويمين ، فيلزم أن يكون القائم مقام الرجل هو المرأتين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الأعيان تثبت بشاهدٍ ويمين ، فلإطلاق بعض النصوص ، من قبيل صحيحة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يقضى بشاهدٍ واحد مع يمين صاحب الحق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ثبوتها بامرأتين مع اليمين ، فلصحيحة منصور بن حازم الاُخري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الحسن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لطالب الحق امرأتان ويمينه فهو جائز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أنّها لاتثبت برجل وامرأتين ، فلاختصاص دليل اعتبار ذلك وهو الآية الكريمة وصحيحة الحلبى المتقدمتان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 فيتمسك بالأصل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المنسوب إلى المشهور هو التعدى إمّا لإلغاء خصوصية المورد أو لأنّ الأعيان إذا كانت تثبت برجلٍ ويمين المدّعى فيلزم أن تثبت برجل وامرأتين أيضاً لقيام المرأتين مقام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كما تري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اللواط والمساحقة لايثبتان إلاّ بأربعة رجال ، فقد ذكر صاحب </w:t>
      </w:r>
    </w:p>
    <w:p>
      <w:pPr>
        <w:pStyle w:val="BookText"/>
        <w:rPr/>
      </w:pPr>
      <w:r>
        <w:rPr>
          <w:rFonts w:ascii="Amiri" w:hAnsi="Amiri" w:eastAsia="Amiri" w:cs="Amiri"/>
          <w:color w:val="111111"/>
          <w:sz w:val="28"/>
          <w:sz w:val="28"/>
          <w:szCs w:val="28"/>
          <w:rtl w:val="true"/>
          <w:lang w:bidi="ar-SA"/>
        </w:rPr>
        <w:t>الجواهر عدم عثوره فى النصوص على ما يدل على ذلك وإن كان ذلك أمراً متسالماً عليه بين الأصحاب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بالإمكان التمسّك فى المساحقة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فإنّ الفاحشة لاتختص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اللواط فقد يتمسك لاعتبار الأربعة بمقدّمتين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اللواط يثبت بالاقرار أربع مرّات ، كما دلّت عليه بعض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إقرار واحد منزل منزلة شهادة واحدة ، كما دلّت عليه بعض النصوص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المقدمتين المذكورتين عدم ثبوت اللواط إلاّ بأربع شهادات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الدال على المقدّمة الاُولى فهو صحيحة مالك بن عطية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أمير المؤمنين علیه السلام فى ملاءٍ </w:t>
      </w:r>
      <w:r>
        <w:rPr>
          <w:rStyle w:val="FootnoteAnchor"/>
          <w:rtl w:val="true"/>
        </w:rPr>
        <w:footnoteReference w:id="79"/>
      </w:r>
      <w:r>
        <w:rPr>
          <w:rFonts w:ascii="IRNazanin" w:hAnsi="IRNazanin" w:eastAsia="IRNazanin"/>
          <w:color w:val="111111"/>
          <w:sz w:val="28"/>
          <w:sz w:val="28"/>
          <w:szCs w:val="28"/>
          <w:rtl w:val="true"/>
          <w:lang w:bidi="fa-IR"/>
        </w:rPr>
        <w:t xml:space="preserve">من أصحابه إذ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إنى أوقبت </w:t>
      </w:r>
      <w:r>
        <w:rPr>
          <w:rStyle w:val="FootnoteAnchor"/>
          <w:rtl w:val="true"/>
        </w:rPr>
        <w:footnoteReference w:id="80"/>
      </w:r>
      <w:r>
        <w:rPr>
          <w:rFonts w:ascii="Amiri" w:hAnsi="Amiri" w:eastAsia="Amiri" w:cs="Amiri"/>
          <w:color w:val="111111"/>
          <w:sz w:val="28"/>
          <w:sz w:val="28"/>
          <w:szCs w:val="28"/>
          <w:rtl w:val="true"/>
          <w:lang w:bidi="ar-SA"/>
        </w:rPr>
        <w:t xml:space="preserve">على غلام فطهِّرني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امضِ إلى منزلك لعلَّ مراراً </w:t>
      </w:r>
      <w:r>
        <w:rPr>
          <w:rStyle w:val="FootnoteAnchor"/>
          <w:rtl w:val="true"/>
        </w:rPr>
        <w:footnoteReference w:id="81"/>
      </w:r>
      <w:r>
        <w:rPr>
          <w:rFonts w:ascii="IRNazanin" w:hAnsi="IRNazanin" w:eastAsia="IRNazanin"/>
          <w:color w:val="111111"/>
          <w:sz w:val="28"/>
          <w:sz w:val="28"/>
          <w:szCs w:val="28"/>
          <w:rtl w:val="true"/>
          <w:lang w:bidi="fa-IR"/>
        </w:rPr>
        <w:t>هاج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غد عاد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إنّى أوقبت على غلامٍ فطهِّرني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منزلك لعلَّ مراراً هاج بك ، حتى فعل ذلك ثلاثاً بعد مرّته الاُولي ، فلمّا كان فى الرابعة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ياهذا إنّ رسول اللّه صلی اللّه علیه و آله حكم فى مثلك </w:t>
      </w:r>
    </w:p>
    <w:p>
      <w:pPr>
        <w:pStyle w:val="BookText"/>
        <w:rPr/>
      </w:pPr>
      <w:r>
        <w:rPr>
          <w:rFonts w:ascii="Amiri" w:hAnsi="Amiri" w:eastAsia="Amiri" w:cs="Amiri"/>
          <w:color w:val="111111"/>
          <w:sz w:val="28"/>
          <w:sz w:val="28"/>
          <w:szCs w:val="28"/>
          <w:rtl w:val="true"/>
          <w:lang w:bidi="ar-SA"/>
        </w:rPr>
        <w:t>بثلاثة أحكام فاختر أيّهن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بالسيف فى عنقك بالغة ما بلغت ، اهداب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اهداء</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من جبل مشدود اليدين والرجلين ، أو إحراق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أيّهنَّ أشد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الاحراق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قد اخترتها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لذلك أُهبتك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ركعتين ثم جلس فى تشهده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قد أتيت من الذنب ما قد علمته وإنّى تخوفت من ذلك فأتيت إلى وصيّ رسولك وابن عمّ نبيّك فسألته أن يطهِّرنى فخيرنى ثلاثة أصناف من العذاب ، اللّهم فإنّى اخترت أشدّهن ، اللّهم فإنّى أسألك أن تجعل ذلك كفارة لذنوبى وأن لاتحرقنى بنارك فى آخرتي ، ثم قام وهو باكٍ حتى دخل الحفيرة التي حفرها له أمير المؤمنين علیه السلام وهو يرى النار تتأجج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أمير المؤمنين علیه السلام وبكى أصحابه جميعاً ،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هذا فقد أبكيت ملائكة السماء وملائكة الأرض ، فإنَّ اللّه قد تاب عليك</w:t>
      </w:r>
      <w:r>
        <w:rPr>
          <w:rStyle w:val="FootnoteAnchor"/>
          <w:rtl w:val="true"/>
        </w:rPr>
        <w:footnoteReference w:id="83"/>
      </w:r>
      <w:r>
        <w:rPr>
          <w:rFonts w:ascii="Amiri" w:hAnsi="Amiri" w:eastAsia="Amiri" w:cs="Amiri"/>
          <w:color w:val="111111"/>
          <w:sz w:val="28"/>
          <w:sz w:val="28"/>
          <w:szCs w:val="28"/>
          <w:rtl w:val="true"/>
          <w:lang w:bidi="ar-SA"/>
        </w:rPr>
        <w:t xml:space="preserve">فقم ولا تعاودن شيئاً ممّا فعلت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الدال على المقدمة الثانية فهو ما رواه سعد بن طريف عن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أتت أمير المؤمنين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إنّى زنيت فطهِّرنى طهّرك اللّه فإنَّ عذاب الدنيا أيسر من عذاب الآخرة الذى لاينقطع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أطهِّرك؟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الزنا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 بعل أنت أم غير ذات بعل؟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بعل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فحاضراً كان بعلك أم غائباً؟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انتظرى حتى تضعى مافى بطنك ثم ائتيني ، فلمّا ولّت عنه من حيث لاتسمع كلامه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شهادة ، فلم تلبث أن أتته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وضعت فطهِّرني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اذهبى حتى ترضعيه ، فلمّا ولّت حيث لاتسمع </w:t>
      </w:r>
    </w:p>
    <w:p>
      <w:pPr>
        <w:pStyle w:val="BookText"/>
        <w:rPr/>
      </w:pPr>
      <w:r>
        <w:rPr>
          <w:rFonts w:ascii="IRNazanin" w:hAnsi="IRNazanin" w:eastAsia="IRNazanin"/>
          <w:color w:val="111111"/>
          <w:sz w:val="28"/>
          <w:sz w:val="28"/>
          <w:szCs w:val="28"/>
          <w:rtl w:val="true"/>
          <w:lang w:bidi="fa-IR"/>
        </w:rPr>
        <w:t xml:space="preserve">كلامه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شهادتان ، فلما أرضعته عادت إليه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إنّى زنيت فطهِّرني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اذهبى فاكفليه حتى يعقل أن يأكل ويشرب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وهى تبكي ، فلمّا ولّت حيث لاتسمع كلامه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ثلاث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الرابعة رفع أمير المؤمنين علیه السلام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قد أثبتتُ ذلك عليها أربع شهادات </w:t>
      </w:r>
      <w:r>
        <w:rPr>
          <w:rFonts w:eastAsia="IRNazanin" w:cs="IRNazanin"/>
          <w:color w:val="111111"/>
          <w:sz w:val="28"/>
          <w:szCs w:val="28"/>
          <w:rtl w:val="true"/>
          <w:lang w:bidi="fa-IR"/>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الزنا لايثبت بأقلّ من أربعة ، فممّا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جَاءُوا بِالْإِفْكِ عُصْبَةٌ مِنْكُمْ لَا تَحْسَبُوهُ شَرًّا لَكُمْ بَلْ 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جَاءُوا عَلَيْهِ بِأَرْبَعَةِ شُهَدَاءَ </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 مِنْكُمْ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والروايات فى ذلك كادت أن تبلغ حدَّ التواتر ، من قبيل موثقة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لايرجم الرجل والمرأة حتى يشهد عليهما أربعة شهداء على الجماع والإيلاج والإدخال كالميل فى المكحلة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يثبت بثلاثة رجال وامرأتين ، وبرجلين وأربع نساء بالنسبة إلى الجلد ، فلصحيحة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رجل محصن فجر بامرأة فشهد عليه ثلاثة رجال وامرأتان وجب عليه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شهد عليه رجلان وأربع نسوة فلاتجوز </w:t>
      </w:r>
    </w:p>
    <w:p>
      <w:pPr>
        <w:pStyle w:val="BookText"/>
        <w:rPr/>
      </w:pPr>
      <w:r>
        <w:rPr>
          <w:rFonts w:ascii="Amiri" w:hAnsi="Amiri" w:eastAsia="Amiri" w:cs="Amiri"/>
          <w:color w:val="111111"/>
          <w:sz w:val="28"/>
          <w:sz w:val="28"/>
          <w:szCs w:val="28"/>
          <w:rtl w:val="true"/>
          <w:lang w:bidi="ar-SA"/>
        </w:rPr>
        <w:t xml:space="preserve">شهادتهم ولايرجم ولكن يضرب حدَّ الزاني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ثبوت النكاح برجل وامرأتين ، فلصحيحة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شهادة النساء فى النكاح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إذا كان معهنّ رجل </w:t>
      </w:r>
      <w:r>
        <w:rPr>
          <w:rFonts w:eastAsia="IRNazanin" w:cs="IRNazanin"/>
          <w:color w:val="111111"/>
          <w:sz w:val="28"/>
          <w:szCs w:val="28"/>
          <w:rtl w:val="true"/>
          <w:lang w:bidi="fa-IR"/>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ثبوت الدية بذلك ، فلصحيحة جميل بن دراج ومحمد بن حمران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أتجوز شهادة النساء فى الحدود؟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القتل وحده ، 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لايبطل دم امري‌ءٍ مسلم </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فإنه بعد ضمها إلى موثقة غياث ابن ابراهيم عن جعفر بن محمد عن أبيه عن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لاتجوز شهادة النساء فى الحدود ولا فى القود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يفهم أنّ الذى لايثبت بشهادة النساء فى باب القتل هو القود دون الدية ، إذ بعدم ثبوت الدية يلزم بطلان دم المسلم ، بخلاف نفى القود مع ثبوت الدية فإنّه لايلزم منه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ثبوت العذرة وما تلاها بأربع نساء ، فلموثقة عبداللّه بن بكير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شهادة النساء فى العذرة وكل عيب لايراه الرجل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وصحيحة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شهادة النساء وحدهنّ بلا رجال فى كل مالايجوز للرجال النظر إليه </w:t>
      </w:r>
      <w:r>
        <w:rPr>
          <w:rFonts w:eastAsia="IRNazanin" w:cs="IRNazanin"/>
          <w:color w:val="111111"/>
          <w:sz w:val="28"/>
          <w:szCs w:val="28"/>
          <w:rtl w:val="true"/>
          <w:lang w:bidi="fa-IR"/>
        </w:rPr>
        <w:t xml:space="preserve">... » </w:t>
      </w:r>
      <w:r>
        <w:rPr>
          <w:rStyle w:val="FootnoteAnchor"/>
          <w:rtl w:val="true"/>
        </w:rPr>
        <w:footnoteReference w:id="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الحال فيالرضاع ، فإنّه ممّا لايراه الرجال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أن تكون النساء أربع بالرغم من إطلاق النصوص ، فلأنّ القائم مقام </w:t>
      </w:r>
    </w:p>
    <w:p>
      <w:pPr>
        <w:pStyle w:val="BookText"/>
        <w:rPr/>
      </w:pPr>
      <w:r>
        <w:rPr>
          <w:rFonts w:ascii="Amiri" w:hAnsi="Amiri" w:eastAsia="Amiri" w:cs="Amiri"/>
          <w:color w:val="111111"/>
          <w:sz w:val="28"/>
          <w:sz w:val="28"/>
          <w:szCs w:val="28"/>
          <w:rtl w:val="true"/>
          <w:lang w:bidi="ar-SA"/>
        </w:rPr>
        <w:t>رجلين هو أربع 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الوصية تثبت بالنحو المتقدم ، فلصحيحة محمد بن قيس عن أبيجعفر علیه السلام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فى وصية لم‌تشهدها إلاّ امرأة فأجاز شهادة المرأة فى ربع الوصية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القابلة تمضى شهادتها بلحاظ الربع ، فلصحيحة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رجل مات وترك امرأته وهى حامل فوضعت بعد موته غلاماً ثم مات الغلام بعد ما وقع إلى الأرض ، فشهدت المرأة التى قبَّلتها أنّه استهلّ وصاح حين وقع إلى الأرض ثم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إلامام أن يجيز شهادتها فى ربع ميراث الغلام </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تعميم الحكم لمطلق المرأة فلما يستفاد من بعض النصوص ، من قبيل 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تجوز شهادة النساء وحدهنّ؟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فى العذرة والنفساء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مادلَّ على ثبوت ربع التركة بشهادة القابلة ليس له دلالة على تقييد الحكم بها ، بل كان ذلك مورد السؤال ، ومعه يتعدّى إلى غيره لعدم فهم الخصوصية بلا حاجة إلى البحث عن إطلاق يعم مطلق المرأة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الدية يثبت ربعها بشهادة المرأة الواحدة ونصفها بشهادة ثنتين وهكذا ، فلصحيحة محمد بن قيس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في غلام شهدت عليه امرأة أنّه دفع غلاماً فى بئر فقتله ، فأجاز شهادة المرأة بحساب </w:t>
      </w:r>
      <w:bookmarkStart w:id="57" w:name="pg19370_198070"/>
    </w:p>
    <w:p>
      <w:pPr>
        <w:pStyle w:val="BookText"/>
        <w:rPr/>
      </w:pPr>
      <w:bookmarkEnd w:id="57"/>
      <w:r>
        <w:rPr>
          <w:rFonts w:ascii="Amiri" w:hAnsi="Amiri" w:eastAsia="Amiri" w:cs="Amiri"/>
          <w:color w:val="111111"/>
          <w:sz w:val="28"/>
          <w:sz w:val="28"/>
          <w:szCs w:val="28"/>
          <w:rtl w:val="true"/>
          <w:lang w:bidi="ar-SA"/>
        </w:rPr>
        <w:t xml:space="preserve">شهادة المرأة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فإنّ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شهادة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النصف بشهادة المرأتين ، وهكذا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7390881_1280447820"/>
      <w:bookmarkStart w:id="59" w:name="_Toc17"/>
      <w:bookmarkEnd w:id="58"/>
      <w:r>
        <w:rPr>
          <w:rtl w:val="true"/>
        </w:rPr>
        <w:t>أحكام عامة فى باب الشهادات</w:t>
      </w:r>
      <w:bookmarkEnd w:id="59"/>
    </w:p>
    <w:p>
      <w:pPr>
        <w:pStyle w:val="BookText"/>
        <w:rPr/>
      </w:pPr>
      <w:r>
        <w:rPr>
          <w:rFonts w:ascii="Amiri" w:hAnsi="Amiri" w:eastAsia="Amiri" w:cs="Amiri"/>
          <w:color w:val="111111"/>
          <w:sz w:val="28"/>
          <w:sz w:val="28"/>
          <w:szCs w:val="28"/>
          <w:rtl w:val="true"/>
          <w:lang w:bidi="ar-SA"/>
        </w:rPr>
        <w:t>لاتجوز الشهادة إلاّ مع العلم بالمشهود به عن حس أو مايقرب منه ، كالحاصل من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الشهادة مع الدعوة إلى ذلك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أداؤها بعد التحمل فيما إذا تحققت الدعوة إلى التحمّل ، وإلاّ ثبت التخيير بين الأداء وعدمه ، إلاّ إذا كان أحد الطرفين ظالماً فيجب أداؤها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وتقبل الشهادة على الشهادة فى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والنسب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حقوق اللّه سبحانه ، سواء كانت خاصة أم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الاشهاد إلاّ فى الطلاق والظهار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وتصدَّق المرأة فيدعواها أنّها خلية وأنّ عدّتها قدانقضت ، إلاّ إذا ادّعت‌ذلك بشكل مخالف للعادة الجارية بين‌النساء ، كما إذا ادّعت أنّها حاضت فيشهر واحد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العلم فى جواز الشهادة ، فلأنّها قسم من الأخبار الجازم وهو لايجوز بدون العلم وإلاّ يلزم الكذب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صحيحة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أبى ليلى يسألني الشهادة عن</w:t>
      </w:r>
      <w:r>
        <w:rPr>
          <w:rStyle w:val="FootnoteAnchor"/>
          <w:rtl w:val="true"/>
        </w:rPr>
        <w:footnoteReference w:id="100"/>
      </w:r>
      <w:r>
        <w:rPr>
          <w:rFonts w:ascii="Amiri" w:hAnsi="Amiri" w:eastAsia="Amiri" w:cs="Amiri"/>
          <w:color w:val="111111"/>
          <w:sz w:val="28"/>
          <w:sz w:val="28"/>
          <w:szCs w:val="28"/>
          <w:rtl w:val="true"/>
          <w:lang w:bidi="ar-SA"/>
        </w:rPr>
        <w:t xml:space="preserve">هذه الدار مات فلان وتركها ميراثاً وإنّه ليس له وارث غير الذي شهدنا </w:t>
      </w:r>
    </w:p>
    <w:p>
      <w:pPr>
        <w:pStyle w:val="BookText"/>
        <w:rPr/>
      </w:pPr>
      <w:r>
        <w:rPr>
          <w:rFonts w:ascii="Amiri" w:hAnsi="Amiri" w:eastAsia="Amiri" w:cs="Amiri"/>
          <w:color w:val="111111"/>
          <w:sz w:val="28"/>
          <w:sz w:val="28"/>
          <w:szCs w:val="28"/>
          <w:rtl w:val="true"/>
          <w:lang w:bidi="ar-SA"/>
        </w:rPr>
        <w:t xml:space="preserve">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أبى ليلى يحلفنا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إنّما هو على علمك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إنّما تشهد أو تحلف على ما تعلم من ذلك دون ما لاتعلم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واضمارها لايضرّ بعدما كان المضمر من أجلاّء الأصحاب الذين لايحتمل في حقهم الرواية من غير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الاضمار هو فى رواية الكافي ، </w:t>
      </w:r>
      <w:r>
        <w:rPr>
          <w:rStyle w:val="FootnoteAnchor"/>
          <w:rtl w:val="true"/>
        </w:rPr>
        <w:footnoteReference w:id="102"/>
      </w:r>
      <w:r>
        <w:rPr>
          <w:rFonts w:ascii="IRNazanin" w:hAnsi="IRNazanin" w:eastAsia="IRNazanin"/>
          <w:color w:val="111111"/>
          <w:sz w:val="28"/>
          <w:sz w:val="28"/>
          <w:szCs w:val="28"/>
          <w:rtl w:val="true"/>
          <w:lang w:bidi="fa-IR"/>
        </w:rPr>
        <w:t xml:space="preserve">وإلاّ فالشيخ نقلها مسندة إلى الإمام علیه السلام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مستند العلم لابدَّ من كونه الحس أو مايقرب منه ، فذلك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لأنّ سكوت الروايات عن بيان مستند الشهادة يفهم منه إيكال القضية إلي العرف ، وهو يعتبر 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الشهادة عن حدس لادليل على اعتبارها فلاتكون حجة ، بخلاف ماكانت عن حس ، فإنّها القدر المتيقن من دليل جواز الشهادة ، وهكذا إذا كان مستندها يقرب من‌الحس ، حيث لايحتمل الفرق بينها وبين ما إذا كانت مستندة إلى الحس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ممّا يؤكد اعتبار كون المدرك العلم عن حس او ما يقرب منه رواية علي بن غراب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لاتشهدنّ بشهادة حتى تعرفها كما تعرف كفّك </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 فإنّ ضعفها بابن غراب وغيره لايمنع من التمسّك بها على مستوى التأييد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مارواه المحقق فى الشرائع عن النبى صلی اللّه علیه و آله مرسلاً حينما سئل عن الشهادة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ترى الشمس؟ على مثلها فاشهد أو دع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تحمّل الشهادة مع الدعوة إليه ، فهو المعروف بين الأصحاب 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الشهداء إذا مادعوا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بعد الغاء خصوصية المورد بفهم العرف ، ولصحيحة أبى الصباح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ولايأبَ الشهداء إذا ما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لاينبغى لأحد إذا دعى إلى شهادة ليشهد عليها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لكم عليها </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نقل صاحب الجواهر عن ابن‌ادريس أنّ الآية الكريمة ناظرة إلى أداء الشهادة دون تحملها بقرينة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فى تمامية الشهادة وتحققها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صاحب الجواهر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ماقبل الآية المذكورة وما بعدها يعطى أنّها فى صدد بيان بعض الآداب الشرعية ، كقوله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وليكتب بينكم كاتب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تسأموا أن تكتبوه صغيراً أو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كاتب أن 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 يكون المناسب حمل فقرة الاستشهاد على بيان الكراهة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فقد ورد فيها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الروايات ظاهر فى الالزام ، من قبيل ما رواه داود بن سرحان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يأب الشاهد أن يجيب حين يدعى قبل الكتاب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المراد من الكتاب كتابة الدين المشار اليه قى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وليكتب بينكم كاتب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والمعنى لايأبَ الشاهد عن تحمل الشهادة اذا دعى اليها قبل الكتابة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الرواية</w:t>
      </w:r>
    </w:p>
    <w:p>
      <w:pPr>
        <w:pStyle w:val="BookText"/>
        <w:rPr/>
      </w:pPr>
      <w:r>
        <w:rPr>
          <w:rFonts w:ascii="Amiri" w:hAnsi="Amiri" w:eastAsia="Amiri" w:cs="Amiri"/>
          <w:color w:val="111111"/>
          <w:sz w:val="28"/>
          <w:sz w:val="28"/>
          <w:szCs w:val="28"/>
          <w:rtl w:val="true"/>
          <w:lang w:bidi="ar-SA"/>
        </w:rPr>
        <w:t>المذكورة لايبقى مجال لكل ماذكر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أداء الشهادة ، فلم ينقل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بعد الغاء خصوصية المورد بفهم العرف ، وقوله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يأب الشهداء إذا ما دعوا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لاطلاقه الشامل للأداء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ومجردذكرذلك بعد طلب‌الاستشهاد بشهيدين لايدل علي‌الاختصاص بالتحمّل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اشتراط وجوب الأداء بالدعوة إلى التحمّل ، فلصحيحة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 الرجل الشهادة ولم‌يشهد عليها فهو بالخيار إن شاء شهد وإن شاء سكت إلاّ إذا علم من الظالم فيشهد ولايحل له أن لايشهد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ولولاها كان المناسب الوجوب مطلقاً ، لإطلاق الآيتين الكريمتين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حالة ظلم أحد الطرفين ، فلوجوب إزالة الظلم والصحيحة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الشهادة على الشهادة ، فهى مقبولة عندنا من دون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ولاتثبت شهادة الأصل إلاّ بشهادة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القاعدة لذلك ، فإنّ شهادة الأصل كسائر الأشياء مشمولة لإطلاق أدلة حجية الشهادة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الخاصة ، كموثقة طلحة بن زيد عن أبى عبداللّه علیه السلام عن أبيه عن </w:t>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لايجيز شهادة رجل على رجل إلاّ شهادة رجلين على رجل </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ورد فى موثقة غياث بن ابراهيم عن جعفر عن أبيه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أقبل شهادة رجلٍ على رجلٍ حيٍ وإن كان باليمن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والمقصود من اليمن البلاد المعروفة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 ذلك على 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اُجيز شهادة شخص واحد من دون انضمام ثانٍ إليه لإثبات شهادة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ذلك موثقته الاُخري ، حيث ورد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علیه السلام كان لايجيز شهادة رجل على شهادة رجل إلاّ شهادة رجلين على شهادة رجل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حدود اللّه سبحانه ، فلموثقة طلحة بن زيد عن أبى عبداللّه علیه السلام عن أبيه عن 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لايجيز شهادة على شهادة فى حدٍ </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عدم الفرق بين كون الحدّ خاصاً باللّه سبحانه او مشتركاً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وطلحة وإن لم‌يوثق إلاّ أنّ تعبير الشيخ عنه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عامّى المذهب إلاّ أنّ كتابه معتمد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يسهّل الأمر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الاشهاد فى غير الطلاق والظهار ، فللأصل بعد عدم الدليل على الاعتبار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اعتباره فى الطلاق ، فممّا لاخلاف فيه عندنا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w:t>
      </w:r>
    </w:p>
    <w:p>
      <w:pPr>
        <w:pStyle w:val="BookText"/>
        <w:rPr/>
      </w:pPr>
      <w:r>
        <w:rPr>
          <w:rFonts w:ascii="Amiri" w:hAnsi="Amiri" w:eastAsia="Amiri" w:cs="Amiri"/>
          <w:color w:val="111111"/>
          <w:sz w:val="28"/>
          <w:sz w:val="28"/>
          <w:szCs w:val="28"/>
          <w:rtl w:val="true"/>
          <w:lang w:bidi="ar-SA"/>
        </w:rPr>
        <w:t xml:space="preserve">طَلَّقْتُمُ النِّسَاءَ فَطَلِّقُوهُنَّ لِعِدَّتِهِنَّ وَأَحْصُوا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 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لم‌يكن فى ذلك دلالة واضحة على اعتبار الإشهاد فى الطلاق ، فيمكن الاستعانة بصحيحة أحمد بن أبى نصر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رجل طلّق امرأته بعدما غشيها بشهادة عدلين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طلاق 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يطلقها إذا طهرت من حيضها قبل أن يغشيها بشاهدين عدلين ، كما قال اللّه عزّوجلّ في كتابه ، فإن خالف ذلك ردّ الى كتاب اللّه </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اعتباره فى الظهار ، فممّا لاخلاف فيه أيضاً لصحيحة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لايكون ظهار إلاّ فى طهر من غير جماع بشهادة شاهدين مسلمين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تصديق المرأة فى دعوى كونها خلية ، فلموافقة ذلك للأصل فلاتحتاج إلى بيّنة ، كما ولاتحتاج إلى يمين لعدم كونها مدّعيً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تصديقها فى انقضاء العدّة بالرغم من مخالفة ذلك للأصل ، فلصحيحة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والحيض للنساء ، إذا ادّعت صدّقت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لاتصدَّق إذا ادَّعت مايخالف عادة النساء ، فلعدم وجود المثبت لذلك ، فإنّ الصحيحة المتقدمة منصرفة عن مثل ذلك</w:t>
      </w:r>
      <w:r>
        <w:rPr>
          <w:rFonts w:eastAsia="Amiri" w:cs="Amiri" w:ascii="Amiri" w:hAnsi="Amiri"/>
          <w:color w:val="111111"/>
          <w:sz w:val="28"/>
          <w:szCs w:val="28"/>
          <w:rtl w:val="true"/>
          <w:lang w:bidi="ar-SA"/>
        </w:rPr>
        <w:t xml:space="preserve">. </w:t>
      </w:r>
      <w:bookmarkStart w:id="60" w:name="pg19370_198076"/>
    </w:p>
    <w:p>
      <w:pPr>
        <w:pStyle w:val="Heading2"/>
        <w:numPr>
          <w:ilvl w:val="1"/>
          <w:numId w:val="1"/>
        </w:numPr>
        <w:rPr/>
      </w:pPr>
      <w:bookmarkStart w:id="61" w:name="__RefHeading___Toc17390883_1280447820"/>
      <w:bookmarkStart w:id="62" w:name="_Toc18"/>
      <w:bookmarkEnd w:id="60"/>
      <w:bookmarkEnd w:id="61"/>
      <w:r>
        <w:rPr>
          <w:rtl w:val="true"/>
        </w:rPr>
        <w:t>كتاب الإقرار</w:t>
      </w:r>
      <w:bookmarkEnd w:id="62"/>
    </w:p>
    <w:p>
      <w:pPr>
        <w:pStyle w:val="Heading3"/>
        <w:numPr>
          <w:ilvl w:val="2"/>
          <w:numId w:val="1"/>
        </w:numPr>
        <w:rPr/>
      </w:pPr>
      <w:bookmarkStart w:id="63" w:name="__RefHeading___Toc17390885_1280447820"/>
      <w:bookmarkStart w:id="64" w:name="_Toc19"/>
      <w:bookmarkEnd w:id="63"/>
      <w:r>
        <w:rPr>
          <w:rtl w:val="true"/>
        </w:rPr>
        <w:t>اشارة</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الإقرار ومدرك حجيّته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أحكام الإقرار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9370_198078"/>
      <w:bookmarkStart w:id="66" w:name="pg19370_198078"/>
      <w:bookmarkEnd w:id="66"/>
    </w:p>
    <w:p>
      <w:pPr>
        <w:pStyle w:val="Heading3"/>
        <w:numPr>
          <w:ilvl w:val="2"/>
          <w:numId w:val="1"/>
        </w:numPr>
        <w:rPr/>
      </w:pPr>
      <w:bookmarkStart w:id="67" w:name="pg19370_198078"/>
      <w:bookmarkStart w:id="68" w:name="__RefHeading___Toc17390887_1280447820"/>
      <w:bookmarkStart w:id="69" w:name="_Toc20"/>
      <w:bookmarkEnd w:id="67"/>
      <w:bookmarkEnd w:id="68"/>
      <w:r>
        <w:rPr>
          <w:rtl w:val="true"/>
        </w:rPr>
        <w:t>حقيقة الإقرار ومدرك حجيته</w:t>
      </w:r>
      <w:bookmarkEnd w:id="69"/>
    </w:p>
    <w:p>
      <w:pPr>
        <w:pStyle w:val="BookText"/>
        <w:rPr/>
      </w:pP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الشخص عن حق ثابت عليه ، أو نفى حق 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حجّة ونافذ عل المقرّ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حقيقة الاقرار ما ذكر ، فممّا لا تأمل فيه ، فإن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مدرك حجية الاقرار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عرفاً فى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مدرك الحجية هو السيرة العقلائية فهى تقتضى ثبوت الحجية للاقرار بالمعنى المذكور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لازم كون الاقرار إخباراً خروجه عن العقود والايقاعات ، وكونه شيئاً ثالثاً فى مقابلهما كما هو واضح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التفرقة بين‌قاعدة حجية الاقرار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الاُولى أنّ من أقرَّ على نفسه بشيء كان ملزماً به ، بينما معنى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له الحق فى تصرف معيّن فإخباره عن تحققه نافذ ، فالزوج مادام له الحق فى طلاق زوجته فإخباره عن تحققه نافذ ، والوكيل فى بيع دار ونحوها بما أنّ له الحق فى ايقاع ذلك فإخباره عن تحققه نافذ</w:t>
      </w:r>
      <w:r>
        <w:rPr>
          <w:rFonts w:eastAsia="Amiri" w:cs="Amiri" w:ascii="Amiri" w:hAnsi="Amiri"/>
          <w:color w:val="111111"/>
          <w:sz w:val="28"/>
          <w:szCs w:val="28"/>
          <w:rtl w:val="true"/>
          <w:lang w:bidi="ar-SA"/>
        </w:rPr>
        <w:t xml:space="preserve">. </w:t>
      </w:r>
      <w:bookmarkStart w:id="70" w:name="pg19370_198079"/>
    </w:p>
    <w:p>
      <w:pPr>
        <w:pStyle w:val="BookText"/>
        <w:rPr/>
      </w:pPr>
      <w:bookmarkEnd w:id="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الاقرار حجة على المقرّ وملزم ، به فلاينبغى التأمل فيه للسيرة العقلائية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حجة بسبب عدم الردع عنها الكاشف عن امضائها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مدرك حجية اقرار العاقل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الحديث المشهور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فلاوجود له فى كتب الحديث وإنّما هو مذكور فى الكتب الاستدلالية لفقهائنا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الى ذلك الحر العاملي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ودعوى صاحب الجواهر أنّه حديث نبوى مستفيض أو متواتر لانعرف وجهها </w:t>
      </w:r>
      <w:r>
        <w:rPr>
          <w:rStyle w:val="FootnoteAnchor"/>
          <w:rtl w:val="true"/>
        </w:rPr>
        <w:footnoteReference w:id="124"/>
      </w:r>
      <w:r>
        <w:rPr>
          <w:rFonts w:ascii="Amiri" w:hAnsi="Amiri" w:eastAsia="Amiri" w:cs="Amiri"/>
          <w:color w:val="111111"/>
          <w:sz w:val="28"/>
          <w:sz w:val="28"/>
          <w:szCs w:val="28"/>
          <w:rtl w:val="true"/>
          <w:lang w:bidi="ar-SA"/>
        </w:rPr>
        <w:t>، فإنّه لم‌يثبت كونه حديثاً ليكون مستفيضاً أو متواتراً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شهرة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كونه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فهى لو تمّت صغريً وكبريً فلايمكن الاعتماد عليها فى المقام ، لاحتمال أن استنادهم اليه ليس لكونه حديثاً صادراً من النبى صلی اللّه علیه و آله حقاً ، بل لأنّ مضمونه مضمون عقلائى لايحتاج الى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فالمدرك منحصر بالسيرة العقلائية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7390889_1280447820"/>
      <w:bookmarkStart w:id="72" w:name="_Toc21"/>
      <w:bookmarkEnd w:id="71"/>
      <w:r>
        <w:rPr>
          <w:rtl w:val="true"/>
        </w:rPr>
        <w:t>من أحكام الاقرار</w:t>
      </w:r>
      <w:bookmarkEnd w:id="72"/>
    </w:p>
    <w:p>
      <w:pPr>
        <w:pStyle w:val="BookText"/>
        <w:rPr/>
      </w:pPr>
      <w:r>
        <w:rPr>
          <w:rFonts w:ascii="Amiri" w:hAnsi="Amiri" w:eastAsia="Amiri" w:cs="Amiri"/>
          <w:color w:val="111111"/>
          <w:sz w:val="28"/>
          <w:sz w:val="28"/>
          <w:szCs w:val="28"/>
          <w:rtl w:val="true"/>
          <w:lang w:bidi="ar-SA"/>
        </w:rPr>
        <w:t xml:space="preserve">لايلزم الشخص باقراره إلاّ إذا كان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الحق عليه أو انتفائه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الجزم دون الاحتمال أو الظن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ولايكون الاقرار حجة إلاّ بلحاظ الآثار التى هى فى ضرر المقرّ دون الآثار التى هى في </w:t>
      </w:r>
    </w:p>
    <w:p>
      <w:pPr>
        <w:pStyle w:val="BookText"/>
        <w:rPr/>
      </w:pPr>
      <w:r>
        <w:rPr>
          <w:rFonts w:ascii="Amiri" w:hAnsi="Amiri" w:eastAsia="Amiri" w:cs="Amiri"/>
          <w:color w:val="111111"/>
          <w:sz w:val="28"/>
          <w:sz w:val="28"/>
          <w:szCs w:val="28"/>
          <w:rtl w:val="true"/>
          <w:lang w:bidi="ar-SA"/>
        </w:rPr>
        <w:t>صالحه ، أو التى هى مرتبطة بالغير وهو أجنبى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ولاتختص حجية الاقرار بما إذا كان بلفظ معيّن ، بل يكفى كلّ ما يدلّ عليه ولو بالاشارة أو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عقّب المقرّ اقراره بما يضادّه فإن كان ذلك تراجعاً منه عن اقراره فلاينفذ ، بخلاف ما إذا كان تفسيراً وتوضيحاً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المقرّ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الشيء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فالمشهور ذهب الى لزوم دفعه الى الأول وغرامة قيمته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لفلان 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زوجيّة امرأة وصدّقته قُبل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أنكرت ذلك ولم‌تكن له بيّنة اُلزم بترتيب ما عليه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الاقرار لايكون ملزماً للمقر إلاّ إذا كان بنحو الإخبار الجازم ، فلقصور السيرة عن الشمول إلاّ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فى الشمول ، وهو كاف في إثبات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الاقرار لايكون حجة إلاّ بلحاظ الآثار التى هى فى ضرر المقرّ ، فباعتبار أنّ الاقرار على النفس لايصدق إلاّ بلحاظ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لزوم التفكيك فى كلّ اقرار بلحاظ آثاره فيلزم المقرّ بالآثار التى هي فى ضرره دون غيرها ، فلو أقر باُبوّة شخص له اُلزم بالانفاق عليه دون العكس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اختصاص حجيّة الاقرار بما إذا كان بلفظ معيّن وكفاية الاشارة والدلالة الالتزامية ، فلإطلاق السيرة العقلائية من هذه الناحية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لو عقّب المقرّ اقراره بما يضادّه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كان تراجعاً فلايقبل وبين ما إذا كان تفسيراً ، فيقبل فلاقتضاء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المستند لحجيّة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لو قال المقرّ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الشيء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الى الأوّل وغرم قيمته للثانى ، فقد عللّه المشهور بأنّ دفع العين للأول هو باعتبار حجيّة الاقرار الأوّل ، ودفع القيمة الى الثانى هو باعتبار أنّ المقرّ باقراره الأوّل قد حال بينه وبينها فهو كالمتلف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المقرّ يلزم بالتوضيح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لفلان 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فباعتبار أنّ ذمة المقرّ لما ثبت اشتغالها بالمال بمقتضى الاقرار فمن اللازم تفريغها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يتحقّق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من ادّعى زوجيّة امرأة وصدّقته قُبل ذلك منهما وحُكم بالزوجيّة ، فلقاعدة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المرأة لو أنكرت اُلزم بترتيب الآثار التى هى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التزويج باُمّها أو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حجيّة الاقرار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النظر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لاتدخل تحت القاعدة المذكورة فتعود بلا مثبت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بالنسبة الى الانفاق بالخصوص يمكن أن يقال بعدم وجوبه ، لأنّه مقابل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عدمه تكون ناشزاً ، وهى لا نفقة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عدمه</w:t>
      </w:r>
      <w:r>
        <w:rPr>
          <w:rFonts w:eastAsia="Amiri" w:cs="Amiri" w:ascii="Amiri" w:hAnsi="Amiri"/>
          <w:color w:val="111111"/>
          <w:sz w:val="28"/>
          <w:szCs w:val="28"/>
          <w:rtl w:val="true"/>
          <w:lang w:bidi="ar-SA"/>
        </w:rPr>
        <w:t xml:space="preserve">. </w:t>
      </w:r>
      <w:bookmarkStart w:id="73" w:name="pg19370_198082"/>
    </w:p>
    <w:p>
      <w:pPr>
        <w:pStyle w:val="Heading2"/>
        <w:numPr>
          <w:ilvl w:val="1"/>
          <w:numId w:val="1"/>
        </w:numPr>
        <w:rPr/>
      </w:pPr>
      <w:bookmarkStart w:id="74" w:name="__RefHeading___Toc17390891_1280447820"/>
      <w:bookmarkStart w:id="75" w:name="_Toc22"/>
      <w:bookmarkEnd w:id="73"/>
      <w:bookmarkEnd w:id="74"/>
      <w:r>
        <w:rPr>
          <w:rtl w:val="true"/>
        </w:rPr>
        <w:t>كتاب اللقطة</w:t>
      </w:r>
      <w:bookmarkEnd w:id="75"/>
    </w:p>
    <w:p>
      <w:pPr>
        <w:pStyle w:val="Heading3"/>
        <w:numPr>
          <w:ilvl w:val="2"/>
          <w:numId w:val="1"/>
        </w:numPr>
        <w:rPr/>
      </w:pPr>
      <w:bookmarkStart w:id="76" w:name="__RefHeading___Toc17390893_1280447820"/>
      <w:bookmarkStart w:id="77" w:name="_Toc23"/>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اللقطة وأقسامها</w:t>
      </w:r>
    </w:p>
    <w:p>
      <w:pPr>
        <w:pStyle w:val="BookText"/>
        <w:rPr/>
      </w:pPr>
      <w:r>
        <w:rPr>
          <w:rFonts w:ascii="Amiri" w:hAnsi="Amiri" w:eastAsia="Amiri" w:cs="Amiri"/>
          <w:color w:val="111111"/>
          <w:sz w:val="28"/>
          <w:sz w:val="28"/>
          <w:szCs w:val="28"/>
          <w:rtl w:val="true"/>
          <w:lang w:bidi="ar-SA"/>
        </w:rPr>
        <w:t>من أحكام اللقطة بالمعنى الأخصّ</w:t>
      </w:r>
    </w:p>
    <w:p>
      <w:pPr>
        <w:pStyle w:val="BookText"/>
        <w:rPr/>
      </w:pPr>
      <w:r>
        <w:rPr>
          <w:rFonts w:ascii="Amiri" w:hAnsi="Amiri" w:eastAsia="Amiri" w:cs="Amiri"/>
          <w:color w:val="111111"/>
          <w:sz w:val="28"/>
          <w:sz w:val="28"/>
          <w:szCs w:val="28"/>
          <w:rtl w:val="true"/>
          <w:lang w:bidi="ar-SA"/>
        </w:rPr>
        <w:t>من أحكام اللقيط</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مجهول المالك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370_198084"/>
      <w:bookmarkStart w:id="79" w:name="pg19370_198084"/>
      <w:bookmarkEnd w:id="79"/>
    </w:p>
    <w:p>
      <w:pPr>
        <w:pStyle w:val="Heading3"/>
        <w:numPr>
          <w:ilvl w:val="2"/>
          <w:numId w:val="1"/>
        </w:numPr>
        <w:rPr/>
      </w:pPr>
      <w:bookmarkStart w:id="80" w:name="pg19370_198084"/>
      <w:bookmarkStart w:id="81" w:name="__RefHeading___Toc17390895_1280447820"/>
      <w:bookmarkStart w:id="82" w:name="_Toc24"/>
      <w:bookmarkEnd w:id="80"/>
      <w:bookmarkEnd w:id="81"/>
      <w:r>
        <w:rPr>
          <w:rtl w:val="true"/>
        </w:rPr>
        <w:t xml:space="preserve">اللقطة وأقسامها </w:t>
      </w:r>
      <w:r>
        <w:rPr>
          <w:rtl w:val="true"/>
        </w:rPr>
        <w:t>:</w:t>
      </w:r>
      <w:bookmarkEnd w:id="82"/>
    </w:p>
    <w:p>
      <w:pPr>
        <w:pStyle w:val="BookText"/>
        <w:rPr/>
      </w:pPr>
      <w:r>
        <w:rPr>
          <w:rFonts w:ascii="Amiri" w:hAnsi="Amiri" w:eastAsia="Amiri" w:cs="Amiri"/>
          <w:color w:val="111111"/>
          <w:sz w:val="28"/>
          <w:sz w:val="28"/>
          <w:szCs w:val="28"/>
          <w:rtl w:val="true"/>
          <w:lang w:bidi="ar-SA"/>
        </w:rPr>
        <w:t xml:space="preserve">اللقطة </w:t>
      </w:r>
      <w:r>
        <w:rPr>
          <w:rStyle w:val="FootnoteAnchor"/>
          <w:rtl w:val="true"/>
        </w:rPr>
        <w:footnoteReference w:id="125"/>
      </w:r>
      <w:r>
        <w:rPr>
          <w:rFonts w:ascii="Amiri" w:hAnsi="Amiri" w:eastAsia="Amiri" w:cs="Amiri"/>
          <w:color w:val="111111"/>
          <w:sz w:val="28"/>
          <w:sz w:val="28"/>
          <w:szCs w:val="28"/>
          <w:rtl w:val="true"/>
          <w:lang w:bidi="ar-SA"/>
        </w:rPr>
        <w:t>كلّ مالٍ ضائع إذا اُخذ وكان مالكه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اعتبار القيود الثلاثة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القيد الأوّل فلتقوّم عنوان اللقطة بالضياع ، فمن تبدّل حذاؤه مثلاً بحذاء الغير من دون معرفة صاحبه فلايصدق على ذلك عنوان اللقطة وإن صدق عنوان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النسبة بين عنوان اللقطة وعنوان مجهول المالك هو العموم والخصوص المطلق ، فكلّ لقطة هى مجهول المالك من دون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ويأتى فى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العنوانين من حيث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القيد الثاني ، فلأنّه بمجرد رؤية الشيء من دون أخذه لايصدق عنوان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فرض أخذ الغير له بعد أمره بذلك ، فإنّه لايصدق العنوان المذكور بالنسبة الى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الثالث ، فاعتباره 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المال الضائع تارةً يكون طفلاً ، واُخرى حيواناً ، وثالثةً غير ذلك</w:t>
      </w:r>
      <w:r>
        <w:rPr>
          <w:rFonts w:eastAsia="Amiri" w:cs="Amiri" w:ascii="Amiri" w:hAnsi="Amiri"/>
          <w:color w:val="111111"/>
          <w:sz w:val="28"/>
          <w:szCs w:val="28"/>
          <w:rtl w:val="true"/>
          <w:lang w:bidi="ar-SA"/>
        </w:rPr>
        <w:t xml:space="preserve">. </w:t>
      </w:r>
      <w:bookmarkStart w:id="83" w:name="pg19370_198085"/>
    </w:p>
    <w:p>
      <w:pPr>
        <w:pStyle w:val="BookText"/>
        <w:rPr/>
      </w:pPr>
      <w:bookmarkEnd w:id="83"/>
      <w:r>
        <w:rPr>
          <w:rFonts w:ascii="Amiri" w:hAnsi="Amiri" w:eastAsia="Amiri" w:cs="Amiri"/>
          <w:color w:val="111111"/>
          <w:sz w:val="28"/>
          <w:sz w:val="28"/>
          <w:szCs w:val="28"/>
          <w:rtl w:val="true"/>
          <w:lang w:bidi="ar-SA"/>
        </w:rPr>
        <w:t>ويصطلح على الأوّل باللقيط ، وعلى الثانى بالضالّة ، وعلى الثالث باللقطة أو باللقطة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 الأقسام الثلاثة أحكامه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منها هو الثالث</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7390897_1280447820"/>
      <w:bookmarkStart w:id="85" w:name="_Toc25"/>
      <w:bookmarkEnd w:id="84"/>
      <w:r>
        <w:rPr>
          <w:rtl w:val="true"/>
        </w:rPr>
        <w:t xml:space="preserve">من أحكام اللقطة بالمعنى الأخص </w:t>
      </w:r>
      <w:r>
        <w:rPr>
          <w:rtl w:val="true"/>
        </w:rPr>
        <w:t>:</w:t>
      </w:r>
      <w:bookmarkEnd w:id="85"/>
    </w:p>
    <w:p>
      <w:pPr>
        <w:pStyle w:val="BookText"/>
        <w:rPr/>
      </w:pPr>
      <w:r>
        <w:rPr>
          <w:rFonts w:ascii="Amiri" w:hAnsi="Amiri" w:eastAsia="Amiri" w:cs="Amiri"/>
          <w:color w:val="111111"/>
          <w:sz w:val="28"/>
          <w:sz w:val="28"/>
          <w:szCs w:val="28"/>
          <w:rtl w:val="true"/>
          <w:lang w:bidi="ar-SA"/>
        </w:rPr>
        <w:t>يجوز أخذ اللقطة وإن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فيها تعريفها والفحص عن مالكها لفترة سنة ، فإن لم‌يعثر عليه كان الملتقط بالخيار بين تملّكها مع الضمان ، أو التصدّق بها مع الضمان ، أو ابقائها أمانةً فى يده بلاضمان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لم‌تكن دون الدرهم الشرعي</w:t>
      </w:r>
      <w:r>
        <w:rPr>
          <w:rStyle w:val="FootnoteAnchor"/>
          <w:rtl w:val="true"/>
        </w:rPr>
        <w:footnoteReference w:id="126"/>
      </w:r>
      <w:r>
        <w:rPr>
          <w:rFonts w:ascii="Amiri" w:hAnsi="Amiri" w:eastAsia="Amiri" w:cs="Amiri"/>
          <w:color w:val="111111"/>
          <w:sz w:val="28"/>
          <w:sz w:val="28"/>
          <w:szCs w:val="28"/>
          <w:rtl w:val="true"/>
          <w:lang w:bidi="ar-SA"/>
        </w:rPr>
        <w:t>، وإلاّ جاز أخذها بلا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يختصّ بغير لقطة 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هي ، فحكمها بعد التعريف سنة التصدق بها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التصدّق لابدّ وأن يكون بقصد كونه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واللقطة التى لايمكن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لفقدانها العلامة الخاصة المميّزة لها عن غيرها ، أو لأنّ مالكها سافر الى مكان بعيد لايمكن الوصول اليه ، أو لأنّ الملتقط يخاف الخطر أو التهمة لو عرّف ، 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وجوب التصدّق بها وعدم جواز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جواز دفع الملتقط اللقطة الى الحاكم الشرعى وسقوط وجوب التعريف عنه بذلك خلاف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دفع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التصدّق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 الفقراء دون الأغنياء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المناسب دفعها الى الغير ، ولايكفى الملتقط احتسابها على نفسه إذا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جواز أخذ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اقتضاء القاعدة الأولية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فللروايات الخاصة التى يأتى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يكفى لإثبات ذلك تسالم الاصحاب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ذلك مكروه ، فلصحيحة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اللقطة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لاترفعوها فإن ابتليت فعرّفها سنة ، فإن جاء طالبها وإلاّ فاجعلها في عرض مالك يجرى عليها ما يجرى على مالك الى أن يجيء لها طالب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حمل النهى على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ظهوره فى التحريم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موثقة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اباجعفر علیه السلام عن اللقطة فأرانى خاتماً فى يده من فضة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ممّا جاء به السيل وأنا اُريد أن أتصدّق به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على جواز الالتقاط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الجواز قضية واضحة فى أذهان المتشرعة ، وذلك بنفسه صالح للقرينية على حمل النهى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يلزم فى اللقطة التعريف لفترة سنة وبعدها يثبت التخيير بين الاُمور الثلاثة المتقدمة ، فهو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لذلك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الى جواز التصدق مع الضمان ، فبصحيحة على بن جعفر عن أخيه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الرجل يصيب اللقطة فيعرّفها سنة ثم يتصدّق بها فيأتى صاحبها ما حال الذى تصدّق بها؟ ولمن الأجر؟ هل عليه أن يردّ على صاحبها؟ أو قيمتها؟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ضامن لها والأجر له إلاّ أن يرضى صاحبها فيدعها والأجر له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وسندها تامّ؛ لأنّها بطريق قرب‌الاسناد وإن كانت ضعيفة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مجهول الحال إلاّ أن صاحب الوسائل رواها من كتاب على بن جعفر وطريقه اليه صحيح على ما أوضحنا فى أبحاثٍ سابقة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وأمّا بالنسبة الى جواز التملك مع الضمان ، فيمكن التمسّك له بصحيحة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اللقطة يجدها الرجل ويأخذها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يعرفها سنة فإن جاء لها طالب وإلاّ فهى كسبيل ماله </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إلاّ أنّها لاتدلّ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بالأولوية ، بتقريب أنّ الضمان إذا كان ثابتاً فى حالة التصدق فبالأولى يكون ثابتاً فى حالة التملك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بصحيحة على بن جعفر عن أخيه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أصاب شاة فى الصحراء هل تحلُّ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هى لك أو لاخيك أو للذئب فخذها وعرّفها حيث أصبتها ، فإن عرفت فردّها الى صاحبها ، وإن لم‌تعرف فكلها وأنت ضامن لها إن جاء صاحبها يطلب ثمنها ان تردّها عليه </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بناءً على التعدى من الضالة الى اللقطة وعدم فهم الخصوصية لذلك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فهى كسبيل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فى صحيحة الحلبى قد يستفاد منها أنّ اللقطة تصير بعد التعريف وعدم العثور على المالك ملكاً للملتقط بلا حاجة الي </w:t>
      </w:r>
    </w:p>
    <w:p>
      <w:pPr>
        <w:pStyle w:val="BookText"/>
        <w:rPr/>
      </w:pP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المقابل قد لايستفاد منها إلاّ جواز التصرف والانتفاع بها كما ينتفع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القضية بعد هذا مرهونة باستظهار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الاحتفاظ باللقطة بلا ضمان ، فيمكن استفادة جوازه من صحيحة الحلبى المتقدمة ، فإن جعل اللقطة كسبيل أموال الملتقط يدلّ بوضوح على جواز الاحتفاظ بها من دون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على بن جعفر الاُخري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يصيب اللقطة دراهم أو ثوباً أو دابة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 فإن لم‌يعرف صاحبها حفظها فى عرض ماله حتى يجيء طالبها فيعطيها إياه ، وإن مات أوصى بها ، فإن أصابها شيء فهو ضامن </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قد دلّت على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حملها على حالة التعدّى أو التفريط ، وإلاّ كانت ساقطة عن الاعتبار لهجران مضمونها لدى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اللقطة دون الدرهم الشرعى يجوز أخذها بلاحاجة الى تعريف ، فلم يعرف فيه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 بأحد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الشيخ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كانت اللقطة دون درهم فهي لك فلاتعرّفها </w:t>
      </w:r>
      <w:r>
        <w:rPr>
          <w:rFonts w:eastAsia="IRNazanin" w:cs="IRNazanin"/>
          <w:color w:val="111111"/>
          <w:sz w:val="28"/>
          <w:szCs w:val="28"/>
          <w:rtl w:val="true"/>
          <w:lang w:bidi="fa-IR"/>
        </w:rPr>
        <w:t xml:space="preserve">... ». </w:t>
      </w:r>
      <w:r>
        <w:rPr>
          <w:rStyle w:val="FootnoteAnchor"/>
          <w:rtl w:val="true"/>
        </w:rPr>
        <w:footnoteReference w:id="13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محمد بن أبى حمزة عن بعض أصحابنا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اللقطة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سنة قليلاً كان أو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دون الدرهم فلايعرف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وكلتا الروايتين ضعيفة السند بالارسال إلاّ أن يقال بكبرى الانجبار بفتوي المشهور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ثمّ إنّه بناءً على عدم وجوب التعريف هل يكون الحكم هو وجوب التصدق أو جواز التملك؟ المعروف بين الاصحاب جواز قصد التملك ، ولكنّا إذا لاحظنا الرواية الثانية نراها ساكتة عن ذلك ، ولو لاحظنا الرواية الاُولى رأيناها تدلّ على تحقق الملك القهرى بمجرد الأخذ من دون حاجة الى قصده على خلاف ما عليه المشهور بين الاصحاب من الحاجة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لقطة الحرم المكّى تعرّف سنة ثمّ يتصدّق بها ولايجوز تملكها ، فهو المشهور بين الاصحاب ، بل ادّعى فى الجواهر عدم وجدان الخلاف فيه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وتدلّ عليه صحيحة ابراهيم بن عمر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اللقطة لقطتان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الحرم وتعرّف سنة ، فإن وجدت صاحبها وإلاّ تصدّقت بها ، ولقطة غيرها تعرّف سنة فإن لم‌تجد صاحبها فهى كسبيل مالك </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فإنّها تدلّ على عدم جواز التملك لقاعدة التفصيل قاطع للشركة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التصدّق لابدّ وأن يكون عن صاحبها ، فهو المعروف فى كلمات الأصحاب ، إلاّ أن الروايات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للانصراف اليه ، وإلاّ فالمناسب كفاية التصدق المطلق لولا كونه أولى من جهة موافقته للاحتياط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المناسب فى اللقطة التى لايمكن تعريفها هو التصدّق بها لا غير ، فباعتبار أنّ جواز تملّك مال الغير والتصرف فيه من دون احراز رضاه أمر علي </w:t>
      </w:r>
    </w:p>
    <w:p>
      <w:pPr>
        <w:pStyle w:val="BookText"/>
        <w:rPr/>
      </w:pPr>
      <w:r>
        <w:rPr>
          <w:rFonts w:ascii="Amiri" w:hAnsi="Amiri" w:eastAsia="Amiri" w:cs="Amiri"/>
          <w:color w:val="111111"/>
          <w:sz w:val="28"/>
          <w:sz w:val="28"/>
          <w:szCs w:val="28"/>
          <w:rtl w:val="true"/>
          <w:lang w:bidi="ar-SA"/>
        </w:rPr>
        <w:t xml:space="preserve">خلاف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لايحل دم امرئ مسلم ولا ماله إلاّ بطيبة نفس منه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ولابدَّ من الاقتصار على المورد الذى دلّ الدليل فيه على جوازه ، وهو بعد التعريف سنة ، وفي غير ذلك يلزم تطبيق حكم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تطبيق حكم اللقطة التى هي مصداق من مصاديق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دفع اللقطة الى الحاكم الشرعى وسقوط وجوب التعريف عن الملتقط بذلك ، فقد ذكر صاحب الجواهر فى توجيهه بأنّه وليّ الغائب فى الحفظ ، بل قد يقال بوجوب القبول عليه لأنّه معدٌ لمصالح المسلمين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الحاكم مختصة بالمورد الذى لم‌يجعل الشارع فيه الولاية للغير ، فإنّه وليّ من لا وليّ له ، وفى المقام قد جعلها للملتقط حيث جعل له الحق في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لا بأس بدفع الللقطة اليه على أن تبقى أمانة بيده ويستمر الملتقط بالتعريف طيلة فترة السنة ، وإذا انتهت ولم‌يجد المالك تخيّر بين الاُمور الثلاثة المتقدمة أو يوكل الأمر فى ذلك الى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المناسب دفع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التصدق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 الفقراء ، فباعتبار أنّ المتبادر من مفهوم التصدق لزوم الفقر فى المتصدق عليه ، ولا أقلّ من الشك فى صدقه بدون ذلك ، فيلزم الاحتياط بعد عدم إمكان التمسك بالإطلاق ، لأنّه تمسك به فى الشبهة المصداقية ، وهو غير جائز</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الدفع الى الغير وعدم الاكتفاء باحتساب الملتقط اللقطة صدقة على نفسه ، فلأن ظاهر طلب التصدق فى مثل صحيحة ابراهيم بن عمر المتقدمة في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المغايرة ، وأنّه تصدّق على الغير</w:t>
      </w:r>
      <w:r>
        <w:rPr>
          <w:rFonts w:eastAsia="Amiri" w:cs="Amiri" w:ascii="Amiri" w:hAnsi="Amiri"/>
          <w:color w:val="111111"/>
          <w:sz w:val="28"/>
          <w:szCs w:val="28"/>
          <w:rtl w:val="true"/>
          <w:lang w:bidi="ar-SA"/>
        </w:rPr>
        <w:t xml:space="preserve">. </w:t>
      </w:r>
      <w:bookmarkStart w:id="86" w:name="pg19370_198091"/>
    </w:p>
    <w:p>
      <w:pPr>
        <w:pStyle w:val="Heading3"/>
        <w:numPr>
          <w:ilvl w:val="2"/>
          <w:numId w:val="1"/>
        </w:numPr>
        <w:rPr/>
      </w:pPr>
      <w:bookmarkStart w:id="87" w:name="__RefHeading___Toc17390899_1280447820"/>
      <w:bookmarkStart w:id="88" w:name="_Toc26"/>
      <w:bookmarkEnd w:id="86"/>
      <w:bookmarkEnd w:id="87"/>
      <w:r>
        <w:rPr>
          <w:rtl w:val="true"/>
        </w:rPr>
        <w:t>أحكام اللقيط</w:t>
      </w:r>
      <w:bookmarkEnd w:id="88"/>
    </w:p>
    <w:p>
      <w:pPr>
        <w:pStyle w:val="BookText"/>
        <w:rPr/>
      </w:pPr>
      <w:r>
        <w:rPr>
          <w:rFonts w:ascii="Amiri" w:hAnsi="Amiri" w:eastAsia="Amiri" w:cs="Amiri"/>
          <w:color w:val="111111"/>
          <w:sz w:val="28"/>
          <w:sz w:val="28"/>
          <w:szCs w:val="28"/>
          <w:rtl w:val="true"/>
          <w:lang w:bidi="ar-SA"/>
        </w:rPr>
        <w:t>يجب أخذ الطفل الضائع إذا خيف عليه التلف ورعايته والانفاق عليه سواء علم بتعمد أهله لنبذه عجزاً عن تربيته أو خوفاً من الفضيحة أو لغير ذلك أم علم بضياعه عن أهله أم علم بهلاك أهله وبقائه وحده أم جهل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فى كونه طفلاً رضيعاً أو أكبر من ذلك مادام هو بحاجة ماسّة الى من يتكفّل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والمتلقط أحق باللقيط من غيره الى أن يبلغ ، فإن له الحق آنذاك فى أن يوالى من شاء بعد أن يرد على الملتقط كل ما أنفق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لزوم أخذ الطفل الضائع إذا خيف عليه التلف ، فلأنّه بعد كونه نفساً محترمة فالتحفظ عليه يكون واجباً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الفرق بين كون الطفل رضيعاً أو أكبر من ذلك ، فلعموم النكتة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الملتقط أحق من غيره مادام اللقيط لم‌يبلغ ، فلأنّ الأسبقية نفسها تمنح صاحبها حقاً بالسيرة العقلائية الممضاة من خلال عدم ثبوت الردع عنها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الى إمكان استفادة ذلك من صحيحة عبدالرحمن العزرمى عن أبيعبداللّه عن أبيه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المنبوذ حر ، فإذا كبر فإن شاء توالى الى الذى التقطه وإلاّ فليرد عليه النفقة وليذهب فليوال من شاء </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الدالة على لزوم ردّ النفقة بعد البلوغ إذا أراد أن يوالى الغير</w:t>
      </w:r>
      <w:r>
        <w:rPr>
          <w:rFonts w:eastAsia="Amiri" w:cs="Amiri" w:ascii="Amiri" w:hAnsi="Amiri"/>
          <w:color w:val="111111"/>
          <w:sz w:val="28"/>
          <w:szCs w:val="28"/>
          <w:rtl w:val="true"/>
          <w:lang w:bidi="ar-SA"/>
        </w:rPr>
        <w:t xml:space="preserve">. </w:t>
      </w:r>
      <w:bookmarkStart w:id="89" w:name="pg19370_198092"/>
    </w:p>
    <w:p>
      <w:pPr>
        <w:pStyle w:val="Heading3"/>
        <w:numPr>
          <w:ilvl w:val="2"/>
          <w:numId w:val="1"/>
        </w:numPr>
        <w:rPr/>
      </w:pPr>
      <w:bookmarkStart w:id="90" w:name="__RefHeading___Toc17390901_1280447820"/>
      <w:bookmarkStart w:id="91" w:name="_Toc27"/>
      <w:bookmarkEnd w:id="89"/>
      <w:bookmarkEnd w:id="90"/>
      <w:r>
        <w:rPr>
          <w:rtl w:val="true"/>
        </w:rPr>
        <w:t xml:space="preserve">من أحكام مجهول المالك </w:t>
      </w:r>
      <w:r>
        <w:rPr>
          <w:rtl w:val="true"/>
        </w:rPr>
        <w:t>:</w:t>
      </w:r>
      <w:bookmarkEnd w:id="91"/>
    </w:p>
    <w:p>
      <w:pPr>
        <w:pStyle w:val="BookText"/>
        <w:rPr/>
      </w:pPr>
      <w:r>
        <w:rPr>
          <w:rFonts w:ascii="Amiri" w:hAnsi="Amiri" w:eastAsia="Amiri" w:cs="Amiri"/>
          <w:color w:val="111111"/>
          <w:sz w:val="28"/>
          <w:sz w:val="28"/>
          <w:szCs w:val="28"/>
          <w:rtl w:val="true"/>
          <w:lang w:bidi="ar-SA"/>
        </w:rPr>
        <w:t>عنوان اللقطة لايرادف عنوان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اللقطة ما تقدم ، بينما حكم المال المجهول مالكه هو الفحص عنه الى حدّ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تقيد بفترة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المالك معلوماً وتعذر الوصول اليه وكسب الاجازة منه لتحديد كيفية التصرف ، فحكمه حكم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أخذ قلماً أو مسبحة أو غير ذلك من الغير لقضاء حاجة ولم‌يعرف ممن أخذ ذلك ، أو كان يعرفه ولكن لايعرف خبره ، فحكمه حكم مجهول المالك دون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فيمن أودع بعض أثاث بيته فى دار شخص وسافر من دون أن يعرف خبره ، فإنّه يلزمه تطبيق حكم مجهول المالك عليه دون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فى سائر الامثلة التى لايكون فيها عنوان الضياع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الحال فيمن تبدل حذاؤه أو عباءته اشتباهاً ، فإنّه يجرى فى مثل ذلك حكم مجهول المالك ، ولايجوز التصرف إلاّ مع احراز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جواز المقاصة اشكال خصوصاً إذا كان الاشتباه منه لا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عنوان اللقطة عنوان آخر يغاير عنوان مجهول المالك ، فواضح ، إذ اللقطة فرد من أفراد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 عرفاً إلاّ مع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 عليها شرعاً حكم خاص ، وهو وجوب الفحص عن المالك لفترة سنة ثم مع عدم العثور عليه يتخير بين اُمور ثلاثة حسبما تقدم حتى مع فرض عدم اليأس من العثور عليه ، </w:t>
      </w:r>
    </w:p>
    <w:p>
      <w:pPr>
        <w:pStyle w:val="BookText"/>
        <w:rPr/>
      </w:pPr>
      <w:r>
        <w:rPr>
          <w:rFonts w:ascii="Amiri" w:hAnsi="Amiri" w:eastAsia="Amiri" w:cs="Amiri"/>
          <w:color w:val="111111"/>
          <w:sz w:val="28"/>
          <w:sz w:val="28"/>
          <w:szCs w:val="28"/>
          <w:rtl w:val="true"/>
          <w:lang w:bidi="ar-SA"/>
        </w:rPr>
        <w:t xml:space="preserve">وهذا بخلاف عنوان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الفحص عن مالكه لازم من دون تقيد بفترة سنة ، بل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هو المختار لجملة من الأصحاب ، وتدل عليه بعض الروايات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اليأس عنه ، ومع تحققه لايتخير بين الاُمور الثلاثة ، بل يتعين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الفرق بين اللقطة ومجهول المالك فى الحكم ، فمستنده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اللقطة ، فهو ما تقدم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الى مجهول المالك ، فهو ما يظهر من بعض الروايات ، كصحيحة يونس بن عبدالرحمن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أبوالحسن الرضا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كان لنا بمكة فرحل منها الى منزله ورحلنا الى منازلنا ، فلما أن صرنا فى الطريق أصبنا بعض متاعه معنا فأى شيء نصنع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حتى تحملوه الى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ولانعرف بلده ولا نعرف كيف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كذا فبعه وتصدق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الولاية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وصحيحة معاوية بن وهب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كان له على رجل حق ففقده ولايدرى أين يطلبه ، ولايدري أحيّ هو أم ميّت ، ولايعرف له وارثاً ولانسباً ولاولداً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قد طال فأتصدق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اطلبه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وسند الصحيحة الذى سجّله الحر فى الوسائل ضعيف ـ لعدم ثبوت وثاقة ابن عون وأبى ثابت ـ إلاّ أن هناك سندا آخر صحيحاً اشار اليه الشيخ فى تهذيبه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التمسك لإثبات وجوب الفحص فى مجهول المالك الى حدّ اليأس </w:t>
      </w:r>
    </w:p>
    <w:p>
      <w:pPr>
        <w:pStyle w:val="BookText"/>
        <w:rPr/>
      </w:pPr>
      <w:r>
        <w:rPr>
          <w:rFonts w:ascii="Amiri" w:hAnsi="Amiri" w:eastAsia="Amiri" w:cs="Amiri"/>
          <w:color w:val="111111"/>
          <w:sz w:val="28"/>
          <w:sz w:val="28"/>
          <w:szCs w:val="28"/>
          <w:rtl w:val="true"/>
          <w:lang w:bidi="ar-SA"/>
        </w:rPr>
        <w:t xml:space="preserve">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فان الفحص مقدمة للاداء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تعميم حكم مجهول المالك للمال المعلوم مالكه مع تعذر الوصول اليه ، فباعتبار أن مورد الروايات السابقة هو معلوم المالك وإنّما تعدّينا الى مجهول المالك باعتبار الغاء الخصوصية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تعذر كسب الاجازة من المالك المعلوم ، فباعتبار أنّه لايجوز التصرف فى مال الغير بدون طيب نفسه ، فاذا أمكن كسب الاجازة فى تحديد كيفية التصرف فلايجوز 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الحكم المذكور لتبدل العباءة أو الحذاء ، فواضح ، إذ مع احراز رضا المالك بالتصرف بنحوٍ خاص فلاتعود مشكلة ، ومع عدم احراز ذلك يلزم تطبيق حكم مجهول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وجه الاشكال فى جواز المقاصة فباعتبار ان مستندها خاص بمورد التعمد والمفروض فى محل كلامنا هو الاشتباه ، فلاحظ صحيحة داود بن رزين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اُخالط السلطان فتكون عندى الجارية فيأخذونها والدابة الفارهة فيبعثون فيأخذونها ، ثم يقع لهم عندى المال فلى أن آخذه؟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 ذلك ولا تزد عليه </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أوضحية الاشكال فى جواز المقاصة فى حالة كون الاشتباه من الشخص نفسه دون الغير ، فباعتبار أنّ مستند جواز المقاصة على تقدير عمومه لحالة الاشتباه خاص بما إذا كان الاشتباه من الغير لا من الشخص نفسه</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370_198096"/>
      <w:bookmarkStart w:id="93" w:name="pg19370_198096"/>
      <w:bookmarkEnd w:id="93"/>
    </w:p>
    <w:p>
      <w:pPr>
        <w:pStyle w:val="Heading2"/>
        <w:numPr>
          <w:ilvl w:val="1"/>
          <w:numId w:val="1"/>
        </w:numPr>
        <w:rPr/>
      </w:pPr>
      <w:bookmarkStart w:id="94" w:name="pg19370_198096"/>
      <w:bookmarkStart w:id="95" w:name="__RefHeading___Toc17390903_1280447820"/>
      <w:bookmarkStart w:id="96" w:name="_Toc28"/>
      <w:bookmarkEnd w:id="94"/>
      <w:bookmarkEnd w:id="95"/>
      <w:r>
        <w:rPr>
          <w:rtl w:val="true"/>
        </w:rPr>
        <w:t>كتاب الغصب</w:t>
      </w:r>
      <w:bookmarkEnd w:id="96"/>
    </w:p>
    <w:p>
      <w:pPr>
        <w:pStyle w:val="Heading3"/>
        <w:numPr>
          <w:ilvl w:val="2"/>
          <w:numId w:val="1"/>
        </w:numPr>
        <w:rPr/>
      </w:pPr>
      <w:bookmarkStart w:id="97" w:name="__RefHeading___Toc17390905_1280447820"/>
      <w:bookmarkStart w:id="98" w:name="_Toc29"/>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اسباب الضمان</w:t>
      </w:r>
    </w:p>
    <w:p>
      <w:pPr>
        <w:pStyle w:val="BookText"/>
        <w:rPr/>
      </w:pPr>
      <w:r>
        <w:rPr>
          <w:rFonts w:ascii="Amiri" w:hAnsi="Amiri" w:eastAsia="Amiri" w:cs="Amiri"/>
          <w:color w:val="111111"/>
          <w:sz w:val="28"/>
          <w:sz w:val="28"/>
          <w:szCs w:val="28"/>
          <w:rtl w:val="true"/>
          <w:lang w:bidi="ar-SA"/>
        </w:rPr>
        <w:t>الغصب والاحكام الثابتة 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الغصب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9370_198098"/>
      <w:bookmarkStart w:id="100" w:name="pg19370_198098"/>
      <w:bookmarkEnd w:id="100"/>
    </w:p>
    <w:p>
      <w:pPr>
        <w:pStyle w:val="Heading3"/>
        <w:numPr>
          <w:ilvl w:val="2"/>
          <w:numId w:val="1"/>
        </w:numPr>
        <w:rPr/>
      </w:pPr>
      <w:bookmarkStart w:id="101" w:name="pg19370_198098"/>
      <w:bookmarkStart w:id="102" w:name="__RefHeading___Toc17390907_1280447820"/>
      <w:bookmarkStart w:id="103" w:name="_Toc30"/>
      <w:bookmarkEnd w:id="101"/>
      <w:bookmarkEnd w:id="102"/>
      <w:r>
        <w:rPr/>
        <w:t>1</w:t>
      </w:r>
      <w:r>
        <w:rPr>
          <w:rtl w:val="true"/>
        </w:rPr>
        <w:t xml:space="preserve"> - </w:t>
      </w:r>
      <w:r>
        <w:rPr>
          <w:rtl w:val="true"/>
        </w:rPr>
        <w:t>اسباب الضمان</w:t>
      </w:r>
      <w:bookmarkEnd w:id="103"/>
    </w:p>
    <w:p>
      <w:pPr>
        <w:pStyle w:val="BookText"/>
        <w:rPr/>
      </w:pPr>
      <w:r>
        <w:rPr>
          <w:rFonts w:ascii="Amiri" w:hAnsi="Amiri" w:eastAsia="Amiri" w:cs="Amiri"/>
          <w:color w:val="111111"/>
          <w:sz w:val="28"/>
          <w:sz w:val="28"/>
          <w:szCs w:val="28"/>
          <w:rtl w:val="true"/>
          <w:lang w:bidi="ar-SA"/>
        </w:rPr>
        <w:t xml:space="preserve">ذكرت للضمان اسباب متعدّدة ، نذكر 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 فمن استولى على مال الغير بدون رضاه ولاولاية شرعية له عليه ،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ذلك بالضمان لقاعدة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فى باب الغصب ثابت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الإتلاف ، فمن أتلف مال غيره كان له ضامناً حتى لو لم يكن صاحبَ يدٍ عليه ، كمن رمي زجاجة الغير بحصاة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ذلك بالضمان لقاعدة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 ، فمن غرَّ غيره وأوقعه فى الخسارة كان استقرار الضمان عليه ، فلو فرض إن شخصاً قدّم طعاماً الى غيره موحياً له انه ملكه واباح له أكله ، فأكله واتضح بعد ذلك انه ملك شخص ثالث ، فمن حق الثالث الرجوع على الا آكل لقاعدة الإتلاف ولكن من حق الا آكل ايضاً الرجوع على الاول لانه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ذلك بالضمان لقاعدة الغرور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التسبيب ، فلو ان شخصاً سبّب لثانٍ الوقوع فى خسارة كان ضامناً ، كما اذا نجّس شخص قطعة فرش لغيره وكان تطهيرها بحاجة الى أجرة ، ضمن المنجّس ذلك ، كما يلزمه </w:t>
      </w:r>
    </w:p>
    <w:p>
      <w:pPr>
        <w:pStyle w:val="BookText"/>
        <w:rPr/>
      </w:pPr>
      <w:r>
        <w:rPr>
          <w:rFonts w:ascii="Amiri" w:hAnsi="Amiri" w:eastAsia="Amiri" w:cs="Amiri"/>
          <w:color w:val="111111"/>
          <w:sz w:val="28"/>
          <w:sz w:val="28"/>
          <w:szCs w:val="28"/>
          <w:rtl w:val="true"/>
          <w:lang w:bidi="ar-SA"/>
        </w:rPr>
        <w:t>ضمان النقص الطاري‌ء على العين بسبب التطهير لو فرض نقصان قيمتها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ذلك بالضمان لقاعدة التسبيب او كما جاء فى لسان القدماء لقاعدة السبب اقوى من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بالعمل ، فانّ من أمر غيره بعمل معين كان له ضامناً اذا ادّاه ذلك الغير ولم‌يقصد به التبرع ، فلو قال شخص للحمّال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متاعى الى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للبنّاء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ضامناً لأجرة المثل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عمل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الاقدام على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قاعدة على اليد ، فقد يتصوّر ان مدركها هو الحديث المنقول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اليد ما اخذت حتّى تؤدّي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ذلك ضعيف ، فانّه لا اثرله فى معاجمنا الحديثية المعروفة الا ما سجلّه الأحسائى فى عواليه بشكل مرسل</w:t>
      </w:r>
      <w:r>
        <w:rPr>
          <w:rStyle w:val="FootnoteAnchor"/>
          <w:rtl w:val="true"/>
        </w:rPr>
        <w:footnoteReference w:id="146"/>
      </w:r>
      <w:r>
        <w:rPr>
          <w:rFonts w:ascii="Amiri" w:hAnsi="Amiri" w:eastAsia="Amiri" w:cs="Amiri"/>
          <w:color w:val="111111"/>
          <w:sz w:val="28"/>
          <w:sz w:val="28"/>
          <w:szCs w:val="28"/>
          <w:rtl w:val="true"/>
          <w:lang w:bidi="ar-SA"/>
        </w:rPr>
        <w:t>ونقله عنه المحدّث النورى فى مستدركه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نعم تمسك به فقهاؤنا كثيراً فى كتبهم الفقهيّة الإستدلالية ، وأوّل من تمسّك به شيخ الطائفة فى خلافه</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المصدر الأصلى له هو المعاجم الحديثية للجمهور ، فقد رواه كثير منهم </w:t>
      </w:r>
    </w:p>
    <w:p>
      <w:pPr>
        <w:pStyle w:val="BookText"/>
        <w:rPr/>
      </w:pPr>
      <w:r>
        <w:rPr>
          <w:rFonts w:ascii="Amiri" w:hAnsi="Amiri" w:eastAsia="Amiri" w:cs="Amiri"/>
          <w:color w:val="111111"/>
          <w:sz w:val="28"/>
          <w:sz w:val="28"/>
          <w:szCs w:val="28"/>
          <w:rtl w:val="true"/>
          <w:lang w:bidi="ar-SA"/>
        </w:rPr>
        <w:t>بسند ينتهى الى الحسن</w:t>
      </w:r>
      <w:r>
        <w:rPr>
          <w:rStyle w:val="FootnoteAnchor"/>
          <w:rtl w:val="true"/>
        </w:rPr>
        <w:footnoteReference w:id="149"/>
      </w:r>
      <w:r>
        <w:rPr>
          <w:rFonts w:ascii="Amiri" w:hAnsi="Amiri" w:eastAsia="Amiri" w:cs="Amiri"/>
          <w:color w:val="111111"/>
          <w:sz w:val="28"/>
          <w:sz w:val="28"/>
          <w:szCs w:val="28"/>
          <w:rtl w:val="true"/>
          <w:lang w:bidi="ar-SA"/>
        </w:rPr>
        <w:t xml:space="preserve">عن سمرة </w:t>
      </w:r>
      <w:r>
        <w:rPr>
          <w:rStyle w:val="FootnoteAnchor"/>
          <w:rtl w:val="true"/>
        </w:rPr>
        <w:footnoteReference w:id="150"/>
      </w:r>
      <w:r>
        <w:rPr>
          <w:rFonts w:ascii="IRNazanin" w:hAnsi="IRNazanin" w:eastAsia="IRNazanin"/>
          <w:color w:val="111111"/>
          <w:sz w:val="28"/>
          <w:sz w:val="28"/>
          <w:szCs w:val="28"/>
          <w:rtl w:val="true"/>
          <w:lang w:bidi="fa-IR"/>
        </w:rPr>
        <w:t xml:space="preserve">عن النبى صلی اللّه علیه و آله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وان كان ضعيف السند الا انه منجبر بالشهرة كما قال الشيخ النراقى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اشتهارها بين الاصحاب وتداولها فى كتبهم وتلقيهم لها بالقبول واستدلالهم بها فى موارد غير عديدة يجبر ضعفها ويكفى عن موؤنة البحث عن سندها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ولكن هذا قابل للمناقشة ، إذ المراد بالشهرة ان كان هو الشهرة الرّوائية ، فهى غير محققة لعدم وجود الرواية المذكورة فى المعاجم الحديثية ، وان كان هو الشهرة الفتوائية ، فهى انما تكون جابرة لو كانت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الطبقة المقاربة لعصر صدور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ولايكفى تحققها بين المتأخرين فقط حيث لم يستند اليها من المتقدّمين سوى الشيخ الطوسي ، وهذا لايكفى لتحقق شهرة الفتوى على طبق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يتّضح الجواب لو كان مقصوده شهرة نفس القاعدة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لاتكفي اذا لم تكن بين المتقدمين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فالمدرك لايمكن ان يكون هو الحديث المذكور بل هو المنعقدة السيرة العقلائية على أن مَنْ استولى على مال غيره فهو ضامن له ، وحيث انّ هذه السيرة لايحتمل حدوثها متأخراً بل هى معاصرة لعصر المعصوم علیهم السلام جزماً ولم يصدر ردع عنها فيستكشف امضاؤها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كون المدرك هو السيرة لامعنى للنزاع فى كون المستفاد من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الحكم التكليفى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الحفظ الى زمان الأداء كما ذهب اليه الشيخ النراقي ، </w:t>
      </w:r>
      <w:r>
        <w:rPr>
          <w:rStyle w:val="FootnoteAnchor"/>
          <w:rtl w:val="true"/>
        </w:rPr>
        <w:footnoteReference w:id="153"/>
      </w:r>
      <w:r>
        <w:rPr>
          <w:rFonts w:ascii="Amiri" w:hAnsi="Amiri" w:eastAsia="Amiri" w:cs="Amiri"/>
          <w:color w:val="111111"/>
          <w:sz w:val="28"/>
          <w:sz w:val="28"/>
          <w:szCs w:val="28"/>
          <w:rtl w:val="true"/>
          <w:lang w:bidi="ar-SA"/>
        </w:rPr>
        <w:t xml:space="preserve">او الاعم منه ومن الحكم الوضعى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الشيخ الأعظم ، </w:t>
      </w:r>
      <w:r>
        <w:rPr>
          <w:rStyle w:val="FootnoteAnchor"/>
          <w:rtl w:val="true"/>
        </w:rPr>
        <w:footnoteReference w:id="154"/>
      </w:r>
      <w:r>
        <w:rPr>
          <w:rFonts w:ascii="Amiri" w:hAnsi="Amiri" w:eastAsia="Amiri" w:cs="Amiri"/>
          <w:color w:val="111111"/>
          <w:sz w:val="28"/>
          <w:sz w:val="28"/>
          <w:szCs w:val="28"/>
          <w:rtl w:val="true"/>
          <w:lang w:bidi="ar-SA"/>
        </w:rPr>
        <w:t>فان هذا وجيه لو كان المدرك هو الحديث ، وقد عرفت انه السيرة ، وهى تقتضى الضمان لامجرد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قاعدة الاتلاف ، فليس مستندها حديث من اتلف مال الغير فهو له ضامن ، فانه لم يثبت كونه حديثاً حتى بنحو الإرسال بل هو 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قاعدة الغرور ، فيمكن الإستدلال عليها بالوجهين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 فانه قد يدّعى انعقادها على ضمان الغار ، وحيث لم يردع عنها شرعاً ، فيثبت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بالرّوايات الخاصة من قبيل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صحيحة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شهد عندها شاهدان بان زوجها مات ، فتزوجت ثم جاء زوجها الأوّل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المهر بما استحل من فرجها الاخيرُ ، ويضرب الشاهدان الحدَّ ، ويضمنان المهر لها بما غرّا الرجلَ ، ثم تعتد وترجع الي زوجها الاول ،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ثم ان صاحب الوسائل قد ذكر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نسخة ، ولكنها فى المصدر الأصلى ثابتة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ان الباء فى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غرّا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 اى يضمنان</w:t>
      </w:r>
    </w:p>
    <w:p>
      <w:pPr>
        <w:pStyle w:val="BookText"/>
        <w:rPr/>
      </w:pPr>
      <w:r>
        <w:rPr>
          <w:rFonts w:ascii="Amiri" w:hAnsi="Amiri" w:eastAsia="Amiri" w:cs="Amiri"/>
          <w:color w:val="111111"/>
          <w:sz w:val="28"/>
          <w:sz w:val="28"/>
          <w:szCs w:val="28"/>
          <w:rtl w:val="true"/>
          <w:lang w:bidi="ar-SA"/>
        </w:rPr>
        <w:t>بسبب انهما غرّا الرجل ، فيتمسك بعموم التعليل ويثبت بذلك ان مطلق الغرور يوجب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رفاعة بن موسي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البرصاء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فى إمراة زوّجها وليّها وهى برصاء ان لها المهر بما استحل من فرجها وان المهر على الذى زوّجها ، وانما صار عليه المهر لانه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بتقريب انّها تدل بعموم التعليل على ان كل مدلّى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تعبير آخر عن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سندها على سهل الذى وقع محلاً للكلام ولكنها تصلح على اي حال لدعم الصحيحة الاولي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اتضح ان المدرك للقاعدة هو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اشتهر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المغرور يرجع على من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نسبه بعض الفقهاء الى النبى صلی اللّه علیه و آله </w:t>
      </w:r>
      <w:r>
        <w:rPr>
          <w:rStyle w:val="FootnoteAnchor"/>
          <w:rtl w:val="true"/>
        </w:rPr>
        <w:footnoteReference w:id="157"/>
      </w:r>
      <w:r>
        <w:rPr>
          <w:rFonts w:ascii="IRNazanin" w:hAnsi="IRNazanin" w:eastAsia="IRNazanin"/>
          <w:color w:val="111111"/>
          <w:sz w:val="28"/>
          <w:sz w:val="28"/>
          <w:szCs w:val="28"/>
          <w:rtl w:val="true"/>
          <w:lang w:bidi="fa-IR"/>
        </w:rPr>
        <w:t>فلاوجود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قاعدة التسبيب ، فمدركها السيرة العقلائية الممضاة بعدم الردع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بعض الأعلام أنكر القاعدة المذكورة ، وذكر ان التسبيب اذا كان موجباً لصدق الإتلاف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ارسل شخص دابّته واتلفت زرع الغير او دفع الي صبى سكيناً وطلب منه جرح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الضمان ، واما اذا لم يكن موجباً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المدفوع اليه السكين كبيراً ذا 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ثبوت الضمان فى موارد الامر بالعمل ، فلم ينقل فيه خلاف ، بل ذكر المحقق الاردبيلى ان من المحتمل كون ذلك مجمعاً عليه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ولكن ما هو السبب للضمان؟ انه 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السبب للضمان لانجد اشارة اليه فى كلمات المتقدّمين ، ولعل اول من لمّح اليه المحقق الأردبيلي ، </w:t>
      </w:r>
      <w:r>
        <w:rPr>
          <w:rStyle w:val="FootnoteAnchor"/>
          <w:rtl w:val="true"/>
        </w:rPr>
        <w:footnoteReference w:id="160"/>
      </w:r>
      <w:r>
        <w:rPr>
          <w:rFonts w:ascii="Amiri" w:hAnsi="Amiri" w:eastAsia="Amiri" w:cs="Amiri"/>
          <w:color w:val="111111"/>
          <w:sz w:val="28"/>
          <w:sz w:val="28"/>
          <w:szCs w:val="28"/>
          <w:rtl w:val="true"/>
          <w:lang w:bidi="ar-SA"/>
        </w:rPr>
        <w:t>ثم تلاه بعض الأعلام من المتأخرين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لايكون الضمان فى موارد الأمر بالعمل من باب الاجارة؟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فى الاجارة يمتلك كل واحد من الطرفين العوض الآخر بمجرد العقد ، كما لاحق لهما فى التراجع والفسخ ، وهذا بخلافه فى مورد الأمر بالعمل ، فانه بمجرد الأمر لايمتلك الآمرُ العملَ فى ذمة المأمور ، كما ان من حق كل واحد منهما التراجع ما دام لم يحصل التصدى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لايكون الضمان من باب الجعالة؟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الجعالة فى روحها هى من مصاديق الأمر بالعمل وليست شيئاً في مقابله ، واذا كان هناك فرق ، فهو باعتبار تعيّن مقدار الجعل فى باب الجعالة عادة بخلافه فى باب الأمر بالعمل ، فانه حيث لم يعيّن مقدار الأجرة فيثبت ضمان أجرة المثل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قاعدة احترام عمل المسلم ، فقد أشار اليها بعض الأعلام فى مسألة الأمر بالعمل ، فانه بعد ان اُتفق على الضمان فيها ، وقع الكلام فى وجه الضمان ، وقد ذكرنا سابقاً ان ذلك للسيرة العقلائية ، غير ان صاحب الجواهر والسيد اليزدى تمسّكا بقاعدة احترام عمل المسلم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بالمضمون المذكور لم تثبت من خلال النصوص الشرعية وانما الثابت احترام مال المسلم ودمه ، فقد ورد فى صحيحة أبى بصير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وحرمه ماله كحرمة دمه </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وهذا لاينفع لاثبات المطلوب ، لانه ظاهر فى الحرمة التكليفية ، ومع التنزّل فهو ناظر الي المال وليس الى العمل ، فانّ العمل لو سُلّم كونه مالاً ، فالحديث منصرف عنه وناظر الى المال الذى لايكون من قبيل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فى الإستدلال على الضمان فى موارد الأمر بالعمل هو التمسك بالسيرة العقلائية لابقاعدة احترام عمل المسلم ، فانها 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الاقدام على الضمان ، فقد ذكره الشيخ الأعظم كسبب للضمان فى مقام توجيه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فالبيع مثلاً اذا كان صحيحاً يثبت فيه الضمان ، بمعنى انه لو تلف المبيع عند المشترى يكون تلفه من كيسه ، ولاحق له فى الرجوع على البائع حتى لو لم يكن التلف عن تفريط ، وهكذا الحال يلزم لو اتضح فساد البيع لبعض الأسباب ، فان تلف المبيع يكون على المشتري ، ولكن لماذا ذلك والحال 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افتراض 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ملكاً للمشتري ليكون تلفه منه بل هو ملك البائع؟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الأعظم فى هذا المجال انه قد جاء فى كلمات شيخ الطائفة والشهيد الثانى ان السبب هو قاعدة الاقدام على الضمان ، ثمّ علّق الشيخ الأعظم نفسه علي ذلك بان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يحتاج الى دليل </w:t>
      </w:r>
      <w:r>
        <w:rPr>
          <w:rFonts w:eastAsia="Amiri" w:cs="Amiri" w:ascii="Amiri" w:hAnsi="Amiri"/>
          <w:color w:val="111111"/>
          <w:sz w:val="28"/>
          <w:szCs w:val="28"/>
          <w:rtl w:val="true"/>
          <w:lang w:bidi="ar-SA"/>
        </w:rPr>
        <w:t xml:space="preserve">». </w:t>
      </w:r>
      <w:r>
        <w:rPr>
          <w:rStyle w:val="FootnoteAnchor"/>
          <w:rtl w:val="true"/>
        </w:rPr>
        <w:footnoteReference w:id="164"/>
      </w:r>
      <w:bookmarkStart w:id="104" w:name="pg19370_198105"/>
    </w:p>
    <w:p>
      <w:pPr>
        <w:pStyle w:val="BookText"/>
        <w:rPr/>
      </w:pPr>
      <w:bookmarkEnd w:id="104"/>
      <w:r>
        <w:rPr>
          <w:rFonts w:ascii="Amiri" w:hAnsi="Amiri" w:eastAsia="Amiri" w:cs="Amiri"/>
          <w:color w:val="111111"/>
          <w:sz w:val="28"/>
          <w:sz w:val="28"/>
          <w:szCs w:val="28"/>
          <w:rtl w:val="true"/>
          <w:lang w:bidi="ar-SA"/>
        </w:rPr>
        <w:t xml:space="preserve">ونتمكّن ان نقول كتوضيح لتعليق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العقلائية لم يثبت انعقادها على الضمان بمجرد الاقدام من دون تحقق اليد او الإتلاف او الأمر بالعمل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7390909_1280447820"/>
      <w:bookmarkStart w:id="106" w:name="_Toc31"/>
      <w:bookmarkEnd w:id="105"/>
      <w:r>
        <w:rPr/>
        <w:t>2</w:t>
      </w:r>
      <w:r>
        <w:rPr>
          <w:rtl w:val="true"/>
        </w:rPr>
        <w:t xml:space="preserve"> - </w:t>
      </w:r>
      <w:r>
        <w:rPr>
          <w:rtl w:val="true"/>
        </w:rPr>
        <w:t>الغصب والأحكام الثابتة له</w:t>
      </w:r>
      <w:bookmarkEnd w:id="106"/>
    </w:p>
    <w:p>
      <w:pPr>
        <w:pStyle w:val="BookText"/>
        <w:rPr/>
      </w:pPr>
      <w:r>
        <w:rPr>
          <w:rFonts w:ascii="Amiri" w:hAnsi="Amiri" w:eastAsia="Amiri" w:cs="Amiri"/>
          <w:color w:val="111111"/>
          <w:sz w:val="28"/>
          <w:sz w:val="28"/>
          <w:szCs w:val="28"/>
          <w:rtl w:val="true"/>
          <w:lang w:bidi="ar-SA"/>
        </w:rPr>
        <w:t xml:space="preserve">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الإستيلاء على ملك الغير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احكام ، اثنان تكليفيان ، وهما الحرمة ، ووجوب الردّ على المغصوب منه او وليّه ، وثالث وضعي ، وهو الضمان ، بمعنى كون المغصوب فى عهدة الغاصب ، اى لو تلف فعليه دفع بدله مِثلاً او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ان الغصب ما ذكر ، فلعله احسن ما يمكن ان يذكر فى تحديده ، </w:t>
      </w:r>
      <w:r>
        <w:rPr>
          <w:rStyle w:val="FootnoteAnchor"/>
          <w:rtl w:val="true"/>
        </w:rPr>
        <w:footnoteReference w:id="165"/>
      </w:r>
      <w:r>
        <w:rPr>
          <w:rFonts w:ascii="Amiri" w:hAnsi="Amiri" w:eastAsia="Amiri" w:cs="Amiri"/>
          <w:color w:val="111111"/>
          <w:sz w:val="28"/>
          <w:sz w:val="28"/>
          <w:szCs w:val="28"/>
          <w:rtl w:val="true"/>
          <w:lang w:bidi="ar-SA"/>
        </w:rPr>
        <w:t>وان كان ذلك ليس بمهم ، لأن الضمان ونحوه من الأحكام الشرعية المترتبة على الغصب لم تثبت له بما هو غصب بل بما هو تصرف غير مأذون فيه ، وعلى ذلك لايكون تحديد مفهومه ذا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أشار صاحب الجواهر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للغصب حقيقة شرعية قطعاً ، كما انه ليس له احكام مخصوصة زائدة على المضمون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يحتاج الى المتعبة فى تنقيح معناه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المناسب الضمان بدل المضمون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ثبوت الحرمة له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العقل والكتاب والسنة الشريفان</w:t>
      </w:r>
      <w:r>
        <w:rPr>
          <w:rFonts w:eastAsia="Amiri" w:cs="Amiri" w:ascii="Amiri" w:hAnsi="Amiri"/>
          <w:color w:val="111111"/>
          <w:sz w:val="28"/>
          <w:szCs w:val="28"/>
          <w:rtl w:val="true"/>
          <w:lang w:bidi="ar-SA"/>
        </w:rPr>
        <w:t xml:space="preserve">. </w:t>
      </w:r>
      <w:bookmarkStart w:id="107" w:name="pg19370_198106"/>
    </w:p>
    <w:p>
      <w:pPr>
        <w:pStyle w:val="BookText"/>
        <w:rPr/>
      </w:pPr>
      <w:bookmarkEnd w:id="107"/>
      <w:r>
        <w:rPr>
          <w:rFonts w:ascii="Amiri" w:hAnsi="Amiri" w:eastAsia="Amiri" w:cs="Amiri"/>
          <w:color w:val="111111"/>
          <w:sz w:val="28"/>
          <w:sz w:val="28"/>
          <w:szCs w:val="28"/>
          <w:rtl w:val="true"/>
          <w:lang w:bidi="ar-SA"/>
        </w:rPr>
        <w:t>اما العقل ، فلحكمه بقبح التصرف فى مال الغير من دون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الكتاب الكريم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واما السنة ، فكقوله صلی اللّه علیه و آله فى حجة الوداع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لايحل دم امري‌ء مسلم ولاماله الا بطيبة نفسه </w:t>
      </w:r>
      <w:r>
        <w:rPr>
          <w:rFonts w:eastAsia="IRNazanin" w:cs="IRNazanin"/>
          <w:color w:val="111111"/>
          <w:sz w:val="28"/>
          <w:szCs w:val="28"/>
          <w:rtl w:val="true"/>
          <w:lang w:bidi="fa-IR"/>
        </w:rPr>
        <w:t xml:space="preserve">.... ) </w:t>
      </w:r>
      <w:r>
        <w:rPr>
          <w:rStyle w:val="FootnoteAnchor"/>
          <w:rtl w:val="true"/>
        </w:rPr>
        <w:footnoteReference w:id="168"/>
      </w:r>
      <w:r>
        <w:rPr>
          <w:rFonts w:ascii="Amiri" w:hAnsi="Amiri" w:eastAsia="Amiri" w:cs="Amiri"/>
          <w:color w:val="111111"/>
          <w:sz w:val="28"/>
          <w:sz w:val="28"/>
          <w:szCs w:val="28"/>
          <w:rtl w:val="true"/>
          <w:lang w:bidi="ar-SA"/>
        </w:rPr>
        <w:t xml:space="preserve">، وكالتوقيع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لايحل لأحد ان يتصرّف فى مال غيره بغير اذنه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الحكمان الآخران ، فتدلّ عليهما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بالسيرة العقلائية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7390911_1280447820"/>
      <w:bookmarkStart w:id="109" w:name="_Toc32"/>
      <w:bookmarkEnd w:id="108"/>
      <w:r>
        <w:rPr/>
        <w:t>3</w:t>
      </w:r>
      <w:r>
        <w:rPr>
          <w:rtl w:val="true"/>
        </w:rPr>
        <w:t xml:space="preserve"> - </w:t>
      </w:r>
      <w:r>
        <w:rPr>
          <w:rtl w:val="true"/>
        </w:rPr>
        <w:t>من احكام الغصب</w:t>
      </w:r>
      <w:bookmarkEnd w:id="109"/>
    </w:p>
    <w:p>
      <w:pPr>
        <w:pStyle w:val="BookText"/>
        <w:rPr/>
      </w:pPr>
      <w:r>
        <w:rPr>
          <w:rFonts w:ascii="Amiri" w:hAnsi="Amiri" w:eastAsia="Amiri" w:cs="Amiri"/>
          <w:color w:val="111111"/>
          <w:sz w:val="28"/>
          <w:sz w:val="28"/>
          <w:szCs w:val="28"/>
          <w:rtl w:val="true"/>
          <w:lang w:bidi="ar-SA"/>
        </w:rPr>
        <w:t>يجب ردُّ العين المغصوبة على ما لكها وان كان فيه مؤنة او يلزم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فلو خاط شخص ثوبه بخيوط مملوكة للغير 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بارجاعها وجب ذلك وان أدّى الى فساد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حقِّ مالك الخيوط المطالبة ببدلها اذا كان نزعها من الثوب يوجب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ايضا ، لو مزج الشعير المغصوب بالحنطة وجب فرزه وردُّه على المالك اذا طالب به وان كان فى ذلك مشقة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للعين المغصوبة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التى لها منفعة السكن والسيارة التى لها منفعة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مضافاً الى ضمان نفس العين ضمان قيمة المنافع التى استوفاها الغاصب بل وغير المستوفاة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واذا غصب شخص عيناً وبقيت عنده فترة ونزلت خلالها قيمتها السوقية كفى ردُّها بدون ضمان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تلفت العين المغصوبة لزم ردُّ مثلها اذا كانت مثلية وقيمتها اذا كانت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بالمثل ما يوجد له نظير مشابه لايختلف معه فى الصفات التى تختلف باختلافها الرغبات بخلاف القيميّ ، فانه ما لايكون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وُجد المثل بأزيد من قيمته المتعارفة ، لزم شراؤه ودفعه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المثل متوفراً وقد هبطت قيمته عما عليه زمن الغصب كفى دفعه وليس للمالك المطالبة بالقيمة او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الشيء قيميّاً واختلفت قيمته فى زمان الغصب عنها فى زمان التلف او الأداء ، ففى كون المدار على اى واحد من القيم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تعاقبت الأيدى على العين المغصوبة كان من حق المالك الرجوع على اى واحد منها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غصب شخص ارضاً فزرعها فالزرع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يرض المالك ببقاءه ولو بأجرة وجبت ازالته فوراً وان تضرر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غصب شخص حباً فزرعه او بيضاً فاستفرخه ، فالنماء للمغصوب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لشخص دين على آخر وامتنع من اداءه فصرف مالاً فى سبيل تحصيله لم تكن له مطالبة المدين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وقع فى يد المغصوب منه مال للغاصب ، جاز اخذه مقاصة وان لم يكن من جنس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ولايلزم كسب الإذن من الحاكم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انه يجب ردُّ العين المغصوبة وان لزم منه ما ذكر ، فلأن ذلك لازم بقاء الشيء على ملك مالكه ومطالبته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الإمساك تصرّف فى مال الغير بغير اذنه فيحرم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التمسك لذلك ايضاً بنحو التأييد ببعض النصوص ، من قبيل مرسلة حمّاد بن عيسى عن بعض اصحابنا عن العبد الصالح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الغصب كله مردود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وما روى عن اميرالمؤمنين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الغصب فى الدار رهن على خرابها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فيها الاّ من ابى حنيفة وتلميذه الشيباني ، فانهما قالا فى اللوح المغصوب المثبت على السفينة ، والخشبة المغصوبة المستدخلة في البناء بملك الغاصب لهما وعدم وجوب الردِّ والإكتفاء بردِّ القيمة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لقواعد الاسلام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هذا كله لو كان المقصود من الردِّ التخلية بين العين ومالكها ، واما اذا كان المقصود الإيصال الى المالك فيمكن الإستدلال له بقضاء السيرة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جواز المطالبة ببدل العين المغصوبة اذا كان ارجاعها يستلزم تلفها ، فلأنها بحكم المعدوم آنذاك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ضمان قيمة المنافع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اذا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بعد كونها مالاً مشمولةٌ لقاعدتي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الحال بالنسية الى قيمة المنافع غير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اذا ابقاها الغاصب خالية ولم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مضمونة للقاعدتين المتقدمتين</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هذا وقد يستشكل فى الحكم بضمان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مستوفاة كانت او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فى كلمات الشيخ الأعظم من انّ عنوان الأخذ لايصدق الاّ بالنسبة الي الاعيان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وقد يضاف الى ذلك ان الأداء المذكور فى ذيل القاعدة لايصدق بالنسبة الى غير الأعيان ، فيلزم اختصاص القاعدة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القاعدة ليس لفظياً ليدقق بالشكل المذكور بل هو السيرة ، وهي عامة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ذلك خاص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ولايجرى فى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الى المنافع غير المستوفاة قد يفصّل بين ما اذا استند تفويتها الي الغاصب فيحكم بالضمان وبين ما اذا لم يستند اليه فلاضمان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لدى شخص دار يسكنها أو يؤجرها فغصبها آخر ، فانه يكون ضامناً لقيمة السكن حتى لو لم يسكنها وتركها من دون استيفاء باعتبار انه فوّت المنافع على المالك واتلفها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كانت الدار مهجورة وقد ترك المالك الإستفادة منها باي شكل ، فانه اذا غصبها شخص فلا يضمن منافعها ما دام قد تركها مهجورة ايضاً ولم يستوفها ، اذ التفويت والاتلاف لايستند اليه ليكون ضامناً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عدم ضمان نقصان القيمة السوقية عند ردِّ العين سالمة ، فباعتبار ان القيمة السوقية مجرد اعتبار لادليل على ضمانه بعد ردِّ العين سالمة ، الا ان يدّعي انعقاد السيرة على ذلك ، وهو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الى هذا يشير المحقق الاردبيلى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ولايضمن القيمة السوقية فانه ما اتلف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ولاضمان الابفوت شيء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لزوم ردِّ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الشيء مثلياً والقيمة اذا كان قيمياً ، فقد يستدل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بالتقريب الذى نقله الشيخ الأعظم ، وهو ان مماثل ما اعتدى هو المثل فى المثلى والقيمة فى القيمي</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او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قابل للمناقشة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 ، فلأنّ الاية الكريمة إما ناظرة الى خصوص باب الجروح ويكون المقصود منها ما اشير اليه فى 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عَلَيْهِمْ فِيهَا أَنَّ النَّفْسَ بِالنَّفْسِ وَالْعَيْنَ بِالْعَيْنِ </w:t>
      </w:r>
      <w:r>
        <w:rPr>
          <w:rFonts w:eastAsia="Amiri" w:cs="Amiri" w:ascii="Amiri" w:hAnsi="Amiri"/>
          <w:color w:val="111111"/>
          <w:sz w:val="28"/>
          <w:szCs w:val="28"/>
          <w:rtl w:val="true"/>
          <w:lang w:bidi="ar-SA"/>
        </w:rPr>
        <w:t xml:space="preserve">.... ) </w:t>
      </w:r>
      <w:r>
        <w:rPr>
          <w:rStyle w:val="FootnoteAnchor"/>
          <w:rtl w:val="true"/>
        </w:rPr>
        <w:footnoteReference w:id="179"/>
      </w:r>
      <w:r>
        <w:rPr>
          <w:rFonts w:ascii="Amiri" w:hAnsi="Amiri" w:eastAsia="Amiri" w:cs="Amiri"/>
          <w:color w:val="111111"/>
          <w:sz w:val="28"/>
          <w:sz w:val="28"/>
          <w:szCs w:val="28"/>
          <w:rtl w:val="true"/>
          <w:lang w:bidi="ar-SA"/>
        </w:rPr>
        <w:t xml:space="preserve">، او هى عامة لغير ذلك ودالة على ان من اعتدى بكسر إناء مثلاً فمن حق المعتدى عليه الاعتداء بالمثل وذلك بأخذ ما يماثل الإناء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الجزم بعدم كون المقصود كسر اناء مشابه من اوانى المعتدى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جواز </w:t>
      </w:r>
    </w:p>
    <w:p>
      <w:pPr>
        <w:pStyle w:val="BookText"/>
        <w:rPr/>
      </w:pPr>
      <w:r>
        <w:rPr>
          <w:rFonts w:ascii="Amiri" w:hAnsi="Amiri" w:eastAsia="Amiri" w:cs="Amiri"/>
          <w:color w:val="111111"/>
          <w:sz w:val="28"/>
          <w:sz w:val="28"/>
          <w:szCs w:val="28"/>
          <w:rtl w:val="true"/>
          <w:lang w:bidi="ar-SA"/>
        </w:rPr>
        <w:t>أخذ المثل شيء والضمان بمعنى اشتغال الذمة بالمثل شيء آخر ، والمطلوب اثباته هو الثانى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 فلأن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مدركها اللفظي ، فهى ناظرة الى اصل الضمان دون التفصيل بين المثلى والقيمى فى فرض تعذّر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الاستدلال بالسيرة العقلائية القاضية بانّ من أتلف مال الغير فعليه غرامة مثله ان كان مثلياً وقيمته ان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تفسير المثلى والقيمى بما ذكر ، فهو ما يقتضيه بناء العقلاء الذى هو المستند لضمان المثلى فى المثلى والقيمة فى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لزوم شراء المثل ولو باكثر من قيمته المتعارفة ، فباعتبار ان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مدرك ضمان المثل فى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قاضية باستحقاق المثل حتى فى الحالة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الإكتفاء بدفع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ارجاع العين ولو مع هبوط قيمته ، فباعتبار ان سيرة العقلاء التى هى مدرك ضمان المثل فى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باكثر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كون المدار فى الضمان على قيمة يوم الغصب ، فيستند الى صحيحة ابي 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اكتريت بغلاً الى قصرابن هبيرة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بالكوفة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ذاهباً وجائياً بكذا وكذا ، وخرجت فى طلب غريم لي ، فلمّا صرت قرب قنطرة الكوفة خُبّرت ان صاحبى توجّه الى النيل ، فتوجّهت نحو النيل فلمّا أتيت النيل خُبّرت انه توجّه الى بغداد ، فأتبعته فظفرت به و</w:t>
      </w:r>
    </w:p>
    <w:p>
      <w:pPr>
        <w:pStyle w:val="BookText"/>
        <w:rPr/>
      </w:pPr>
      <w:r>
        <w:rPr>
          <w:rFonts w:ascii="IRNazanin" w:hAnsi="IRNazanin" w:eastAsia="IRNazanin"/>
          <w:color w:val="111111"/>
          <w:sz w:val="28"/>
          <w:sz w:val="28"/>
          <w:szCs w:val="28"/>
          <w:rtl w:val="true"/>
          <w:lang w:bidi="fa-IR"/>
        </w:rPr>
        <w:t xml:space="preserve">رجعت الى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فأخبرت أباعبداللّه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له عليك مثل كراء البغل ذاهباً من الكوفة الى النيل ومثل كراء البغل من النيل الى بغداد ومثل كراء البغل من بغداد الى الكوفة وتوفّيه ايّاه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علفته بدراهم ، فلى عليه علفه؟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لانك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عطب البغل او نفق </w:t>
      </w:r>
      <w:r>
        <w:rPr>
          <w:rStyle w:val="FootnoteAnchor"/>
          <w:rtl w:val="true"/>
        </w:rPr>
        <w:footnoteReference w:id="181"/>
      </w:r>
      <w:r>
        <w:rPr>
          <w:rFonts w:ascii="Amiri" w:hAnsi="Amiri" w:eastAsia="Amiri" w:cs="Amiri"/>
          <w:color w:val="111111"/>
          <w:sz w:val="28"/>
          <w:sz w:val="28"/>
          <w:szCs w:val="28"/>
          <w:rtl w:val="true"/>
          <w:lang w:bidi="ar-SA"/>
        </w:rPr>
        <w:t xml:space="preserve">أليس كان يلزمني؟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قيمة بغل يوم خالفته </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وفقرة الشاهد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قيمة بغل يوم 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بالقيمة ، اى قيمة يوم المخالفة تلزمك ، وواضح ان يوم المخالفة هو يوم الغصب ، فيكون المدار على قيمة يوم الغصب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اشكل بوجود احتمال آخر ، وهو تعلقه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كان الجواب ان التعلق بالاقرب اظهر عند الدوران بينه وبين التعلق بالأبعد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يمكن ان يوجّه القول بضمان قيمة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انكرنا ذلك وقلنا ان الأقربية لاتوجب دائماً اظهرية التعلق بالأقرب وانما توجب ذلك لو كان الفاصل كبيراً بين الموردين دون ما ذا كان قليلاً كما فى المقام ، فتعود الصحيحة مجملة لوجود كلا الأحتمالين ، ومعه يلزم الرجوع الى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بيان القاعدة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تقتضى كون المدار على قيمة يوم التلف ، لان الذمة كانت مشتغلة بنفس العين قبل تلفها ، وعند التلف تشتغل بقيمتها ، فيكون المدار على قيمة يوم التلف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تقتضى كون المدار على زمان الأداء ، لانه يلزم تعويض المالك </w:t>
      </w:r>
    </w:p>
    <w:p>
      <w:pPr>
        <w:pStyle w:val="BookText"/>
        <w:rPr/>
      </w:pPr>
      <w:r>
        <w:rPr>
          <w:rFonts w:ascii="Amiri" w:hAnsi="Amiri" w:eastAsia="Amiri" w:cs="Amiri"/>
          <w:color w:val="111111"/>
          <w:sz w:val="28"/>
          <w:sz w:val="28"/>
          <w:szCs w:val="28"/>
          <w:rtl w:val="true"/>
          <w:lang w:bidi="ar-SA"/>
        </w:rPr>
        <w:t>بالقيمة التى لايخسر شيئاً لو دفعت اليه وليست هى الاقيمة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تعرف توجيه القولين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جواز رجوع المالك على اى واحد من ذوى الأيدى المتعاقبة ، فقد قيل انه لاخلاف فيه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وعلل بان كل واحد منهم غاصب مخاطب بردِّ العين او بدلها ، </w:t>
      </w:r>
      <w:r>
        <w:rPr>
          <w:rStyle w:val="FootnoteAnchor"/>
          <w:rtl w:val="true"/>
        </w:rPr>
        <w:footnoteReference w:id="184"/>
      </w:r>
      <w:r>
        <w:rPr>
          <w:rFonts w:ascii="Amiri" w:hAnsi="Amiri" w:eastAsia="Amiri" w:cs="Amiri"/>
          <w:color w:val="111111"/>
          <w:sz w:val="28"/>
          <w:sz w:val="28"/>
          <w:szCs w:val="28"/>
          <w:rtl w:val="true"/>
          <w:lang w:bidi="ar-SA"/>
        </w:rPr>
        <w:t>بل تجوز مطالبة الكل ببدل واحد بنحو التقسيط ، لأنّه اذا جازت مطالبة كل واحد منهم بالجميع فالبعض بطريق 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قرار الضمان يكون على من تلف المغصوب فى يده ، بمعنى انه لو رجع المالك عليه لم يجز له الرجوع على الايدى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تحقق التلف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رجع على غيره ، فانه يجوز لذلك الغير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بالاداء شرعى فى حق الجميع وذمّي فى حق من تحقق التلف فى يده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 الغاصب للارض اذا زرعها يكون الزرع له ، فهو مما لاخلاف فيه ، </w:t>
      </w:r>
      <w:r>
        <w:rPr>
          <w:rStyle w:val="FootnoteAnchor"/>
          <w:rtl w:val="true"/>
        </w:rPr>
        <w:footnoteReference w:id="186"/>
      </w:r>
      <w:r>
        <w:rPr>
          <w:rFonts w:ascii="Amiri" w:hAnsi="Amiri" w:eastAsia="Amiri" w:cs="Amiri"/>
          <w:color w:val="111111"/>
          <w:sz w:val="28"/>
          <w:sz w:val="28"/>
          <w:szCs w:val="28"/>
          <w:rtl w:val="true"/>
          <w:lang w:bidi="ar-SA"/>
        </w:rPr>
        <w:t>لكون الزرع نماء ملك الغاصب ، والارض هى من المعدّات كالماء والهواء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الى بعض الأخبار ، كخبر عقبة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سالت ابا عبداللّه علیه السلام عن رجل اتى ارض رجل ، فزرعها بغير اذنه حتى اذا بلغ الزرع جاء صاحب الارض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زرعت بغير إذنى فزرعك لى وعليَّ ما أنفقت ، أله ذلك أم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للزارع زرعه ولصاحب الأرض كرأء أرضه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وجوب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المالك ذلك ، فهو مما لاخلاف فيه</w:t>
      </w:r>
      <w:r>
        <w:rPr>
          <w:rStyle w:val="FootnoteAnchor"/>
          <w:rtl w:val="true"/>
        </w:rPr>
        <w:footnoteReference w:id="188"/>
      </w:r>
      <w:r>
        <w:rPr>
          <w:rFonts w:ascii="Amiri" w:hAnsi="Amiri" w:eastAsia="Amiri" w:cs="Amiri"/>
          <w:color w:val="111111"/>
          <w:sz w:val="28"/>
          <w:sz w:val="28"/>
          <w:szCs w:val="28"/>
          <w:rtl w:val="true"/>
          <w:lang w:bidi="ar-SA"/>
        </w:rPr>
        <w:t>، لان فعل الغاصب ظلم ويلزم ازالة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فى حديث عبدالعزيزبن‌محمد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ارضاً بغيرحقها او بنى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بناؤه وتسلّم التربة الى صاحبها ، ليس لعرق ظالم حق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والمناسب زيادة كلمة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 نماء الحبِّ والبيض للمغصوب منه ، فهو المشهور ، </w:t>
      </w:r>
      <w:r>
        <w:rPr>
          <w:rStyle w:val="FootnoteAnchor"/>
          <w:rtl w:val="true"/>
        </w:rPr>
        <w:footnoteReference w:id="190"/>
      </w:r>
      <w:r>
        <w:rPr>
          <w:rFonts w:ascii="Amiri" w:hAnsi="Amiri" w:eastAsia="Amiri" w:cs="Amiri"/>
          <w:color w:val="111111"/>
          <w:sz w:val="28"/>
          <w:sz w:val="28"/>
          <w:szCs w:val="28"/>
          <w:rtl w:val="true"/>
          <w:lang w:bidi="ar-SA"/>
        </w:rPr>
        <w:t>لانّ نماء الشيء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الى الشيخ وابن حمزة انه للغاصب ، بدعوى ان عين المغصوب قد تلفت ، فلا يلزم الغاصب سوى قيمتها او مثلها ، بل نسب الى الشيخ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يقول ان الفرخ عين البيض وان الزرع عين الحب مكابر ، بل المعلوم خلافه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وما افيد غريب ، فان الفرخ وان لم يكن عين البيض ولكنه نماؤه عرفاً ، ونماء الشيء تابع له فى الملكية ، وهكذا بالنسبة الى الحبِّ والزرع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عدم جواز مطالبة الغاصب بما صرفه المغصوب منه فى سبيل تحصيل حقه ، فلأن الصرف قد تحقق باختيار المغصوب منه وبفعله ، ومعه فلا موجب لرجوعه على الغاصب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جواز المقاصة ، فتدل عليه جملة من النصوص ، كصحيحة داود بن </w:t>
      </w:r>
    </w:p>
    <w:p>
      <w:pPr>
        <w:pStyle w:val="BookText"/>
        <w:rPr/>
      </w:pPr>
      <w:r>
        <w:rPr>
          <w:rFonts w:ascii="IRNazanin" w:hAnsi="IRNazanin" w:eastAsia="IRNazanin"/>
          <w:color w:val="111111"/>
          <w:sz w:val="28"/>
          <w:sz w:val="28"/>
          <w:szCs w:val="28"/>
          <w:rtl w:val="true"/>
          <w:lang w:bidi="fa-IR"/>
        </w:rPr>
        <w:t xml:space="preserve">زربي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اخالط السلطان ، فتكون عندى الجارية فياخذونها ، والدّابّة الفارهة فيبحثون فياخذونها ، ثم يقع لهم عندى المال فلى أن آخذه؟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 ذلك ولا تزد عليه </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اشتراط كونه من جنس المغصوب وعدم لزوم كسب الإذن من الحاكم الشرعي ، فلإطلاق النصوص من هذه الناحية</w:t>
      </w:r>
      <w:r>
        <w:rPr>
          <w:rFonts w:eastAsia="Amiri" w:cs="Amiri" w:ascii="Amiri" w:hAnsi="Amiri"/>
          <w:color w:val="111111"/>
          <w:sz w:val="28"/>
          <w:szCs w:val="28"/>
          <w:rtl w:val="true"/>
          <w:lang w:bidi="ar-SA"/>
        </w:rPr>
        <w:t xml:space="preserve">. </w:t>
      </w:r>
      <w:bookmarkStart w:id="110" w:name="pg19370_198116"/>
    </w:p>
    <w:p>
      <w:pPr>
        <w:pStyle w:val="Heading2"/>
        <w:numPr>
          <w:ilvl w:val="1"/>
          <w:numId w:val="1"/>
        </w:numPr>
        <w:rPr/>
      </w:pPr>
      <w:bookmarkStart w:id="111" w:name="__RefHeading___Toc17390913_1280447820"/>
      <w:bookmarkStart w:id="112" w:name="_Toc33"/>
      <w:bookmarkEnd w:id="110"/>
      <w:bookmarkEnd w:id="111"/>
      <w:r>
        <w:rPr>
          <w:rtl w:val="true"/>
        </w:rPr>
        <w:t>كتاب الاطعمة والاشربة</w:t>
      </w:r>
      <w:bookmarkEnd w:id="112"/>
    </w:p>
    <w:p>
      <w:pPr>
        <w:pStyle w:val="Heading3"/>
        <w:numPr>
          <w:ilvl w:val="2"/>
          <w:numId w:val="1"/>
        </w:numPr>
        <w:rPr/>
      </w:pPr>
      <w:bookmarkStart w:id="113" w:name="__RefHeading___Toc17390915_1280447820"/>
      <w:bookmarkStart w:id="114" w:name="_Toc34"/>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حيوان البحر</w:t>
      </w:r>
    </w:p>
    <w:p>
      <w:pPr>
        <w:pStyle w:val="BookText"/>
        <w:rPr/>
      </w:pPr>
      <w:r>
        <w:rPr>
          <w:rFonts w:ascii="Amiri" w:hAnsi="Amiri" w:eastAsia="Amiri" w:cs="Amiri"/>
          <w:color w:val="111111"/>
          <w:sz w:val="28"/>
          <w:sz w:val="28"/>
          <w:szCs w:val="28"/>
          <w:rtl w:val="true"/>
          <w:lang w:bidi="ar-SA"/>
        </w:rPr>
        <w:t>حيوان البرّ</w:t>
      </w:r>
    </w:p>
    <w:p>
      <w:pPr>
        <w:pStyle w:val="BookText"/>
        <w:rPr/>
      </w:pPr>
      <w:r>
        <w:rPr>
          <w:rFonts w:ascii="Amiri" w:hAnsi="Amiri" w:eastAsia="Amiri" w:cs="Amiri"/>
          <w:color w:val="111111"/>
          <w:sz w:val="28"/>
          <w:sz w:val="28"/>
          <w:szCs w:val="28"/>
          <w:rtl w:val="true"/>
          <w:lang w:bidi="ar-SA"/>
        </w:rPr>
        <w:t>الطيور</w:t>
      </w:r>
    </w:p>
    <w:p>
      <w:pPr>
        <w:pStyle w:val="BookText"/>
        <w:rPr/>
      </w:pPr>
      <w:r>
        <w:rPr>
          <w:rFonts w:ascii="Amiri" w:hAnsi="Amiri" w:eastAsia="Amiri" w:cs="Amiri"/>
          <w:color w:val="111111"/>
          <w:sz w:val="28"/>
          <w:sz w:val="28"/>
          <w:szCs w:val="28"/>
          <w:rtl w:val="true"/>
          <w:lang w:bidi="ar-SA"/>
        </w:rPr>
        <w:t>ما يحرم من الحيوان المذبوح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التحريم الطارئ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9370_198118"/>
      <w:bookmarkStart w:id="116" w:name="pg19370_198118"/>
      <w:bookmarkEnd w:id="116"/>
    </w:p>
    <w:p>
      <w:pPr>
        <w:pStyle w:val="Heading3"/>
        <w:numPr>
          <w:ilvl w:val="2"/>
          <w:numId w:val="1"/>
        </w:numPr>
        <w:rPr/>
      </w:pPr>
      <w:bookmarkStart w:id="117" w:name="pg19370_198118"/>
      <w:bookmarkStart w:id="118" w:name="__RefHeading___Toc17390917_1280447820"/>
      <w:bookmarkStart w:id="119" w:name="_Toc35"/>
      <w:bookmarkEnd w:id="117"/>
      <w:bookmarkEnd w:id="118"/>
      <w:r>
        <w:rPr>
          <w:rtl w:val="true"/>
        </w:rPr>
        <w:t>أفراد ما يحرم تناوله</w:t>
      </w:r>
      <w:bookmarkEnd w:id="119"/>
    </w:p>
    <w:p>
      <w:pPr>
        <w:pStyle w:val="BookText"/>
        <w:rPr/>
      </w:pPr>
      <w:r>
        <w:rPr>
          <w:rFonts w:ascii="Amiri" w:hAnsi="Amiri" w:eastAsia="Amiri" w:cs="Amiri"/>
          <w:color w:val="111111"/>
          <w:sz w:val="28"/>
          <w:sz w:val="28"/>
          <w:szCs w:val="28"/>
          <w:rtl w:val="true"/>
          <w:lang w:bidi="ar-SA"/>
        </w:rPr>
        <w:t xml:space="preserve">ما يحرم تناوله تارة يكون من الحيوان واُخرى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يقع تارة عن حيوان البحر ، واُخرى عن حيوان البر ، وثالثة عن الطيور ، ورابعة عما يحرم من الحيوان المذبوح ، وخامسة عن التحريم الطارئ علي الحيوان فى حالات معينة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390919_1280447820"/>
      <w:bookmarkStart w:id="121" w:name="_Toc36"/>
      <w:bookmarkEnd w:id="120"/>
      <w:r>
        <w:rPr>
          <w:rtl w:val="true"/>
        </w:rPr>
        <w:t>حيوان البحر</w:t>
      </w:r>
      <w:bookmarkEnd w:id="121"/>
    </w:p>
    <w:p>
      <w:pPr>
        <w:pStyle w:val="BookText"/>
        <w:rPr/>
      </w:pPr>
      <w:r>
        <w:rPr>
          <w:rFonts w:ascii="Amiri" w:hAnsi="Amiri" w:eastAsia="Amiri" w:cs="Amiri"/>
          <w:color w:val="111111"/>
          <w:sz w:val="28"/>
          <w:sz w:val="28"/>
          <w:szCs w:val="28"/>
          <w:rtl w:val="true"/>
          <w:lang w:bidi="ar-SA"/>
        </w:rPr>
        <w:t xml:space="preserve">كل حيوان يعيش فى الماء محرم ما عدا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السمك الذى له فلس </w:t>
      </w:r>
      <w:r>
        <w:rPr>
          <w:rStyle w:val="FootnoteAnchor"/>
          <w:rtl w:val="true"/>
        </w:rPr>
        <w:footnoteReference w:id="193"/>
      </w:r>
      <w:r>
        <w:rPr>
          <w:rFonts w:ascii="Amiri" w:hAnsi="Amiri" w:eastAsia="Amiri" w:cs="Amiri"/>
          <w:color w:val="111111"/>
          <w:sz w:val="28"/>
          <w:sz w:val="28"/>
          <w:szCs w:val="28"/>
          <w:rtl w:val="true"/>
          <w:lang w:bidi="ar-SA"/>
        </w:rPr>
        <w:t>، والطيور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فى وجود الفلس بنى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انحصار الحلية فى الحيوانات التى تعيش فى الماء بما تقدم ، فمرجعه الي دعويين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السمك الذى له فلس ، والطيور المائية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الى الدعوى الاُولى فيدلّ عليها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بأصل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الأصل الأولى فى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الى مثل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w:t>
      </w:r>
      <w:r>
        <w:rPr>
          <w:rFonts w:eastAsia="Amiri" w:cs="Amiri" w:ascii="Amiri" w:hAnsi="Amiri"/>
          <w:color w:val="111111"/>
          <w:sz w:val="28"/>
          <w:szCs w:val="28"/>
          <w:rtl w:val="true"/>
          <w:lang w:bidi="ar-SA"/>
        </w:rPr>
        <w:t xml:space="preserve">... ) </w:t>
      </w:r>
      <w:r>
        <w:rPr>
          <w:rStyle w:val="FootnoteAnchor"/>
          <w:rtl w:val="true"/>
        </w:rPr>
        <w:footnoteReference w:id="194"/>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لايعلمون </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الخاصة ، كصحيحة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إنّا نُؤتى بسمك ليس له قشر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له قشر من السمك ، وما ليس له قشر فلا تأكله </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الطيور فيأتى التحدث عنها تحت عنوان الطيور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الدعوى الثانية ، فهى متسالم عليها بين الأصحاب وإن نسب صاحب الجواهر الى بعض متأخرى المتأخرين الوسوسة فى ذلك بل الميل الي الحلّ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ينسب ذلك الى الشيخ الصدوق أيضاً ، ولكنه لم‌يثبت</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أى حال يمكن التمسك لذلك بموثقة عمار بن موسى الساباطى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الربيثا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تأكلها ، فانا لا نعرفها فى السمك يا عمار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 </w:t>
      </w:r>
      <w:bookmarkStart w:id="122" w:name="pg19370_198120"/>
    </w:p>
    <w:p>
      <w:pPr>
        <w:pStyle w:val="BookText"/>
        <w:rPr/>
      </w:pPr>
      <w:bookmarkEnd w:id="122"/>
      <w:r>
        <w:rPr>
          <w:rFonts w:ascii="Amiri" w:hAnsi="Amiri" w:eastAsia="Amiri" w:cs="Amiri"/>
          <w:color w:val="111111"/>
          <w:sz w:val="28"/>
          <w:sz w:val="28"/>
          <w:szCs w:val="28"/>
          <w:rtl w:val="true"/>
          <w:lang w:bidi="ar-SA"/>
        </w:rPr>
        <w:t>فإن التعليل فيها يدل على عدم حلية غير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تقييد حلية السمك بما إذا كان ذا فلس ، فهو المعروف بين الأصحاب ، بل كاد أن يكون ذلك متسالماً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الروايات الكثيرة التى من جملتها صحيحة محمد بن مسلم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 ذلك روايات تستفاد منها حلية ما ليس له فلس ، كصحيحة محمد بن مسلم الاُخري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الجرى والمارماهى والزمّير وما ليس له قشر من السمك حرام هو؟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اقرأ هذه الاية التى في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أَجِدُ فِي مَا أُوحِيَ إِلَيَّ مُحَرَّمًا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فقرأتها حتى فرغت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الحرام ما حرّم اللّه ورسوله فى كتابه ولكنهم قد كانوا يعافون أشياء فنحن نعافها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من المحتمل ان تكون الاعافة بمعنى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عنها ، بأنّ مضمونها مهجور لدى الأصحاب فتكون ساقطة عن خالحجية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إذا شك فى وجود الفلس يبنى على الحرمة ، فلاستصحاب عدمه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7390921_1280447820"/>
      <w:bookmarkStart w:id="124" w:name="_Toc37"/>
      <w:bookmarkEnd w:id="123"/>
      <w:r>
        <w:rPr>
          <w:rtl w:val="true"/>
        </w:rPr>
        <w:t>حيوان البرّ</w:t>
      </w:r>
      <w:bookmarkEnd w:id="124"/>
    </w:p>
    <w:p>
      <w:pPr>
        <w:pStyle w:val="BookText"/>
        <w:rPr/>
      </w:pPr>
      <w:r>
        <w:rPr>
          <w:rFonts w:ascii="Amiri" w:hAnsi="Amiri" w:eastAsia="Amiri" w:cs="Amiri"/>
          <w:color w:val="111111"/>
          <w:sz w:val="28"/>
          <w:sz w:val="28"/>
          <w:szCs w:val="28"/>
          <w:rtl w:val="true"/>
          <w:lang w:bidi="ar-SA"/>
        </w:rPr>
        <w:t>الحيوان الذى يعيش فى البرّ تارة يكون أهلياً واُخرى وحشيّاً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الأهلى فتحل منه الأنعام الثلاثة والخيل والبغال والحمير وإن كانت الثلاثة الأخيرة المذكورة مكروهة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الوحشى فيحل منه البقر وكبش الجبل</w:t>
      </w:r>
      <w:r>
        <w:rPr>
          <w:rStyle w:val="FootnoteAnchor"/>
          <w:rtl w:val="true"/>
        </w:rPr>
        <w:footnoteReference w:id="200"/>
      </w:r>
      <w:r>
        <w:rPr>
          <w:rFonts w:ascii="Amiri" w:hAnsi="Amiri" w:eastAsia="Amiri" w:cs="Amiri"/>
          <w:color w:val="111111"/>
          <w:sz w:val="28"/>
          <w:sz w:val="28"/>
          <w:szCs w:val="28"/>
          <w:rtl w:val="true"/>
          <w:lang w:bidi="ar-SA"/>
        </w:rPr>
        <w:t>والحُمر الوحشية والغزلان واليحامير</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وهل ينحصر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حيوان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يشكل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حلية الانعام الثلاث ، فهى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عليها مضافاً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قُلْ آلذَّكَرَيْنِ حَرَّمَ أَمِ الْأُنْثَيَيْنِ </w:t>
      </w:r>
      <w:r>
        <w:rPr>
          <w:rFonts w:eastAsia="Amiri" w:cs="Amiri" w:ascii="Amiri" w:hAnsi="Amiri"/>
          <w:color w:val="111111"/>
          <w:sz w:val="28"/>
          <w:szCs w:val="28"/>
          <w:rtl w:val="true"/>
          <w:lang w:bidi="ar-SA"/>
        </w:rPr>
        <w:t xml:space="preserve">... ) .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وبقطع النظر عن ذلك يكفينا أصل الحلّ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حلية لحم الخيل والبغال والحمير ، فهى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الخلاف الى الشيخ المفيد والحلبى حيث حرّم الأول البغال والحمير والهجين من الخيل ، </w:t>
      </w:r>
      <w:r>
        <w:rPr>
          <w:rStyle w:val="FootnoteAnchor"/>
          <w:rtl w:val="true"/>
        </w:rPr>
        <w:footnoteReference w:id="204"/>
      </w:r>
      <w:r>
        <w:rPr>
          <w:rFonts w:ascii="IRNazanin" w:hAnsi="IRNazanin" w:eastAsia="IRNazanin"/>
          <w:color w:val="111111"/>
          <w:sz w:val="28"/>
          <w:sz w:val="28"/>
          <w:szCs w:val="28"/>
          <w:rtl w:val="true"/>
          <w:lang w:bidi="fa-IR"/>
        </w:rPr>
        <w:t>والثانى خصوص البغال</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وتدل على 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وزرارة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أنهما سألاه عن أكل لحوم الحمر الأهلية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أكلها يوم خيبر ، وإنّما نهى عن أكلها فى ذلك الوقت لأنها كانت حمولة الناس وإنّما الحرام ما حرّم اللّه فى القرآن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وصحيحة محمد بن مسلم الاُخرى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لحوم الخيل والبغال والحمير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ولكن الناس يعافونها </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 ذلك نصوص دلّت على النهى عن أكلها ، من قبيل صحيح ابن مسكان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أكل الخيل والبغال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رسول‌اللّه صلی اللّه علیه و آله عنها ولاتأكلها إلاّ أن تضطرّ اليها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وصحيح سعد بن سعد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لحوم البراذين</w:t>
      </w:r>
      <w:r>
        <w:rPr>
          <w:rStyle w:val="FootnoteAnchor"/>
          <w:rtl w:val="true"/>
        </w:rPr>
        <w:footnoteReference w:id="209"/>
      </w:r>
      <w:r>
        <w:rPr>
          <w:rFonts w:ascii="Amiri" w:hAnsi="Amiri" w:eastAsia="Amiri" w:cs="Amiri"/>
          <w:color w:val="111111"/>
          <w:sz w:val="28"/>
          <w:sz w:val="28"/>
          <w:szCs w:val="28"/>
          <w:rtl w:val="true"/>
          <w:lang w:bidi="ar-SA"/>
        </w:rPr>
        <w:t xml:space="preserve">والخيل والبغال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لاتأكلها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وذكر فى الجواهر أن بالامكان ترجيح الطائفة الاُولى باعتبار موافقتها للكتاب الكريم ومخالفتها للعامة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هذا ولكن المناسب الجمع بحمل الثانية على الكراهة فإنّ الاُولى صريحة في الجواز والثانية ظاهرة فى التحريم ، والعرف يجمع بتأويل الظاهر بحمله علي الكراهة بقرينة الصريح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فالتعارض غير مستقر ، لإمكان الجمع العرفى بينهما ، ومعه لاتصل النوبة </w:t>
      </w:r>
    </w:p>
    <w:p>
      <w:pPr>
        <w:pStyle w:val="BookText"/>
        <w:rPr/>
      </w:pPr>
      <w:r>
        <w:rPr>
          <w:rFonts w:ascii="Amiri" w:hAnsi="Amiri" w:eastAsia="Amiri" w:cs="Amiri"/>
          <w:color w:val="111111"/>
          <w:sz w:val="28"/>
          <w:sz w:val="28"/>
          <w:szCs w:val="28"/>
          <w:rtl w:val="true"/>
          <w:lang w:bidi="ar-SA"/>
        </w:rPr>
        <w:t>الى اعمال المرجحين السابقين فإن اعمال المرجحات فرع التعارض المستقر ،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الجمع العرفى المتقدم اتضح وجه الحكم بكراهة أكل لحم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الخمسة من الحيوان الوحشى يحل أكل لحمها ، 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الحل بالبيان المتقدم فى بداية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الخاصة ، كصحيحة على بن جعفر عن أخيه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ظبي أو حمار وحش أو طير صرعه رجل ثم رماه بعد ما صرعه غيره ، فمتى يؤكل؟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ما لم يتغير إذا سمّى ورمي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وصحيحة سعد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اللامص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فذهبت أصفه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اليحامير؟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قال أليس تأكلونه بالخل والخردل والابزار؟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وصحيحة محمد بن قيس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فى ايل يصطاده رجل فيقطعه الناس والرجل يتبعه أفتراه نهبةً؟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بنهبة وليس به بأس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فإنّ الايل هو بقر الجبل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كبش الجبل لا رواية خاصة فيه إلاّ أنه يمكن التمسك لإثبات حليته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 مِنَ الضَّأْنِ اثْنَيْنِ وَمِنَ الْمَعْزِ اثْنَيْنِ قُلْ آلذَّكَرَيْنِ حَرَّمَ أَمِ الْأُنْثَيَيْنِ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بناءً على تفسير الانثيين بالأهلى والوحشي ، بل حتى لو فسر بالذكر والاُنثى فبالإمكان التمسك بالإطلاق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الاشكال فى حصر حلِّ حيوان البر بما ذكر ، فباعتبار أنّ أدلة حلية ما تقدم لايستفاد منها حصر الحل بذلك ، ومعه يبقى غيره على أصل الحل إلاّ ما دل الدليل على تحريمه بعنوانه الخاص ، وهو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 ، كالكلب والخنزير ، فإنّ حرمة لحمه هى من لوازم نجاسته العينية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السباع ، كالأسد والنمر والفهد والثعلب والضبع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في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صحيحة داود بن فرقد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ذى ناب من السباع ومخلب من الطير حرام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وصحيحة الحلبى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لايصلح أكل شيء من السباع ، إنى لأكرهه واُقذره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ومقتضى الصحيح الأول اعتبار وجود الناب بخلاف الصحيح الثاني ، فإن مقتضاه عدم اعتبار ذلك على تقدير وجود سبع</w:t>
      </w:r>
      <w:r>
        <w:rPr>
          <w:rStyle w:val="FootnoteAnchor"/>
          <w:rtl w:val="true"/>
        </w:rPr>
        <w:footnoteReference w:id="219"/>
      </w:r>
      <w:r>
        <w:rPr>
          <w:rFonts w:ascii="IRNazanin" w:hAnsi="IRNazanin" w:eastAsia="IRNazanin"/>
          <w:color w:val="111111"/>
          <w:sz w:val="28"/>
          <w:sz w:val="28"/>
          <w:szCs w:val="28"/>
          <w:rtl w:val="true"/>
          <w:lang w:bidi="fa-IR"/>
        </w:rPr>
        <w:t>لا ناب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يجمع بحمل المطلق على المقيد بناءً على ثبوت المفهوم للمقيد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وجيه لولا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المأكول من الطير والوحش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اللّه صلی اللّه علیه و آله كل ذى مخلب من الطير وكل ذى ناب من الوحش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من السبع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كله حرام وإن كان سبعاً لا ناب له ، وإنّما قال رسول‌اللّه صلی اللّه علیه و آله هذا تفضلاً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ما صفّ وهو ذو مخلب فهو حرام </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الدالة على حرمة مطلق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ورد فى بعض الروايات ما يدل على عدم حرمة السبع ، من قبيل صحيحة محمد بن مسلم عن </w:t>
      </w:r>
    </w:p>
    <w:p>
      <w:pPr>
        <w:pStyle w:val="BookText"/>
        <w:rPr/>
      </w:pPr>
      <w:r>
        <w:rPr>
          <w:rFonts w:ascii="IRNazanin" w:hAnsi="IRNazanin" w:eastAsia="IRNazanin"/>
          <w:color w:val="111111"/>
          <w:sz w:val="28"/>
          <w:sz w:val="28"/>
          <w:szCs w:val="28"/>
          <w:rtl w:val="true"/>
          <w:lang w:bidi="fa-IR"/>
        </w:rPr>
        <w:t xml:space="preserve">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سباع الطير والوحش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الحرام إلاّ ما حرم اللّه في كتابه </w:t>
      </w:r>
      <w:r>
        <w:rPr>
          <w:rFonts w:eastAsia="IRNazanin" w:cs="IRNazanin"/>
          <w:color w:val="111111"/>
          <w:sz w:val="28"/>
          <w:szCs w:val="28"/>
          <w:rtl w:val="true"/>
          <w:lang w:bidi="fa-IR"/>
        </w:rPr>
        <w:t xml:space="preserve">... » </w:t>
      </w:r>
      <w:r>
        <w:rPr>
          <w:rStyle w:val="FootnoteAnchor"/>
          <w:rtl w:val="true"/>
        </w:rPr>
        <w:footnoteReference w:id="221"/>
      </w:r>
      <w:r>
        <w:rPr>
          <w:rFonts w:ascii="Amiri" w:hAnsi="Amiri" w:eastAsia="Amiri" w:cs="Amiri"/>
          <w:color w:val="111111"/>
          <w:sz w:val="28"/>
          <w:sz w:val="28"/>
          <w:szCs w:val="28"/>
          <w:rtl w:val="true"/>
          <w:lang w:bidi="ar-SA"/>
        </w:rPr>
        <w:t>وغيرها ، إلاّ أنه لهجران مضمونها بين الأصحاب ساقطة عن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 كالقردة والخنازير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فى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أكل الضبّ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الضبّ والفأرة والقردة والخنازير مسوخ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وموثقة سماعة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اللّه ورسوله المسوخ جميعها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الحشرات ، وهى كل حيوان يأوى ثقوب الأرض ، كالحيّة والعقرب والجرذ والفأرة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خلاف فى حرمتها ، إلاّ أنّه لا دليل على ذلك سوى رواية دعائم الاسلام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نهى عن الضبّ والقنفذ وغيره من حشرات الأرض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وهى وإن كانت مرسلة كبقية روايات دعائم الاسلام إلاّ أنّه بناءً على تمامية كبرى الانجبار تعود حجة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هذه عناوين أربعة قد ثبت التحريم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يضاف اليها خامس ، وهو عنوان الخبائث ويحكم بحرمة مثل الخنافس والخفاش والقمل وغيرها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فرض عدم دخولها تحت أحد العناوين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مثل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وَيُحِلُّ لَهُمُ الطَّيِّبَاتِ وَيُحَرِّمُ عَلَيْهِمُ </w:t>
      </w:r>
      <w:bookmarkStart w:id="125" w:name="pg19370_198126"/>
    </w:p>
    <w:p>
      <w:pPr>
        <w:pStyle w:val="BookText"/>
        <w:rPr/>
      </w:pPr>
      <w:bookmarkEnd w:id="125"/>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وهو وجيه لو كان المراد من الخبائث ما تشمئز منه النفوس ، ولم‌يحتمل كون المراد منها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ادّعى الاجماع على حرمة مثل الزنابير والذباب والبق والفراش والسلابيح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النكتة كونها من الخبائث ، بل إن بعضها هو من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كالزنابير</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7390923_1280447820"/>
      <w:bookmarkStart w:id="127" w:name="_Toc38"/>
      <w:bookmarkEnd w:id="126"/>
      <w:r>
        <w:rPr>
          <w:rtl w:val="true"/>
        </w:rPr>
        <w:t>الطيور</w:t>
      </w:r>
      <w:bookmarkEnd w:id="127"/>
    </w:p>
    <w:p>
      <w:pPr>
        <w:pStyle w:val="BookText"/>
        <w:rPr/>
      </w:pPr>
      <w:r>
        <w:rPr>
          <w:rFonts w:ascii="Amiri" w:hAnsi="Amiri" w:eastAsia="Amiri" w:cs="Amiri"/>
          <w:color w:val="111111"/>
          <w:sz w:val="28"/>
          <w:sz w:val="28"/>
          <w:szCs w:val="28"/>
          <w:rtl w:val="true"/>
          <w:lang w:bidi="ar-SA"/>
        </w:rPr>
        <w:t xml:space="preserve">يحل كل حيوان طائر إلاّ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سبعاً ، أى ذا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صفيفه أكثر من دفيفه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له قانصة ولا حوصلة ولا صيصة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والحوصلة هى للطير كالمعدة لغيره ، وتكون فى آخر العنق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العضوان يختص بهما الطائر الذى يأكل الحبوب ليسهل عليه من خلالهما هضم ما يعسر هضمه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مفقودان فى جوارح الطير التى تأكل اللحوم ، لانّ اللحم سريع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 متى ما اجتمع فى الحوصلة يليّن من خلال افرازاتها الخاصّة ويستعدُّ للهضم فى القانصة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الصيصة فهى شوكة خلف رجل الطائر خارجة عن قدمه ، وهى له بمثابة الإبهام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والطير متى ما اُحرز حال صفيفه حكم بمقتضاه من دون أن تصل النوبة الى ملاحظة القانصة ونحوها ، وإنّما يلحظ ذلك فى الطير الذى لايعرف حال صفيفه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فعند التعارض بين العلامة الثانية والثالثة تقدم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عند فقدان العلامة الثانية وجود أحد الاُمور الثلاثة ولايلزم وجود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فى الاحكام المذكورة للطائر بين كونه طير البرّ أو طير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كل طائر هو محكوم بالحلية إلاّ إذا انطبق عليه أحد العناوين المذكورة ، فلأن ذلك مقتضى أصل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حرمة السبع من الطائر ، فهى ممّا لايعرف 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عليها صحيحة داوود بن فرقد وموثقة سماعة المتقدمتان فى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حيوان البرّ 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حرمة ما يصفُّ ، فلم‌يعرف فيها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عليها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اباجعفر علیه السلام عمّا يؤكل من الطير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دفَّ ولا تأكل ما صفّ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وموثقة سماعة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صفَّ وهو ذو مخلب فهو حرام </w:t>
      </w:r>
      <w:r>
        <w:rPr>
          <w:rFonts w:eastAsia="IRNazanin" w:cs="IRNazanin"/>
          <w:color w:val="111111"/>
          <w:sz w:val="28"/>
          <w:szCs w:val="28"/>
          <w:rtl w:val="true"/>
          <w:lang w:bidi="fa-IR"/>
        </w:rPr>
        <w:t xml:space="preserve">... » </w:t>
      </w:r>
      <w:r>
        <w:rPr>
          <w:rStyle w:val="FootnoteAnchor"/>
          <w:rtl w:val="true"/>
        </w:rPr>
        <w:footnoteReference w:id="23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كُلْ ما دفَّ أكثر ولاتأكل ما صفَّ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ما كان كذلك دائماً ، إذ كل ما يصفّ يدفّ أيضاً والعكس بالعكس كما هو واضح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حرمة الطائر الفاقد للقانصة والحوصلة والصيصة ، فلم‌يعرف فيها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عليها صحيحة عبداللّه بن سنان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الطير ما </w:t>
      </w:r>
    </w:p>
    <w:p>
      <w:pPr>
        <w:pStyle w:val="BookText"/>
        <w:rPr/>
      </w:pPr>
      <w:r>
        <w:rPr>
          <w:rFonts w:ascii="Amiri" w:hAnsi="Amiri" w:eastAsia="Amiri" w:cs="Amiri"/>
          <w:color w:val="111111"/>
          <w:sz w:val="28"/>
          <w:sz w:val="28"/>
          <w:szCs w:val="28"/>
          <w:rtl w:val="true"/>
          <w:lang w:bidi="ar-SA"/>
        </w:rPr>
        <w:t xml:space="preserve">يؤكل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لاتأكل ما لم‌تكن له قانصة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 وموثقة سماعة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طير البر ما كانت له حوصلة ومن طير الماء ما كانت له قانصة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والقانصة والحوصلة يمتحن بهما الطير ما لايعرف طيرانه وكل طير مجهول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ورواية ابن بكير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الطير ما كانت له قانصة أو صيصة أو حوصلة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وقد ورد فى سند الأخيرة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فيه إن كان سهلاً فلا مشكلة وإلاّ فحجيتها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علامية الصيصة التى لم‌ترد إلاّ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تبتنى على القول بكبري الانجبار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العلامة الثالثة هى فى طول فقدان العلامة الثانية ، فيمكن استفادته من موثقة سماعة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الاكتفاء بأحد الاُمور الثلاثة فى ثبوت الحل للحيوان ، فباعتبار أن ذكرها فى الروايات متفرقة دليل على عدم اعتبار 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دلالة موثقة سماعة ورواية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المتقدمتين فى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 بوضوح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الفرق بين طير البر وطير الماء فى الاحكام المتقدمة ، فباعتبار إطلاق النصوص المتقدمة ، بل إنّ رواية مسعدة بن صدقة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من الطير ما كانت له قانصة ولا مخلب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طير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صريحة فى التعميم</w:t>
      </w:r>
      <w:r>
        <w:rPr>
          <w:rFonts w:eastAsia="Amiri" w:cs="Amiri" w:ascii="Amiri" w:hAnsi="Amiri"/>
          <w:color w:val="111111"/>
          <w:sz w:val="28"/>
          <w:szCs w:val="28"/>
          <w:rtl w:val="true"/>
          <w:lang w:bidi="ar-SA"/>
        </w:rPr>
        <w:t xml:space="preserve">. </w:t>
      </w:r>
      <w:bookmarkStart w:id="128" w:name="pg19370_198129"/>
    </w:p>
    <w:p>
      <w:pPr>
        <w:pStyle w:val="Heading3"/>
        <w:numPr>
          <w:ilvl w:val="2"/>
          <w:numId w:val="1"/>
        </w:numPr>
        <w:rPr/>
      </w:pPr>
      <w:bookmarkStart w:id="129" w:name="__RefHeading___Toc17390925_1280447820"/>
      <w:bookmarkStart w:id="130" w:name="_Toc39"/>
      <w:bookmarkEnd w:id="128"/>
      <w:bookmarkEnd w:id="129"/>
      <w:r>
        <w:rPr>
          <w:rtl w:val="true"/>
        </w:rPr>
        <w:t>ما يحرم من الحيوان المذبوح</w:t>
      </w:r>
      <w:bookmarkEnd w:id="130"/>
    </w:p>
    <w:p>
      <w:pPr>
        <w:pStyle w:val="BookText"/>
        <w:rPr/>
      </w:pPr>
      <w:r>
        <w:rPr>
          <w:rFonts w:ascii="Amiri" w:hAnsi="Amiri" w:eastAsia="Amiri" w:cs="Amiri"/>
          <w:color w:val="111111"/>
          <w:sz w:val="28"/>
          <w:sz w:val="28"/>
          <w:szCs w:val="28"/>
          <w:rtl w:val="true"/>
          <w:lang w:bidi="ar-SA"/>
        </w:rPr>
        <w:t xml:space="preserve">إذا ذبح الحيوان الذى يحل أكله لم‌يجز تناول جملة من الأشياء منه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 الخصيتان ، القضيب ، المثانة ، الغدد</w:t>
      </w:r>
      <w:r>
        <w:rPr>
          <w:rStyle w:val="FootnoteAnchor"/>
          <w:rtl w:val="true"/>
        </w:rPr>
        <w:footnoteReference w:id="235"/>
      </w:r>
      <w:r>
        <w:rPr>
          <w:rFonts w:ascii="Amiri" w:hAnsi="Amiri" w:eastAsia="Amiri" w:cs="Amiri"/>
          <w:color w:val="111111"/>
          <w:sz w:val="28"/>
          <w:sz w:val="28"/>
          <w:szCs w:val="28"/>
          <w:rtl w:val="true"/>
          <w:lang w:bidi="ar-SA"/>
        </w:rPr>
        <w:t>، الطحال ،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المشهور أشياء اُخري ، كالفرج والمشيمة </w:t>
      </w:r>
      <w:r>
        <w:rPr>
          <w:rStyle w:val="FootnoteAnchor"/>
          <w:rtl w:val="true"/>
        </w:rPr>
        <w:footnoteReference w:id="236"/>
      </w:r>
      <w:r>
        <w:rPr>
          <w:rFonts w:ascii="Amiri" w:hAnsi="Amiri" w:eastAsia="Amiri" w:cs="Amiri"/>
          <w:color w:val="111111"/>
          <w:sz w:val="28"/>
          <w:sz w:val="28"/>
          <w:szCs w:val="28"/>
          <w:rtl w:val="true"/>
          <w:lang w:bidi="ar-SA"/>
        </w:rPr>
        <w:t>وخرزة الدماغ</w:t>
      </w:r>
      <w:r>
        <w:rPr>
          <w:rStyle w:val="FootnoteAnchor"/>
          <w:rtl w:val="true"/>
        </w:rPr>
        <w:footnoteReference w:id="237"/>
      </w:r>
      <w:r>
        <w:rPr>
          <w:rFonts w:ascii="IRNazanin" w:hAnsi="IRNazanin" w:eastAsia="IRNazanin"/>
          <w:color w:val="111111"/>
          <w:sz w:val="28"/>
          <w:sz w:val="28"/>
          <w:szCs w:val="28"/>
          <w:rtl w:val="true"/>
          <w:lang w:bidi="fa-IR"/>
        </w:rPr>
        <w:t>والنخاع</w:t>
      </w:r>
      <w:r>
        <w:rPr>
          <w:rStyle w:val="FootnoteAnchor"/>
          <w:rtl w:val="true"/>
        </w:rPr>
        <w:footnoteReference w:id="238"/>
      </w:r>
      <w:r>
        <w:rPr>
          <w:rFonts w:ascii="Amiri" w:hAnsi="Amiri" w:eastAsia="Amiri" w:cs="Amiri"/>
          <w:color w:val="111111"/>
          <w:sz w:val="28"/>
          <w:sz w:val="28"/>
          <w:szCs w:val="28"/>
          <w:rtl w:val="true"/>
          <w:lang w:bidi="ar-SA"/>
        </w:rPr>
        <w:t>والعلباوين</w:t>
      </w:r>
      <w:r>
        <w:rPr>
          <w:rStyle w:val="FootnoteAnchor"/>
          <w:rtl w:val="true"/>
        </w:rPr>
        <w:footnoteReference w:id="239"/>
      </w:r>
      <w:r>
        <w:rPr>
          <w:rFonts w:ascii="Amiri" w:hAnsi="Amiri" w:eastAsia="Amiri" w:cs="Amiri"/>
          <w:color w:val="111111"/>
          <w:sz w:val="28"/>
          <w:sz w:val="28"/>
          <w:szCs w:val="28"/>
          <w:rtl w:val="true"/>
          <w:lang w:bidi="ar-SA"/>
        </w:rPr>
        <w:t>وحدقة العين</w:t>
      </w:r>
      <w:r>
        <w:rPr>
          <w:rStyle w:val="FootnoteAnchor"/>
          <w:rtl w:val="true"/>
        </w:rPr>
        <w:footnoteReference w:id="240"/>
      </w:r>
      <w:r>
        <w:rPr>
          <w:rFonts w:ascii="IRNazanin" w:hAnsi="IRNazanin" w:eastAsia="IRNazanin"/>
          <w:color w:val="111111"/>
          <w:sz w:val="28"/>
          <w:sz w:val="28"/>
          <w:szCs w:val="28"/>
          <w:rtl w:val="true"/>
          <w:lang w:bidi="fa-IR"/>
        </w:rPr>
        <w:t>والفرث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حرمة السبعة الاُولى ، فهى ما عليه المشهور ، بل قد يدعى الاتفاق علي حرمة الدم والخصيتين والقضيب والطحال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صحيحة ابراهيم بن عبدالحميد عن أبيالحسن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من الشاة سبعة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والخصيتان والقضيب والمثانة والغدد والطحال والمرارة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والسند بطريق الكلينى إذا كان قابلاً للمناقشة من ناحية عبيداللّه الدهقان فهو بنقل البرقى فى محاسنه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حرمة الدم هى من ضروريات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ممّا ورد فى الكتاب الكريم</w:t>
      </w:r>
      <w:r>
        <w:rPr>
          <w:rFonts w:eastAsia="Amiri" w:cs="Amiri" w:ascii="Amiri" w:hAnsi="Amiri"/>
          <w:color w:val="111111"/>
          <w:sz w:val="28"/>
          <w:szCs w:val="28"/>
          <w:rtl w:val="true"/>
          <w:lang w:bidi="ar-SA"/>
        </w:rPr>
        <w:t>.</w:t>
      </w:r>
      <w:bookmarkStart w:id="131" w:name="pg19370_198130"/>
    </w:p>
    <w:p>
      <w:pPr>
        <w:pStyle w:val="BookText"/>
        <w:rPr/>
      </w:pPr>
      <w:bookmarkEnd w:id="131"/>
      <w:r>
        <w:rPr>
          <w:rFonts w:ascii="Amiri" w:hAnsi="Amiri" w:eastAsia="Amiri" w:cs="Amiri"/>
          <w:color w:val="111111"/>
          <w:sz w:val="28"/>
          <w:sz w:val="28"/>
          <w:szCs w:val="28"/>
          <w:rtl w:val="true"/>
          <w:lang w:bidi="ar-SA"/>
        </w:rPr>
        <w:t>ومقتضى الاطلاق حرمة الدم بجميع أقسامه بما فى ذلك دم ما لا نفس له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ينبغى أن يعفى من ذلك ما كان تابعاً للحم من دون أن يكون له وجود عرفى متميز ، بل قد يتأمل فى حرمة دم السمك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حرمة البقية ، فقد دلت عليها روايات</w:t>
      </w:r>
      <w:r>
        <w:rPr>
          <w:rStyle w:val="FootnoteAnchor"/>
          <w:rtl w:val="true"/>
        </w:rPr>
        <w:footnoteReference w:id="242"/>
      </w:r>
      <w:r>
        <w:rPr>
          <w:rFonts w:ascii="Amiri" w:hAnsi="Amiri" w:eastAsia="Amiri" w:cs="Amiri"/>
          <w:color w:val="111111"/>
          <w:sz w:val="28"/>
          <w:sz w:val="28"/>
          <w:szCs w:val="28"/>
          <w:rtl w:val="true"/>
          <w:lang w:bidi="ar-SA"/>
        </w:rPr>
        <w:t>لاتخلو عن ضعف 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تمامية كبرى الانجبار يمكن الافتاء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المحقق مال الى التحريم فى المثانة والمرارة والمشيمة من جهة كونها من الخبائث</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3"/>
        <w:numPr>
          <w:ilvl w:val="2"/>
          <w:numId w:val="1"/>
        </w:numPr>
        <w:rPr/>
      </w:pPr>
      <w:bookmarkStart w:id="132" w:name="__RefHeading___Toc17390927_1280447820"/>
      <w:bookmarkStart w:id="133" w:name="_Toc40"/>
      <w:bookmarkEnd w:id="132"/>
      <w:r>
        <w:rPr>
          <w:rtl w:val="true"/>
        </w:rPr>
        <w:t>التحريم الطارئ</w:t>
      </w:r>
      <w:bookmarkEnd w:id="133"/>
    </w:p>
    <w:p>
      <w:pPr>
        <w:pStyle w:val="BookText"/>
        <w:rPr/>
      </w:pPr>
      <w:r>
        <w:rPr>
          <w:rFonts w:ascii="Amiri" w:hAnsi="Amiri" w:eastAsia="Amiri" w:cs="Amiri"/>
          <w:color w:val="111111"/>
          <w:sz w:val="28"/>
          <w:sz w:val="28"/>
          <w:szCs w:val="28"/>
          <w:rtl w:val="true"/>
          <w:lang w:bidi="ar-SA"/>
        </w:rPr>
        <w:t xml:space="preserve">قد تعرض الحرمة على الحيوان المحلل باُمور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 ، بأن يتغذى الحيوان على عذرة الانسان الى حدّ يصدق أنّها غذاؤه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وتزول الحرمة بمنعه من التغذى بذلك الى أن يزول عنه اسم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الانسان لحيوان ، فإنّه بذلك يحرم لحمه ولبنه ونسله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باختصاص التحريم بذوات الأربع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 بمعنى زهاق روح الحيوان من دون تذكية ، فإنّه بذلك يحرم بجميع أجزائه إلاّ ما لاتحله الحياة ، كاللبن والبيضة إذا اكتست جلدها الأعلى والإنفحة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حرمة الجلاّل ، فهى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عليها صحيحة هشام بن سالم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لاتأكل لحوم الجلالات وان اصابك من عرقها فاغسله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الى الإسكافى والشيخ الحكم بالكراهة دون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علي ما ذكر فى الجواهر</w:t>
      </w:r>
      <w:r>
        <w:rPr>
          <w:rStyle w:val="FootnoteAnchor"/>
          <w:rtl w:val="true"/>
        </w:rPr>
        <w:footnoteReference w:id="246"/>
      </w:r>
      <w:r>
        <w:rPr>
          <w:rFonts w:ascii="Amiri" w:hAnsi="Amiri" w:eastAsia="Amiri" w:cs="Amiri"/>
          <w:color w:val="111111"/>
          <w:sz w:val="28"/>
          <w:sz w:val="28"/>
          <w:szCs w:val="28"/>
          <w:rtl w:val="true"/>
          <w:lang w:bidi="ar-SA"/>
        </w:rPr>
        <w:t>سوى الأصل الذى لابدّ من رفع اليد عنه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السبزوارى الميل الى الكراهة أيضاً بتقريب أن مستند التحريم أخبار لا تدل إلاّ على الرجحان ، وهى معارضة فى نفس الوقت بالعمومات الدالّة علي الحل</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ظاهر فى التحريم ، ومعه لا مجال للعمل بالعمومات ، للزوم رفع اليد عن العموم بعد وجود المخصص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قصر الجلاّل على ما تغذى بعذرة الانسان وعدم التعميم لما تغذى بغيرها من النجاسات ، فلأنه إذا لم‌يجزم بكون ذلك هو معنى الجلاّل لغة فلا أقلّ من كونه القدر المتيقن ، ويبقى الزائد مشمولاً لأصل البراءة بعد عدم امكان التمسك بالعموم لكونه تمسكاً به فى الشبهة المصداقية ، وهو لايجوز ، لأن الحكم لايتكفل اثبات موضوعه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التقييد بما إذا كان التغذى الى حدٍّ يصدق أنّ ذلك غذاؤه ، فلأنه من دون </w:t>
      </w:r>
    </w:p>
    <w:p>
      <w:pPr>
        <w:pStyle w:val="BookText"/>
        <w:rPr/>
      </w:pPr>
      <w:r>
        <w:rPr>
          <w:rFonts w:ascii="Amiri" w:hAnsi="Amiri" w:eastAsia="Amiri" w:cs="Amiri"/>
          <w:color w:val="111111"/>
          <w:sz w:val="28"/>
          <w:sz w:val="28"/>
          <w:szCs w:val="28"/>
          <w:rtl w:val="true"/>
          <w:lang w:bidi="ar-SA"/>
        </w:rPr>
        <w:t>ذلك إن لم‌يجزم بعدم صدق عنوان الجلاّل فلا أقلّ من الشك ، وهو كافٍ فى عدم تطبيق حكم الجلاّل لدخول المورد تحت الشبهة المصداقية التى لايجوز فيها التمسك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زوال التحريم بمنع الحيوان من التغذى بذلك الى أن يزول عنه اسم الجلل ، فلأن النهى كان متعلقاً بعنوان الجلل فإذا زال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تحديد الفترة بمقدار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كأربعين يوماً فى الناقة وعشرين في البقرة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فمستنده أخبار ضعيفة فلاحظ</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حرمة موطوء الانسان فلم‌يعرف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عبداللّه ابن سنان عن أبيعبداللّه علیه السلام ، وعن الحسين بن خالد عن أبى الحسن الرضا علیه السلام ، وعن اسحاق بن عمار عن أبيابراهيم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يأتى البهيمة فقالوا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البهيمة للفاعل ذبحت فاذا ماتت اُحرقت بالنار ولم ينتفع بها وضرب هو خمسة وعشرين سوطاً ربع حد الزانى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عن الرجل يأتى بهيمة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أو ناقة أو بقرة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يجلد حداً غير الحد</w:t>
      </w:r>
      <w:r>
        <w:rPr>
          <w:rStyle w:val="FootnoteAnchor"/>
          <w:rtl w:val="true"/>
        </w:rPr>
        <w:footnoteReference w:id="250"/>
      </w:r>
      <w:r>
        <w:rPr>
          <w:rFonts w:ascii="Amiri" w:hAnsi="Amiri" w:eastAsia="Amiri" w:cs="Amiri"/>
          <w:color w:val="111111"/>
          <w:sz w:val="28"/>
          <w:sz w:val="28"/>
          <w:szCs w:val="28"/>
          <w:rtl w:val="true"/>
          <w:lang w:bidi="ar-SA"/>
        </w:rPr>
        <w:t>ثم ينفى من بلاده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w:t>
      </w:r>
      <w:r>
        <w:rPr>
          <w:rStyle w:val="FootnoteAnchor"/>
          <w:rtl w:val="true"/>
        </w:rPr>
        <w:footnoteReference w:id="251"/>
      </w:r>
      <w:r>
        <w:rPr>
          <w:rFonts w:ascii="Amiri" w:hAnsi="Amiri" w:eastAsia="Amiri" w:cs="Amiri"/>
          <w:color w:val="111111"/>
          <w:sz w:val="28"/>
          <w:sz w:val="28"/>
          <w:szCs w:val="28"/>
          <w:rtl w:val="true"/>
          <w:lang w:bidi="ar-SA"/>
        </w:rPr>
        <w:t xml:space="preserve">أن لحم تلك البهيمة محرّم ولبنها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يستفاد من الصحيحة حرمة النسل ،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ينتفع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التحريم بذوات الأربع ، فقد صار اليه جماعة باعتبار أنّ ذلك هو المنصرف عرفاً من كلمة البهيمة ، ومعه يتمسك فى غير ذلك بأصل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حرمة الميتة ، فأمر متسالم عليه ، بل 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 إِلَّا مَا ذَكَّيْتُمْ</w:t>
      </w:r>
      <w:r>
        <w:rPr>
          <w:rFonts w:eastAsia="Amiri" w:cs="Amiri" w:ascii="Amiri" w:hAnsi="Amiri"/>
          <w:color w:val="111111"/>
          <w:sz w:val="28"/>
          <w:szCs w:val="28"/>
          <w:rtl w:val="true"/>
          <w:lang w:bidi="ar-SA"/>
        </w:rPr>
        <w:t xml:space="preserve">) . </w:t>
      </w:r>
      <w:r>
        <w:rPr>
          <w:rStyle w:val="FootnoteAnchor"/>
          <w:rtl w:val="true"/>
        </w:rPr>
        <w:footnoteReference w:id="253"/>
      </w:r>
      <w:r>
        <w:rPr>
          <w:rFonts w:ascii="Amiri" w:hAnsi="Amiri" w:eastAsia="Amiri" w:cs="Amiri"/>
          <w:color w:val="111111"/>
          <w:sz w:val="28"/>
          <w:sz w:val="28"/>
          <w:szCs w:val="28"/>
          <w:rtl w:val="true"/>
          <w:lang w:bidi="ar-SA"/>
        </w:rPr>
        <w:t>وفى الذيل دلالة واضحة على حصر الحل بالمذكي ، وكون المراد من الميتة غير المذكى لا خصوص ما مات حتف 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حرمة الميتة لا تختص بما كان له نفس سائلة ، بل تعم غيره كالسمك مثلاً لإطلاق دليل التحريم أجل ، تختص النجاسة بميتة ذيالنفس إلاّ أن ذلك مطلب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ما ذكر من حرمة الميتة ، فلصحيحة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الإنفحة تخرج من الجدى الميت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يكون في ضرع الشاة وقد ماتت؟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والصوف والشعر وعظام الفيل والجلد والبيض يخرج من الدجاجة؟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لا بأس به </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قيدنا البيضة بما إذا اكتست الجلد الأعلي ، فلموثقة غياث بن ابراهيم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بيضة خرجت من است دجاجة ميتة؟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اكتست البيضة الجلد الغليظ فلا بأس بها </w:t>
      </w:r>
      <w:r>
        <w:rPr>
          <w:rFonts w:eastAsia="IRNazanin" w:cs="IRNazanin"/>
          <w:color w:val="111111"/>
          <w:sz w:val="28"/>
          <w:szCs w:val="28"/>
          <w:rtl w:val="true"/>
          <w:lang w:bidi="fa-IR"/>
        </w:rPr>
        <w:t xml:space="preserve">». </w:t>
      </w:r>
      <w:r>
        <w:rPr>
          <w:rStyle w:val="FootnoteAnchor"/>
          <w:rtl w:val="true"/>
        </w:rPr>
        <w:footnoteReference w:id="255"/>
      </w:r>
      <w:bookmarkStart w:id="134" w:name="pg19370_198134"/>
    </w:p>
    <w:p>
      <w:pPr>
        <w:pStyle w:val="Heading2"/>
        <w:numPr>
          <w:ilvl w:val="1"/>
          <w:numId w:val="1"/>
        </w:numPr>
        <w:rPr/>
      </w:pPr>
      <w:bookmarkStart w:id="135" w:name="__RefHeading___Toc17390929_1280447820"/>
      <w:bookmarkStart w:id="136" w:name="_Toc41"/>
      <w:bookmarkEnd w:id="134"/>
      <w:bookmarkEnd w:id="135"/>
      <w:r>
        <w:rPr>
          <w:rtl w:val="true"/>
        </w:rPr>
        <w:t xml:space="preserve">كتاب الصيد والذباحة </w:t>
      </w:r>
      <w:r>
        <w:rPr>
          <w:rtl w:val="true"/>
        </w:rPr>
        <w:t>(</w:t>
      </w:r>
      <w:r>
        <w:rPr>
          <w:rtl w:val="true"/>
        </w:rPr>
        <w:t>وسائل التذكية</w:t>
      </w:r>
      <w:r>
        <w:rPr>
          <w:rtl w:val="true"/>
        </w:rPr>
        <w:t>)</w:t>
      </w:r>
      <w:bookmarkEnd w:id="136"/>
    </w:p>
    <w:p>
      <w:pPr>
        <w:pStyle w:val="Heading3"/>
        <w:numPr>
          <w:ilvl w:val="2"/>
          <w:numId w:val="1"/>
        </w:numPr>
        <w:rPr/>
      </w:pPr>
      <w:bookmarkStart w:id="137" w:name="__RefHeading___Toc17390931_1280447820"/>
      <w:bookmarkStart w:id="138" w:name="_Toc4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وسائل تحقق التذكية</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يقبل التذكية واثرها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9370_198136"/>
      <w:bookmarkStart w:id="140" w:name="pg19370_198136"/>
      <w:bookmarkEnd w:id="140"/>
    </w:p>
    <w:p>
      <w:pPr>
        <w:pStyle w:val="Heading3"/>
        <w:numPr>
          <w:ilvl w:val="2"/>
          <w:numId w:val="1"/>
        </w:numPr>
        <w:rPr/>
      </w:pPr>
      <w:bookmarkStart w:id="141" w:name="pg19370_198136"/>
      <w:bookmarkStart w:id="142" w:name="__RefHeading___Toc17390933_1280447820"/>
      <w:bookmarkStart w:id="143" w:name="_Toc43"/>
      <w:bookmarkEnd w:id="141"/>
      <w:bookmarkEnd w:id="142"/>
      <w:r>
        <w:rPr>
          <w:rtl w:val="true"/>
        </w:rPr>
        <w:t>وسائل تحقق التذكية</w:t>
      </w:r>
      <w:bookmarkEnd w:id="143"/>
    </w:p>
    <w:p>
      <w:pPr>
        <w:pStyle w:val="Heading4"/>
        <w:numPr>
          <w:ilvl w:val="3"/>
          <w:numId w:val="1"/>
        </w:numPr>
        <w:rPr/>
      </w:pPr>
      <w:bookmarkStart w:id="144" w:name="__RefHeading___Toc17390935_1280447820"/>
      <w:bookmarkStart w:id="145" w:name="_Toc44"/>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لايجوز أكل لحم الحيوان المحلل شرعاً إلاّ إذا كان مذكّي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التذكية بالذبح والنحر والاصطياد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7390937_1280447820"/>
      <w:bookmarkStart w:id="147" w:name="_Toc45"/>
      <w:bookmarkEnd w:id="146"/>
      <w:r>
        <w:rPr>
          <w:rtl w:val="true"/>
        </w:rPr>
        <w:t xml:space="preserve">أ </w:t>
      </w:r>
      <w:r>
        <w:rPr>
          <w:rtl w:val="true"/>
        </w:rPr>
        <w:t xml:space="preserve">- </w:t>
      </w:r>
      <w:r>
        <w:rPr>
          <w:rtl w:val="true"/>
        </w:rPr>
        <w:t>الذبح</w:t>
      </w:r>
      <w:bookmarkEnd w:id="147"/>
    </w:p>
    <w:p>
      <w:pPr>
        <w:pStyle w:val="BookText"/>
        <w:rPr/>
      </w:pPr>
      <w:r>
        <w:rPr>
          <w:rFonts w:ascii="Amiri" w:hAnsi="Amiri" w:eastAsia="Amiri" w:cs="Amiri"/>
          <w:color w:val="111111"/>
          <w:sz w:val="28"/>
          <w:sz w:val="28"/>
          <w:szCs w:val="28"/>
          <w:rtl w:val="true"/>
          <w:lang w:bidi="ar-SA"/>
        </w:rPr>
        <w:t xml:space="preserve">لا تتحقق تذكية الحيوان شرعاً بالذبح إلاّ إذا تحقق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الأعضاء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والحلقوم والودجين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الذابح ، فلاتحلّ ذبيحة الكتابى وإن تحققت منه التسمية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الذبح بالحديد ، فلا يحلّ الحيوان إذا كان الذبح بغيره إلاّ فى حالة عدم وجوده فيجوز بغيره ممّا يتحقق به قطع الأعضاء الأربعة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اسم اللّه سبحانه حالة الذبح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القبلة بالحيوان حالة ذبحه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الذبح بقطع الأعضاء ، فلا يكفى الذبح من السكران والصبى والنائم ، بل لايكفى لو وقعت السكين على الأعضاء وقطعتها أو حرّك الذابح السكين على الأعضاء لا بقصد الذبح فتحقق حصوله مع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الدم بالمقدار المتعارف مع تحريك الحيوان بعض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أو الذنب أو الاذن 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الذبح ، بل يلزم فى الدم الخارج أن لايكون متثاقلاً في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شروط 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ولاتجوز إبانة رأس‌الحيوان‌عمداً أو انخاعه</w:t>
      </w:r>
      <w:r>
        <w:rPr>
          <w:rStyle w:val="FootnoteAnchor"/>
          <w:rtl w:val="true"/>
        </w:rPr>
        <w:footnoteReference w:id="257"/>
      </w:r>
      <w:r>
        <w:rPr>
          <w:rFonts w:ascii="Amiri" w:hAnsi="Amiri" w:eastAsia="Amiri" w:cs="Amiri"/>
          <w:color w:val="111111"/>
          <w:sz w:val="28"/>
          <w:sz w:val="28"/>
          <w:szCs w:val="28"/>
          <w:rtl w:val="true"/>
          <w:lang w:bidi="ar-SA"/>
        </w:rPr>
        <w:t>قبل خروج روحه ولكنه لايحرم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والذبح بتوسط المكائن الحديثة جائز ، ولا إشكال فيه ما دامت الشروط المتقدمة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اشتراط حلية الحيوان بالتذكية ، فينبغى أن يكون من الواضحات لقوله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أكل السبع إلاّ ما ذكّيتم </w:t>
      </w:r>
      <w:r>
        <w:rPr>
          <w:rFonts w:eastAsia="Amiri" w:cs="Amiri" w:ascii="Amiri" w:hAnsi="Amiri"/>
          <w:color w:val="111111"/>
          <w:sz w:val="28"/>
          <w:szCs w:val="28"/>
          <w:rtl w:val="true"/>
          <w:lang w:bidi="ar-SA"/>
        </w:rPr>
        <w:t xml:space="preserve">) . </w:t>
      </w:r>
      <w:r>
        <w:rPr>
          <w:rStyle w:val="FootnoteAnchor"/>
          <w:rtl w:val="true"/>
        </w:rPr>
        <w:footnoteReference w:id="25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شرط فيما كانت روحه زاهقة ، أما ما كان على قيد الحياة ، فيجوز أكله بالرغم من عدم تحقق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ابتلاع السمك داخل الماء وهو حي ، أو أكل بقية الحيوانات التى هى على قيد الحياة إن أمكن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الكريمة وإن حصرت الحل بالمذكى إلاّ أنّها منصرفة الى الحيوان الذى ليس </w:t>
      </w:r>
    </w:p>
    <w:p>
      <w:pPr>
        <w:pStyle w:val="BookText"/>
        <w:rPr/>
      </w:pPr>
      <w:r>
        <w:rPr>
          <w:rFonts w:ascii="Amiri" w:hAnsi="Amiri" w:eastAsia="Amiri" w:cs="Amiri"/>
          <w:color w:val="111111"/>
          <w:sz w:val="28"/>
          <w:sz w:val="28"/>
          <w:szCs w:val="28"/>
          <w:rtl w:val="true"/>
          <w:lang w:bidi="ar-SA"/>
        </w:rPr>
        <w:t>على قيد الحياة ، ومعه يبقى الحى مشمولاً 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حصر الوسائل التى تتحقق بها التذكية بالاُمور الثلاثة المتقدمة ، فلدلالة الروايات على ذلك كما سيتضح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قطع الأعضاء الأربعة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مستند له من الروايات سوى صحيحة عبدالرحمن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ابراهيم علیه السلام عن المروة والقصبة والعود يذبح بهنَّ الانسان إذا لم‌يجد سكيناً؟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فرى الأوداج فلا بأس بذلك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مائى يكثر عند المستنقعات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من‌الأوداج هيالأعضاء الأربعة المتقدمة ، لعدم احتمال إرادة شيء 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وسندها معتبر بطريق الشيخ الطوسى وبكلا طريقى الشيخ الكلينى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فى مقابل ذلك صحيحة زيد الشحام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رجل لم‌يكن بحضرته سكين أيذبح بقصبة؟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 بالحجر وبالعظم وبالقصبة والعود اذا لم‌تصب الحديدة ، إذا قطع الحلقوم وخرج الدم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الدالة على كفاية قطع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الأخذ بمضمون الصحيحة المذكورة ، فإنّ صحيحة ابن الحجاج هي فى صدد بيان أنّ وسيلة الذبح لابدَّ وأن تكون لها القابلية على قطع الأوداج ، أما أنّه يلزم قطع جميعها أو بعضها فليست بصدده ، ومعه تبقى صحيحة الشحام بلا معارض</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تحفظ الفقيه عن مخالفة المشهور باحتياطه فى الفتوى أمر 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يلزم عند قطع الأعضاء بقاء الخرزة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العنق أو يجوز بقاؤها فى الجسد؟</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تحقق قطع الأوداج كلاًّ أو خصوص الحلقوم ، وأما بقاء الجوزة فى هذا المحل أو ذاك ، فغير مهم بعد فرض تحقق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قيل بأنّ تلك الأعضاء الأربعة متصلة بالجوزة بحيث إذا لم‌تبق فى العنق بتمامها ولم‌يقع الذبح من تحتها ، فلايمكن تحقق قطعها ، إلاّ أنّ هذا مطلب آخر ، فإن صحّ لزم ابقاء الجوزة فى العنق للجهة المذكورة لا لأنّه مطلوب فى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الاسلام فى الذابح ، فهو المشهور بين الأصحاب ، بل فى الجواهر أنه كاد أن يكون من ضروريات المذهب فى زماننا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وإذا رجعنا الى الروايات وجدناها على طوائف مختلفة ، نذكر من بينها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النهى عن ذبيحة غير المسلم بشكل مطلق ، كصحيحة حميد بن المثنى عن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ذبيحة اليهودى والنصراني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لاتقربوها </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وبالأولوية يتعدى الى بقية أصناف الكفار من غير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الجواز بشكل مطلق ، كصحيحة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ذبيحة أهل الكتاب ونسائهم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التفصيل بين سماع التسمية منهم فتحلّ الذبيحة وبين عدمه فلاتحلّ ، كصحيحة حريز عن أبيعبداللّه علیه السلام وعن زرارة عن أبيجعفر علیه السلام أنهما </w:t>
      </w:r>
    </w:p>
    <w:p>
      <w:pPr>
        <w:pStyle w:val="BookText"/>
        <w:rPr/>
      </w:pPr>
      <w:r>
        <w:rPr>
          <w:rFonts w:ascii="Amiri" w:hAnsi="Amiri" w:eastAsia="Amiri" w:cs="Amiri"/>
          <w:color w:val="111111"/>
          <w:sz w:val="28"/>
          <w:sz w:val="28"/>
          <w:szCs w:val="28"/>
          <w:rtl w:val="true"/>
          <w:lang w:bidi="ar-SA"/>
        </w:rPr>
        <w:t xml:space="preserve">قالا فى ذبائح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شهدتموهم وقد سمّوا اسم اللّه فكلوا ذبائحهم ، وإن لم‌تشهدوهم فلاتأكلوا ، وإن أتاك رجل مسلم فأخبرك أنّهم سمّوا فكُل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عدم الحلية حتى مع التسمية ، كرواية زيد الشحّام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ابوعبداللّه علیه السلام عن ذبيحة الذمي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لاتأكله إن سمّى وان لم يسمِّ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وموثقة الحسين بن علوان عن جعفر عن أبيه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من طعام المجوس كلّه ما خلا ذبائحهم ، فإنّها لاتحل وإن ذكر اسم اللّه عليها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إلاّ ان هذه الطائفة لابدَّ من حذفها من الحساب لضعف سند الاُولى بالمفضل بن صالح الذى لم‌يوثق بل ضُعِّف ، واختصاص الثانية بالمجوسى الذى يحتمل أن يكون النهى عن ذبيحته من باب أنّه ليس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نبقى نحن والطوائف الثلاث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بينها ممكن ، فإنّه بقرينة الطائفة الثالثة تحمل الطائفة الاُولى على حالة عدم تحقق التسمية والثانية علي حالة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الصناعة على هذا هو التفصيل بين حالة تحقق التسمية من الكتابى وحالة العدم ، فيحكم بالحلّ فى الأوّل دونه فى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الشهرة بين الأصحاب على عدم الحلّ مطلقاً تحول دون جزم الفقيه بالتفصيل المذكور وتفرض عليه التنزّل الى الاحتياط فى الفتوي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عدم جواز الذبح إلاّ بالحديد ، فلم‌يعرف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الذبيحة بالليطة وبالمروة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ذكاة إلاّ </w:t>
      </w:r>
    </w:p>
    <w:p>
      <w:pPr>
        <w:pStyle w:val="BookText"/>
        <w:rPr/>
      </w:pPr>
      <w:r>
        <w:rPr>
          <w:rFonts w:ascii="Amiri" w:hAnsi="Amiri" w:eastAsia="Amiri" w:cs="Amiri"/>
          <w:color w:val="111111"/>
          <w:sz w:val="28"/>
          <w:sz w:val="28"/>
          <w:szCs w:val="28"/>
          <w:rtl w:val="true"/>
          <w:lang w:bidi="ar-SA"/>
        </w:rPr>
        <w:t xml:space="preserve">بحديدة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والليطة 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الظاهر من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وصحيحة عبدالرحمن بن الحجاج المتقدمة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تفسر الحديد بكل فلز حادّ بقرينة جعل المقابلة بين الليطة والمروة وبين الحديد؟</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احتمال ، وهو ليس حجة ما دام لم‌يرتقِ الى مستوى الظهور ، فإنّ الحجة هو الظهور دون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الالتفات الى أنّه قد تداول فى زماننا صنع السكاكين من الاستيل ، وقد وقع الكلام فى كونه مصداقاً للحديد كى يجوز الذبح به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عن بعض أهل الخبرة أنّه حديد مصفّى مشتمل على خليط من مواد اُخرى كالحديد نفسه فإنّه مشتمل على مواد اُخرى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لابدَّ من ملاحظة نسبة الخليط فى الاستيل ، فإذا كانت مقاربة لنسبته فى الحديد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الغالب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الذبح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حلّية الحيوان مع ذبحه بغير الحديد عمداً ، فلأنّ ذلك لازم نفى الذكاة إلاّ مع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الذبح بغير الحديد إذا لم‌يمكن الذبح به ، فممّا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ابن الحجاج المتقدمة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ذكر اسم اللّه سبحانه حين الذبح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مِمَّا </w:t>
      </w:r>
    </w:p>
    <w:p>
      <w:pPr>
        <w:pStyle w:val="BookText"/>
        <w:rPr/>
      </w:pPr>
      <w:r>
        <w:rPr>
          <w:rFonts w:ascii="Amiri" w:hAnsi="Amiri" w:eastAsia="Amiri" w:cs="Amiri"/>
          <w:color w:val="111111"/>
          <w:sz w:val="28"/>
          <w:sz w:val="28"/>
          <w:szCs w:val="28"/>
          <w:rtl w:val="true"/>
          <w:lang w:bidi="ar-SA"/>
        </w:rPr>
        <w:t xml:space="preserve">لَمْ يُذْكَرِ اسْمُ اللَّهِ عَلَيْهِ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الرجل يذبح ولايسمّى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ناسياً فلا بأس إذا كان مسلماً وكان يحسن أن يذبح ولا ينخع ولا يقطع الرقبة بعد ما يذبح </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مع تركها نسياناً لاتحرم للصحيحة المذكورة وغيرها ، وهذا بخلاف تركها جهلاً ، فإنّها تحرم لإطلاق دليل الشرطية ، ولاستفادة ذلك من تقييد نفى البأس في الصحيحة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تلزم العربية فى الذكر؟ مقتضى إطلاق أدلة اعتبار الذكر عدمه ، وإن كان ذلك هو المناسب للاحتياط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استقبال القبلة بالذبيحة ، فهو مورد لتسالم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الذبيحة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بذبيحتك القبلة </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 إنّ الشرطية تختص بحالة الالتفات ولاتعم حالة النسيان والجهل والاضطرار ، لصحيحة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الذبيحة تذبح لغير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يتعمد </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وغيرها ، فإنّ التعمد لايصدق فى الحالات المتقدمة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قصد الذبح فهو معروف فى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الشيخ النراقى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المتبادر من الذبح المحلل هو الصادر من القاصد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ولعل الأنسب من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المحللة للأكل قد نسبت الى الفاعل فى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ذَكَّيْتُمْ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والمفهوم عرفاً من نسبة المادة الى الفاعل صدورها منه بالاختيار والقصد ، 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فلان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أنّه أكله عن قصد واختيار ، وهذا الانصراف إن لم‌يجزم به فى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محتملاً ، ومعه يشك فى تحقق التذكية المعتبرة شرعاً ، 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خروج الدم ، فيمكن استفادته من صحيحة زيد الشحام المتقدمة ، حيث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قطع الحلقوم وخرج الدم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كونه بالمقدار المتعارف فلأنّ ذلك هو المنصرف من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الدم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الحركة ، فلصحيحة الحلبى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الذبيحة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تحرك الذنب أو الطرف أو الأذن فهو ذكي </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الطائفتين يقتضى اعتبار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وخروج الدم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عدم تثاقل الدم فى خروجه ، فتدل عليه صحيحة بكر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أبيعبداللّه علیه السلام إذا جاءه محمد بن عبدالسلام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يقول لك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ضرب بقرة بفأس فسقطت ثم ذبحها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الرجل الذى ذبح البقرة حين ذبح خرج الدم معتدلاً فكلوا وأطعموا ، وإن كان خرج خروجاً متثاقلاً فلاتقربوه </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والدلالة واضحة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قطع رأس الذبيحة قبل أن تخرج روحها ، فقد صار اليه جمع من الأصحاب لصحيحة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المنسوب الى كثير من الأصحاب الكراهة ، بل عن الشيخ فى خلافه دعوى الإجماع على ذلك</w:t>
      </w:r>
      <w:r>
        <w:rPr>
          <w:rStyle w:val="FootnoteAnchor"/>
          <w:rtl w:val="true"/>
        </w:rPr>
        <w:footnoteReference w:id="277"/>
      </w:r>
      <w:r>
        <w:rPr>
          <w:rFonts w:ascii="Amiri" w:hAnsi="Amiri" w:eastAsia="Amiri" w:cs="Amiri"/>
          <w:color w:val="111111"/>
          <w:sz w:val="28"/>
          <w:sz w:val="28"/>
          <w:szCs w:val="28"/>
          <w:rtl w:val="true"/>
          <w:lang w:bidi="ar-SA"/>
        </w:rPr>
        <w:t>، ومن هنا يكون المناسب التنزل من الفتوى بالتحريم الى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نخع الذبيحة ، فتدل على النهى عنه الصحيحة المتقدمة ، بَيْدَ أنّ المشهور بين الاصحاب على ما قيل هو الكراهة </w:t>
      </w:r>
      <w:r>
        <w:rPr>
          <w:rStyle w:val="FootnoteAnchor"/>
          <w:rtl w:val="true"/>
        </w:rPr>
        <w:footnoteReference w:id="278"/>
      </w:r>
      <w:r>
        <w:rPr>
          <w:rFonts w:ascii="Amiri" w:hAnsi="Amiri" w:eastAsia="Amiri" w:cs="Amiri"/>
          <w:color w:val="111111"/>
          <w:sz w:val="28"/>
          <w:sz w:val="28"/>
          <w:szCs w:val="28"/>
          <w:rtl w:val="true"/>
          <w:lang w:bidi="ar-SA"/>
        </w:rPr>
        <w:t>، بل عن الشيخ فى مبسوطه نفى الخلاف عن ذلك</w:t>
      </w:r>
      <w:r>
        <w:rPr>
          <w:rStyle w:val="FootnoteAnchor"/>
          <w:rtl w:val="true"/>
        </w:rPr>
        <w:footnoteReference w:id="279"/>
      </w:r>
      <w:r>
        <w:rPr>
          <w:rFonts w:ascii="Amiri" w:hAnsi="Amiri" w:eastAsia="Amiri" w:cs="Amiri"/>
          <w:color w:val="111111"/>
          <w:sz w:val="28"/>
          <w:sz w:val="28"/>
          <w:szCs w:val="28"/>
          <w:rtl w:val="true"/>
          <w:lang w:bidi="ar-SA"/>
        </w:rPr>
        <w:t>، ومعه يكون المناسب التنزّل الى 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تحريم إبانة الرأس والانخاع هل تحرم الذبيحة بذلك؟ اختار جمع من الأصحاب ذلك بدعوى أنّ الذبح الشرعى هو عبارة عن قطع الأوداج الأربعة فقط ، فإذا اُضيف شيء على ذلك خرج الذبح عن كونه ذبحاً شرعياً ، فلايكون مبيحاً ، ويجرى ذلك مجرى ما لو قطع عضو من أعضاء الحيوان فمات بسبب انضمام ذلك</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دلَّ على جواز الأكل عند فرى الأوداج أو خصوص الحلقوم عدم اشتراط حلية الأكل بما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بالنسبة الى الذكر والاستقبال وغير ذلك خرج بالدليل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الى الإبانة والانخاع فحيث </w:t>
      </w:r>
    </w:p>
    <w:p>
      <w:pPr>
        <w:pStyle w:val="BookText"/>
        <w:rPr/>
      </w:pPr>
      <w:r>
        <w:rPr>
          <w:rFonts w:ascii="Amiri" w:hAnsi="Amiri" w:eastAsia="Amiri" w:cs="Amiri"/>
          <w:color w:val="111111"/>
          <w:sz w:val="28"/>
          <w:sz w:val="28"/>
          <w:szCs w:val="28"/>
          <w:rtl w:val="true"/>
          <w:lang w:bidi="ar-SA"/>
        </w:rPr>
        <w:t>لايدل دليل تحريمها على تحريم الأكل ، فيعود ذلك مشمولاً للإطلاق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فى حالة تعمّد الإبانة والانخاع ، وإلاّ فلا إشكال فى عدم التحريم التكليفى والوضعى لموثقة الحسين بن علوان عن جعفر عن أبيه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أسرعت السكين فى الذبيحة ، فقطعت الرأس فلا بأس بأكلها </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 وأما بناءً على كونها مفعولاً ، فيستفاد نفى الحرمة الوضعية حتى فى حالة التعمد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الذبح بالمكائن الحديثة جائز مع اجتماع الشروط المتقدمة ، فللتمسك بإطلاق ما دلّ على حلية الحيوان بالتذكية أو بفرى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ولايتصور وجود مانع من حلية الحيوان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وضعه على الأرض حالة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استقرار الحياة الطبيعية فيه بسبب توجيه الشحنة الكهربائية اليه ليخمد عن الاضطراب والتحرك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الذبح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مقارنة ذكراللّه‌سبحانه عند ذبح كل حيوان ، بل قد يتخلل فاصل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ذكر اللّه سبحانه من الذابح باعتبار عدم وجود ذابح فى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لايصلح للمانعية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وضع الحيوان على الأرض حالة تذكيته لعدم الدليل على ذلك ، بل هو منفى بإطلاق ما دلَّ على الحلية عند تحقق فرى الأوداج</w:t>
      </w:r>
      <w:r>
        <w:rPr>
          <w:rFonts w:eastAsia="Amiri" w:cs="Amiri" w:ascii="Amiri" w:hAnsi="Amiri"/>
          <w:color w:val="111111"/>
          <w:sz w:val="28"/>
          <w:szCs w:val="28"/>
          <w:rtl w:val="true"/>
          <w:lang w:bidi="ar-SA"/>
        </w:rPr>
        <w:t xml:space="preserve">. </w:t>
      </w:r>
      <w:bookmarkStart w:id="148" w:name="pg19370_198146"/>
    </w:p>
    <w:p>
      <w:pPr>
        <w:pStyle w:val="BookText"/>
        <w:rPr/>
      </w:pPr>
      <w:bookmarkEnd w:id="148"/>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اعتبار استقرار الحياة بشكلها الطبيعي ، بل ذلك منفى بالإطلاق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السكين بعنوانه ، بل يكفى مطلق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الفاصل الزمنى إذا كان قليلاً ولم‌يكن مانعاً عرفاً من صدق ذكر اسم اللّه عند ذبح الحيوان فلا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 من يضغط على الزر الكهربائى يصدق عليه عرفاً عنوان الذابح ، فإذا ذكر اسم اللّه ذلك الحين وكان مسلماً حسب الفرض فلاتبقي مشكلة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7390939_1280447820"/>
      <w:bookmarkStart w:id="150" w:name="_Toc46"/>
      <w:bookmarkEnd w:id="149"/>
      <w:r>
        <w:rPr>
          <w:rtl w:val="true"/>
        </w:rPr>
        <w:t xml:space="preserve">ب </w:t>
      </w:r>
      <w:r>
        <w:rPr>
          <w:rtl w:val="true"/>
        </w:rPr>
        <w:t xml:space="preserve">- </w:t>
      </w:r>
      <w:r>
        <w:rPr>
          <w:rtl w:val="true"/>
        </w:rPr>
        <w:t>النحر</w:t>
      </w:r>
      <w:bookmarkEnd w:id="150"/>
    </w:p>
    <w:p>
      <w:pPr>
        <w:pStyle w:val="BookText"/>
        <w:rPr/>
      </w:pPr>
      <w:r>
        <w:rPr>
          <w:rFonts w:ascii="Amiri" w:hAnsi="Amiri" w:eastAsia="Amiri" w:cs="Amiri"/>
          <w:color w:val="111111"/>
          <w:sz w:val="28"/>
          <w:sz w:val="28"/>
          <w:szCs w:val="28"/>
          <w:rtl w:val="true"/>
          <w:lang w:bidi="ar-SA"/>
        </w:rPr>
        <w:t xml:space="preserve">تختص الإبل من بين بقية الحيوانات بأنّ تذكيتها لاتتحقق إلاّ بالنحر ، وذلك بطعن الآلة الحديدية فى لبّتها </w:t>
      </w:r>
      <w:r>
        <w:rPr>
          <w:rStyle w:val="FootnoteAnchor"/>
          <w:rtl w:val="true"/>
        </w:rPr>
        <w:footnoteReference w:id="282"/>
      </w:r>
      <w:r>
        <w:rPr>
          <w:rFonts w:ascii="Amiri" w:hAnsi="Amiri" w:eastAsia="Amiri" w:cs="Amiri"/>
          <w:color w:val="111111"/>
          <w:sz w:val="28"/>
          <w:sz w:val="28"/>
          <w:szCs w:val="28"/>
          <w:rtl w:val="true"/>
          <w:lang w:bidi="ar-SA"/>
        </w:rPr>
        <w:t>، سواء كان ذلك حالة قيامها أم فى غيرها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تحقق جميع الشرائط المتقدمة غير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والنحر خاص بالإبل ولاتتحقق التذكية به فى بقية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التذكية فى الإبل تتحقق بالنحر ، فهو ممّا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الروايات المذكورة فى باب الحج وأنّ صاحب البدنة ينحرها ، كصحيحة محمدبن‌مسلم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البدنة تنتج أيحلبها؟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احلبها حلباً </w:t>
      </w:r>
    </w:p>
    <w:p>
      <w:pPr>
        <w:pStyle w:val="BookText"/>
        <w:rPr/>
      </w:pPr>
      <w:r>
        <w:rPr>
          <w:rFonts w:ascii="Amiri" w:hAnsi="Amiri" w:eastAsia="Amiri" w:cs="Amiri"/>
          <w:color w:val="111111"/>
          <w:sz w:val="28"/>
          <w:sz w:val="28"/>
          <w:szCs w:val="28"/>
          <w:rtl w:val="true"/>
          <w:lang w:bidi="ar-SA"/>
        </w:rPr>
        <w:t xml:space="preserve">غير مضر بالولد ، ثم انحرهما جميعاً </w:t>
      </w:r>
      <w:r>
        <w:rPr>
          <w:rFonts w:eastAsia="Amiri" w:cs="Amiri" w:ascii="Amiri" w:hAnsi="Amiri"/>
          <w:color w:val="111111"/>
          <w:sz w:val="28"/>
          <w:szCs w:val="28"/>
          <w:rtl w:val="true"/>
          <w:lang w:bidi="ar-SA"/>
        </w:rPr>
        <w:t xml:space="preserve">... » </w:t>
      </w:r>
      <w:r>
        <w:rPr>
          <w:rStyle w:val="FootnoteAnchor"/>
          <w:rtl w:val="true"/>
        </w:rPr>
        <w:footnoteReference w:id="28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إشكال فى أنّ تذكية غير الإبل لا تتحقق بالنحر ، وذلك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 حيث يشك فى تحقق التذكية بالنحر ، والأصل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ذبح البقر من المنحر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للبقر الذبح ، وما نحر فليس بذكي </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الاشكال فى وجه عدم جواز تذكية الابل بالذبح بعد شمول إطلاق أدلة تحقق التذكية بفرى الأوداج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يمكن التمسك به لتقييد الإطلاق المذكور سوي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بمثل صحيحة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فى اللبّة ، والذبح فى الحلق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تدلّ على أنّ بعض الحيوانات تتحقق فيه التذكية بالنحر ولاتدلّ علي أنّ هذا البعض لاتتحقق فيه التذكية بغير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فإنّه ظاهر فى وجوب النحر وتعيّنه ، وحيث لايجب نحر غير الإبل فيثبت وجوب النحر فيها وتعينه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المحتمل أن يكون المقصود من الأمر فى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بالتكبير حالة الصلاة ، كما دلت على ذلك بعض الأخبار</w:t>
      </w:r>
      <w:r>
        <w:rPr>
          <w:rFonts w:eastAsia="Amiri" w:cs="Amiri" w:ascii="Amiri" w:hAnsi="Amiri"/>
          <w:color w:val="111111"/>
          <w:sz w:val="28"/>
          <w:szCs w:val="28"/>
          <w:rtl w:val="true"/>
          <w:lang w:bidi="ar-SA"/>
        </w:rPr>
        <w:t xml:space="preserve">. </w:t>
      </w:r>
      <w:r>
        <w:rPr>
          <w:rStyle w:val="FootnoteAnchor"/>
          <w:rtl w:val="true"/>
        </w:rPr>
        <w:footnoteReference w:id="287"/>
      </w:r>
      <w:bookmarkStart w:id="151" w:name="pg19370_198148"/>
    </w:p>
    <w:p>
      <w:pPr>
        <w:pStyle w:val="BookText"/>
        <w:rPr/>
      </w:pPr>
      <w:bookmarkEnd w:id="151"/>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برواية الشيخ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منحورٍ مذبوحٌ حرام ، وكل مذبوحٍ منحورٌ حرام </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 فإنّه يدل على أنّ ما ينحر يحرم إذا ذبح ، وحيث إنّ الذى ينحر هو الإبل فيلزم أن تكون حراماً لو ذبحت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ضعيف بالارسال ، وعليه فالحكم بتعيّن النحر فى الإبل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مال الشيخ الأردبيلى الى جواز الذبح فيها بمقتضى الصناعة وإن احتاط باعتبار أنّه طريق السلامة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النحر يتحقق بطعن السكين ونحوها فى اللبّة ، فهو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صحيحة معاوية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النحر فى حال القيام وغيره ، فلإطلاق الصحيحة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لابدَّ من توفر جميع شرائط التذكية المتقدمة ما عدا الأول منها ، فباعتبار إطلاق أدلة اعتبارها وعدم اختصاصها بما إذا كانت التذكية بالذبح فلاحظ</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7390941_1280447820"/>
      <w:bookmarkStart w:id="153" w:name="_Toc47"/>
      <w:bookmarkEnd w:id="152"/>
      <w:r>
        <w:rPr>
          <w:rtl w:val="true"/>
        </w:rPr>
        <w:t xml:space="preserve">ج </w:t>
      </w:r>
      <w:r>
        <w:rPr>
          <w:rtl w:val="true"/>
        </w:rPr>
        <w:t xml:space="preserve">- </w:t>
      </w:r>
      <w:r>
        <w:rPr>
          <w:rtl w:val="true"/>
        </w:rPr>
        <w:t>الاصطياد</w:t>
      </w:r>
      <w:bookmarkEnd w:id="153"/>
    </w:p>
    <w:p>
      <w:pPr>
        <w:pStyle w:val="BookText"/>
        <w:rPr/>
      </w:pPr>
      <w:r>
        <w:rPr>
          <w:rFonts w:ascii="Amiri" w:hAnsi="Amiri" w:eastAsia="Amiri" w:cs="Amiri"/>
          <w:color w:val="111111"/>
          <w:sz w:val="28"/>
          <w:sz w:val="28"/>
          <w:szCs w:val="28"/>
          <w:rtl w:val="true"/>
          <w:lang w:bidi="ar-SA"/>
        </w:rPr>
        <w:t xml:space="preserve">تتحقق التذكية بالاصطياد فى ثلاثة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الوحشى طيرٍ أو غيره ، والسمك ، والجراد</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390943_1280447820"/>
      <w:bookmarkStart w:id="155" w:name="_Toc48"/>
      <w:bookmarkEnd w:id="154"/>
      <w:r>
        <w:rPr>
          <w:rtl w:val="true"/>
        </w:rPr>
        <w:t>الحيوان الوحشى</w:t>
      </w:r>
      <w:bookmarkEnd w:id="1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تتحقق التذكية فى الحيوان الوحشى بالاصطياد إلاّ إذا كانت وسيلة ذلك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أو السلاح</w:t>
      </w:r>
      <w:r>
        <w:rPr>
          <w:rFonts w:eastAsia="Amiri" w:cs="Amiri" w:ascii="Amiri" w:hAnsi="Amiri"/>
          <w:color w:val="111111"/>
          <w:sz w:val="28"/>
          <w:szCs w:val="28"/>
          <w:rtl w:val="true"/>
          <w:lang w:bidi="ar-SA"/>
        </w:rPr>
        <w:t xml:space="preserve">. </w:t>
      </w:r>
      <w:bookmarkStart w:id="156" w:name="pg19370_198149"/>
    </w:p>
    <w:p>
      <w:pPr>
        <w:pStyle w:val="Heading3"/>
        <w:numPr>
          <w:ilvl w:val="2"/>
          <w:numId w:val="1"/>
        </w:numPr>
        <w:rPr/>
      </w:pPr>
      <w:bookmarkStart w:id="157" w:name="__RefHeading___Toc17390945_1280447820"/>
      <w:bookmarkStart w:id="158" w:name="_Toc49"/>
      <w:bookmarkEnd w:id="156"/>
      <w:bookmarkEnd w:id="157"/>
      <w:r>
        <w:rPr>
          <w:rtl w:val="true"/>
        </w:rPr>
        <w:t>الاصطياد بالكلب</w:t>
      </w:r>
      <w:bookmarkEnd w:id="158"/>
    </w:p>
    <w:p>
      <w:pPr>
        <w:pStyle w:val="BookText"/>
        <w:rPr/>
      </w:pPr>
      <w:r>
        <w:rPr>
          <w:rFonts w:ascii="Amiri" w:hAnsi="Amiri" w:eastAsia="Amiri" w:cs="Amiri"/>
          <w:color w:val="111111"/>
          <w:sz w:val="28"/>
          <w:sz w:val="28"/>
          <w:szCs w:val="28"/>
          <w:rtl w:val="true"/>
          <w:lang w:bidi="ar-SA"/>
        </w:rPr>
        <w:t>أما كلب الصيد فعضّه للحيوان وجرحه له هو بمنزلة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ولاتتحقق به الذكاة إلاّ إذا توفرت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الكلب مُعلَّما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فيما إذا كان ينبعث إذا بعثه صاحبه وينزجر إذا زجره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لايأكل ما يمسكه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سبحانه عند الارسال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ارساله للاصطياد ، فلاتتحقق الذكاة لو استرسل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المرسل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موت الحيوان الى جرح الكلب ، أما إذا استند الى سبب آخر من تعب أو اصطدام ونحو ذلك فلايحل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ادراك صاحب الكلب الحيوان حيّاً مع تمكّنه من ذبحه ، بأن يدركه ميتاً أو حيّاً فى زمان لايسع لذبحه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الاصطياد لاتتحقق به التذكية إلاّ فى الثلاثة المتقدمة ،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الشرعية قد دلّت على تحقق تذكية الثلاثة بالاصطياد ، ويبقي غيرها مشمولا لإصالة عدم تحقق التذكية لو اصطيد وشك فى تحقق التذكية بذلك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الاصطياد لايصدق إلاّ بلحاظ الحيوان الوحشى ولايصدق بلحاظ الأهلى كالبقر والدجاج وما شاكل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والفارق بين الوجهين أنّه على الثانى يجزم بعدم تحقق التذكية ، فلاتصل النوبة الى أصالة عدم التذكية ، بخلافه على الأول ، فإنّه يفترض الشك فى تحقق التذكية فتصل النوبة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التذكية بالاصطياد لاتتحقق إلاّ إذا كانت الوسيلة هى كلب الصيد دون بقيه الجوارح ، فلوجهين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قد دلَّ على تحقق التذكية بما ذكر ويشك فى تحققها بغير ذلك ، فيتمسك بأصالة عدم التذكية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قد دلّت على انحصار وسيلة التذكية بكلب الصيد ، كما في صحيحة أبيعبيدة الحذّاء عن أبيعبداللّه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أدركت ذكاته 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الفهد بمنزلة الكلب؟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ليس شيء يؤكل منه مكلب </w:t>
      </w:r>
      <w:r>
        <w:rPr>
          <w:rStyle w:val="FootnoteAnchor"/>
          <w:rtl w:val="true"/>
        </w:rPr>
        <w:footnoteReference w:id="290"/>
      </w:r>
      <w:r>
        <w:rPr>
          <w:rFonts w:ascii="Amiri" w:hAnsi="Amiri" w:eastAsia="Amiri" w:cs="Amiri"/>
          <w:color w:val="111111"/>
          <w:sz w:val="28"/>
          <w:sz w:val="28"/>
          <w:szCs w:val="28"/>
          <w:rtl w:val="true"/>
          <w:lang w:bidi="ar-SA"/>
        </w:rPr>
        <w:t xml:space="preserve">إلاّ الكلب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يستفاد ذلك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 الطَّيِّبَاتُ وَمَا عَلَّمْتُمْ مِنَ الْجَوَارِحِ مُكَلِّبِينَ تُعَلِّمُونَهُنَّ مِمَّا عَلَّمَكُمُ اللَّهُ فَكُلُوا مِمَّا أَمْسَكْنَ عَلَيْكُمْ وَاذْكُرُوا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فإنّ تقييد الجوارح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قد يفهم منه أنّ مطلق الجوارح لايجوز الاصطياد بها ، بل بخصوص الكلاب التى قد دربت على الاصطياد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فى مقابل ذلك روايات دلّت على تحقق التذكية بغير الكلب أيضاً كصحيحة زكريا بن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الرضا علیه السلام عن الكلب والفهد يرسلان </w:t>
      </w:r>
    </w:p>
    <w:p>
      <w:pPr>
        <w:pStyle w:val="BookText"/>
        <w:rPr/>
      </w:pPr>
      <w:r>
        <w:rPr>
          <w:rFonts w:ascii="Amiri" w:hAnsi="Amiri" w:eastAsia="Amiri" w:cs="Amiri"/>
          <w:color w:val="111111"/>
          <w:sz w:val="28"/>
          <w:sz w:val="28"/>
          <w:szCs w:val="28"/>
          <w:rtl w:val="true"/>
          <w:lang w:bidi="ar-SA"/>
        </w:rPr>
        <w:t xml:space="preserve">فيقتل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بأكله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إنّ التعارض بين الطائفتين مستقر فيلزم إعمال المرجحات ، وبما أنّ الاُولى هى الموافقة للكتاب الكريم بناءً على تمامية دلالته ، فيلزم ترجيحها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التنزل يلزم ترجيحها أيضاً للزوم حمل الثانية على التقية بقرينة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أبى علیه السلام يفتى وكان يتّقى ونحن نخاف فى صيد البزاة والصقورة ، وأما الآن فإنّا لانخاف ولايحلّ صيدها إلاّ أن تدرك ذكاته </w:t>
      </w:r>
      <w:r>
        <w:rPr>
          <w:rFonts w:eastAsia="IRNazanin" w:cs="IRNazanin"/>
          <w:color w:val="111111"/>
          <w:sz w:val="28"/>
          <w:szCs w:val="28"/>
          <w:rtl w:val="true"/>
          <w:lang w:bidi="fa-IR"/>
        </w:rPr>
        <w:t xml:space="preserve">... » </w:t>
      </w:r>
      <w:r>
        <w:rPr>
          <w:rStyle w:val="FootnoteAnchor"/>
          <w:rtl w:val="true"/>
        </w:rPr>
        <w:footnoteReference w:id="2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التأمل فى ما ينسب الى ابن أبى عقيل من جواز الاصطياد بغير الكلاب من السباع المعلّمة كالفهد والنمر وغيرهما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هذا كله بالنسبة الى الاصطياد بالكلب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الاصطياد بالسلاح ، فيأتى البحث عنه مستقلاًّ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يكون الكلب مُعلَّما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الوجهان التاليان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بالآية الكريمة المتقدمة ، حيث قيدت الجوارح بما إذا كانت مكلَّبة وقد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والتكليب هو تدريب الكلب على الاصطياد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أبيعبيدة الحذّاء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الرجل يسرّح كلبه المعلّم ويسمّى إذا سرّحه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ممّا أمسك عليه ، فإن أدركه قبل قتله ذكّاه ، وإن وجد معه كلباً غير معلّم فلا يأكل منه </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كون الكلب مُعلَّما يتحقق بما ذكر ، فليس ذلك لتحديد شرعي ، بل لأنّ المفهوم عرفاً من كون الكلب مُعلَّما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لايأكل ما يمسكه إلاّ نادراً ، فهو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عدم تحقق التذكية فيما إذا كان الكلب معتاداً على أكل ما يمسكه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لا مجال له بعد اطلاق مثل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أُحِلَّ لَكُمُ الطَّيِّبَاتُ وَمَا عَلَّمْتُمْ مِنَ الْجَوَارِحِ مُكَلِّبِينَ </w:t>
      </w:r>
      <w:r>
        <w:rPr>
          <w:rFonts w:eastAsia="Amiri" w:cs="Amiri" w:ascii="Amiri" w:hAnsi="Amiri"/>
          <w:color w:val="111111"/>
          <w:sz w:val="28"/>
          <w:szCs w:val="28"/>
          <w:rtl w:val="true"/>
          <w:lang w:bidi="ar-SA"/>
        </w:rPr>
        <w:t xml:space="preserve">...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المعلّم لايصدق مع الأكل بنحو 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وجيه لو كان أكله المعتاد لمجموع الحيوان أو لغالبه ، أما إذا كان لجزءٍ يسير منه فلايضر ذلك بصدق 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فإنّ الإمساك علينا لايتحقق مع اعتياد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لايصدق لو فرض أكل الكلب لجميع الحيوان دون ما لو أبقي بعضه أو غالبه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بالروايات الدالة على ذلك ، كموثقة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عمّا أمسك عليه الكلب المعلّم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تأكلوا ممّا أمسك الكلب ممّا لم‌يأكل الكلب منه ، فإذا أكل الكلب منه قبل أن تدركه فلا تأكل منه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المذكورة معارضة بغيرها ، كصحيحة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قتله الكلب وقد ذكرت اسم اللّه عليه فكل منه وإن أكل منه </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والتعارض غير مستقر لإمكان الجمع عرفاً بحمل الاُولى على الكراهة بقرينة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انّه لا دليل على الشرط المذكور غير أنّ ما صار اليه مشهور الأصحاب هو مقتضى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ذكر اللّه سبحانه عند ارسال الكلب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وصحيحة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أرسل كلبه ولم‌يسمِ فلا يأكله </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تحقق الذكر عند الارسال أو يكفى كونه بعده وقبل الإصابة؟ في ذلك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استفادة الأول من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ارسال الكلب للاصطياد ولايكفى استرساله من قبل نفسه ، فلم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بما يلي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فى الجواهر</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المقتصر فى الخروج عنها بالمتيقن ، وهو الارسال للصيد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وجه له بعد ثبوت الإطلاق فى الآية الكريمة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برواية أبيبكر الحضرمى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على بن ابراهيم فى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أبيعبداللّه علیه السلام حيث ورد فى ذيلها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أرسلت الكلب المعلّم فاذكر اسم اللّه عليه فهو ، ذكاته </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دلالة ، فلأنّها مسوقة لبيان وجوب التسمية عند الارسال لا لبيان وجوب الارسال ووجوب التسمية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سنداً ، فلأنّ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لم‌يوثق إلاّ بناءً علي وثاقة كل من ورد فى أسانيد كامل الزيارة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برواية القاسم بن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كلب أفلت ولم‌يرسله صاحبه ، فصاد ، فأدركه صاحبه وقد قتله ، أيأكل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قابلة للمناقشة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 فلاحتمال أن يكون عدم جواز الأكل من جهة عدم التسمية وليس من جهة عدم 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سنداً ، فلعدم ثبوت وثاقة القاسم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اللّه سبحانه حيث إنّه معتبر حين الارسال ، فيلزم لتحقيق مقارنة الارسال للاصطياد ولايكفى استرسال الكلب من قبل نفسه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وجيه ، بناءً على اعتبار المقارنة دون ما إذا لم‌نعتبرها ، أو اعتبرناها في </w:t>
      </w:r>
    </w:p>
    <w:p>
      <w:pPr>
        <w:pStyle w:val="BookText"/>
        <w:rPr/>
      </w:pPr>
      <w:r>
        <w:rPr>
          <w:rFonts w:ascii="Amiri" w:hAnsi="Amiri" w:eastAsia="Amiri" w:cs="Amiri"/>
          <w:color w:val="111111"/>
          <w:sz w:val="28"/>
          <w:sz w:val="28"/>
          <w:szCs w:val="28"/>
          <w:rtl w:val="true"/>
          <w:lang w:bidi="ar-SA"/>
        </w:rPr>
        <w:t>حالة الارسال دون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كله يتضح أنّ الحكم باعتبار الشرط المذكور لابدَّ وأن يكون مبنياً على الاحتياط دون الفتوي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اسلام المرسل ، فهو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دون اسلام المرسل يشك فى تحقق التذكية ، ومقتضى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وجيه لو لم‌يكن لدينا مثل إطلاق الآية الكريمة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الاصطياد فرد من التذكية ، وحيث يعتبر فيها الاسلام فيعتبر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لم‌تثبت بنحو الموجبة الكلية ، بل قد تقدم فى التذكية بالذبح وجاهة القول بتحقق التذكية بالذبح من غير المسلم إذا تحقق معه ذكر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برواية السكونى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كلب المجوسى لاتأكل صيده إلاّ أن يأخذه المسلم فيعلّمه ويرسله </w:t>
      </w:r>
      <w:r>
        <w:rPr>
          <w:rFonts w:eastAsia="IRNazanin" w:cs="IRNazanin"/>
          <w:color w:val="111111"/>
          <w:sz w:val="28"/>
          <w:szCs w:val="28"/>
          <w:rtl w:val="true"/>
          <w:lang w:bidi="fa-IR"/>
        </w:rPr>
        <w:t xml:space="preserve">...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لو تمّت سنداً ولم‌يناقش من ناحية النوفلى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لم‌تثبت وثاقته إلاّ من خلال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فبالامكان المناقشة فى دلالتها ، لاحتمال أن يكون الوجه فى اعتبار إرسال المسلم هو عدم تحقق ذكر اللّه سبحانه من المجوسي ، أو لعدم الاكتفاء بتدريبه ، وليس لاعتبار الارسال من المسلم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بالشهرة الفتوائية على اعتبار اسلام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وجيه ، بناءً على حجية الشهرة الفتوائية فى إثبات الحكم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يتضح أنّ الحكم باعتبار اسلام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لايقول بحجية </w:t>
      </w:r>
    </w:p>
    <w:p>
      <w:pPr>
        <w:pStyle w:val="BookText"/>
        <w:rPr/>
      </w:pP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مبنياً على الاحتياط تحفظاً من مخالفة المشهور بل دعوى عدم الخلاف فى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استناد موت الحيوان الى جرح الكلب فقط دون المجموع منه ومن الضميمة ، فينبغى أن يكون واضحاً باعتبار أنّ الأدلة قد دلت على تحقق التذكية بجرح الكلب ولم‌تدل على تحققه بالمجموع المركب منه ومن الضميمة ، وإذا شك فى تحقق التذكية بذلك فبالامكان التمسك بأصالة عدم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عدم ادراك الحيوان فى وقت يسع لتذكيته ، فيمكن تقريبه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التمسك‌بأصالة عدم‌التذكية ، فإنّ الخارج منها هوالحالتان المتقدمتان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وجيه بناءً على عدم تحقق الإطلاق فى أدلة تحقق التذكية بالاصطياد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محمد بن مسلم وغير واحد عنهما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قالا فى الكلب يرسله الرجل ويسمّى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أخذته فأدركت ذكاته فذكِّه </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 بالسلاح</w:t>
      </w:r>
    </w:p>
    <w:p>
      <w:pPr>
        <w:pStyle w:val="BookText"/>
        <w:rPr/>
      </w:pPr>
      <w:r>
        <w:rPr>
          <w:rFonts w:ascii="Amiri" w:hAnsi="Amiri" w:eastAsia="Amiri" w:cs="Amiri"/>
          <w:color w:val="111111"/>
          <w:sz w:val="28"/>
          <w:sz w:val="28"/>
          <w:szCs w:val="28"/>
          <w:rtl w:val="true"/>
          <w:lang w:bidi="ar-SA"/>
        </w:rPr>
        <w:t xml:space="preserve">لا تتحقق تذكية الحيوان الوحشى بالسلاح إلاّ إذا توفّرت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الآلة ممّا يصدق عليها عنوان السلاح ، كالسيف والسكّين والسهم وطلقات البندقيّة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الصائد مسلماً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سبحانه عند استعمال السلاح للاصطياد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الرمى بقصد الاصطياد ، فلو رمى هدفاً معيّناً لا بقصد الاصطياد فأصاب غزالاً مثلاً فقتله لم‌يحلّ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ادراك الحيوان ميتاً أو حياً فى وقتٍ لايتسع لتذكيته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السلاح مستقلاً فى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التذكية بالاصطياد بالسلاح لاتثبت إلاّ فى الحيوان الوحشى ، فلأنّ عنوان الاصطياد لايتحقق بلحاظ غيره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صدق عنوان السلاح على آلة الاصطياد ، فلصحيحة محمد بن قيس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جرح صيداً بسلاح وذكر اسم اللّه عليه ثم بقى ليلة أو ليلتين لم‌يأكل منه سبع وقد علم أنّ سلاحه هو الذى قتله ، فليأكل منه إن شاء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والتقييد بعدم اكل السبع هو لاحتمال عدم تحقق القتل بالسلاح فقط بل به وبجرح السبع غير الكلب الذي لاتتحقق التذكية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الوجه فى جواز الاصطياد بالبندقية ، فإنّها مصداق للسلاح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 يلزم فى الطلقات أن تكون بنحوٍ صالحٍ للنفوذ فى بدن الحيوان وخرقه ، أمّا إذا لم‌تكن كذلك بل كانت تقتل الحيوان بسبب ضغطها أو ما فيها من الحرارة المحرقة فلا يمكن الحكم بحلية الحيوان؛ لصحيحة أبيعبيدة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رميت بالمعراض</w:t>
      </w:r>
      <w:r>
        <w:rPr>
          <w:rStyle w:val="FootnoteAnchor"/>
          <w:rtl w:val="true"/>
        </w:rPr>
        <w:footnoteReference w:id="312"/>
      </w:r>
      <w:r>
        <w:rPr>
          <w:rFonts w:ascii="Amiri" w:hAnsi="Amiri" w:eastAsia="Amiri" w:cs="Amiri"/>
          <w:color w:val="111111"/>
          <w:sz w:val="28"/>
          <w:sz w:val="28"/>
          <w:szCs w:val="28"/>
          <w:rtl w:val="true"/>
          <w:lang w:bidi="ar-SA"/>
        </w:rPr>
        <w:t xml:space="preserve">فخرق فكل ، وإن لم‌يخرق واعترض فلاتأكل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يلزم فى السلاح أن يكون من جنس الحديد؟ كلاّ ، تمسكاً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اسلام الصائد بالسلاح ، فهو المعروف بين الأصحاب ، وليس فيه كلام آخر يغاير ما تقدم عند البحث عن اعتبار اسلام الصائد بالكلب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ذكر اللّه سبحانه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والروايات الخاصة ، كصحيحة محمد بن قيس المتقدمة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يكون الرمى بقصد الاصطياد ، فيمكن التمسك له بالبيان المتقدم فى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ادراك الحيوان ميتاً أو فى وقت لايتسع لتذكيته ، فلا وجه له سوي تعميم ما ذكر فى الاصطياد بالكلب للمقام ، لعدم فهم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الحكم مشهور وبناءً على حجيّة الشهرة الفتوائية يصلح ذلك بنفسه للمدركيّة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رفض هذا وذاك فالحكم عنده يكون مبنياً على الاحتياط تحفظاً من مخالفة المشهور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استقلال السلاح فى قتل الحيوان ، فللبيان المتقدّم فى الاصطياد بالكلب</w:t>
      </w:r>
      <w:r>
        <w:rPr>
          <w:rFonts w:eastAsia="Amiri" w:cs="Amiri" w:ascii="Amiri" w:hAnsi="Amiri"/>
          <w:color w:val="111111"/>
          <w:sz w:val="28"/>
          <w:szCs w:val="28"/>
          <w:rtl w:val="true"/>
          <w:lang w:bidi="ar-SA"/>
        </w:rPr>
        <w:t xml:space="preserve">. </w:t>
      </w:r>
      <w:bookmarkStart w:id="159" w:name="pg19370_198159"/>
    </w:p>
    <w:p>
      <w:pPr>
        <w:pStyle w:val="Heading3"/>
        <w:numPr>
          <w:ilvl w:val="2"/>
          <w:numId w:val="1"/>
        </w:numPr>
        <w:rPr/>
      </w:pPr>
      <w:bookmarkStart w:id="160" w:name="__RefHeading___Toc17390947_1280447820"/>
      <w:bookmarkStart w:id="161" w:name="_Toc50"/>
      <w:bookmarkEnd w:id="159"/>
      <w:bookmarkEnd w:id="160"/>
      <w:r>
        <w:rPr>
          <w:rtl w:val="true"/>
        </w:rPr>
        <w:t>السمك والجراد</w:t>
      </w:r>
      <w:bookmarkEnd w:id="161"/>
    </w:p>
    <w:p>
      <w:pPr>
        <w:pStyle w:val="BookText"/>
        <w:rPr/>
      </w:pPr>
      <w:r>
        <w:rPr>
          <w:rFonts w:ascii="Amiri" w:hAnsi="Amiri" w:eastAsia="Amiri" w:cs="Amiri"/>
          <w:color w:val="111111"/>
          <w:sz w:val="28"/>
          <w:sz w:val="28"/>
          <w:szCs w:val="28"/>
          <w:rtl w:val="true"/>
          <w:lang w:bidi="ar-SA"/>
        </w:rPr>
        <w:t>لابدَّ لحلية السمك من تذكيته المتحققة باصطياده بأخذه حيّاً إما من الماء أو من خارجه لو وثب اليه بنفسه أو نضب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أيضاً فيما إذا نصب الصائد شبكة أو صنع حضيرة فدخلها السمك ثم نضب الماء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ولواُخرج‌السمك من‌الماء وهو حيّ ثم ربط بخيط ونحوه واُرجع اليه ومات فيه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ألقى السم فى الماء وطفى السمك بسببه فلا يحلّ إلاّ إذا أخذ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فى صائد السمك الاسلام ولا ذكره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تتحقق تذكية السمك من الكافر ولكن لايكون إخباره عن تحققها حجة إلاّ مع الاطمئنان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وتذكية الجراد تتحقق بأخذه من الهواء ولو من الكافر ومن دون ذكراللّه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السمك لايحل إلاّ بالتذكية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النصوص الآتية إن شاء اللّه تعالي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تذكية السمك تتحقق باصطياده وأخذه ، فهو ممّا لا خلاف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موثقة أبيبصير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عن صيد المجوس للسمك حين يضربون للشبك ولايسمّون أو يهودى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إنّما صيد الحيتان</w:t>
      </w:r>
      <w:r>
        <w:rPr>
          <w:rStyle w:val="FootnoteAnchor"/>
          <w:rtl w:val="true"/>
        </w:rPr>
        <w:footnoteReference w:id="314"/>
      </w:r>
      <w:r>
        <w:rPr>
          <w:rFonts w:ascii="IRNazanin" w:hAnsi="IRNazanin" w:eastAsia="IRNazanin"/>
          <w:color w:val="111111"/>
          <w:sz w:val="28"/>
          <w:sz w:val="28"/>
          <w:szCs w:val="28"/>
          <w:rtl w:val="true"/>
          <w:lang w:bidi="fa-IR"/>
        </w:rPr>
        <w:t xml:space="preserve">أخذها </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السمك الذى يكون خارج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وثب اليه أو نضب عنه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إلاّ بأخذه حياً ولايكفى مجرد موته خارج الماء ، فباعتبار أنّ التذكية تدور مدار عنوان الأخذ فلابدَّ من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مضافاً الى صحيحة على بن جعفر عن أخيه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سمكة وثبت من نهر فوقعت على الجُدّ</w:t>
      </w:r>
      <w:r>
        <w:rPr>
          <w:rStyle w:val="FootnoteAnchor"/>
          <w:rtl w:val="true"/>
        </w:rPr>
        <w:footnoteReference w:id="316"/>
      </w:r>
      <w:r>
        <w:rPr>
          <w:rFonts w:ascii="Amiri" w:hAnsi="Amiri" w:eastAsia="Amiri" w:cs="Amiri"/>
          <w:color w:val="111111"/>
          <w:sz w:val="28"/>
          <w:sz w:val="28"/>
          <w:szCs w:val="28"/>
          <w:rtl w:val="true"/>
          <w:lang w:bidi="ar-SA"/>
        </w:rPr>
        <w:t xml:space="preserve">من النهر فماتت ، هل يصلح اكلها؟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اخذتها قبل ان تموت ثم ماتت فكلها وان ماتت قبل ان تأخذها فلاتأكلها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وأمّا مثل 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لاتأكل ما نبذه الماء من الحيتان وما نضب الماء عنه </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فلابدَّ من تقييده بما إذا لم‌يأخذ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ورد فى بعض الروايات حل السمك بخروجه من الماء واضطرابه وإن لم‌يؤخذ ، كما فى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سمكة ارتفعت فوقعت على الجدد فاضطربت حتى ماتت ، آكلها؟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والاضمار لايضرها بعد كون المضمر من أجلاّء الأصحاب الذين لاتليق بهم الرواية عن غير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مثل الصحيحة المذكورة ، إن ثبت هجران الأصحاب لمضمونها كان ساقطاً عن الحجّية وإلاّ فالحكم بعدم الاكتفاء بمثل ذلك لابدَّ وأن يكون مبنياً علي الاحتياط تحفظاً من مخالفة المشهور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تحقق التذكية بنصب الشبكة أو الحظيرة وموت السمك فيها بعد نضوب </w:t>
      </w:r>
    </w:p>
    <w:p>
      <w:pPr>
        <w:pStyle w:val="BookText"/>
        <w:rPr/>
      </w:pPr>
      <w:r>
        <w:rPr>
          <w:rFonts w:ascii="Amiri" w:hAnsi="Amiri" w:eastAsia="Amiri" w:cs="Amiri"/>
          <w:color w:val="111111"/>
          <w:sz w:val="28"/>
          <w:sz w:val="28"/>
          <w:szCs w:val="28"/>
          <w:rtl w:val="true"/>
          <w:lang w:bidi="ar-SA"/>
        </w:rPr>
        <w:t>الماء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ببيانين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أخذ السمك من الماء صادق عرفاً بنصب الشبكة وغيرها للاصطياد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الحظيرة من القصب تجعل فى الماء للحيتان فتدخل فيها الحيتان فيموت بعضها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 إنّ تلك الحظيرة إنّما جعلت ليصاد بها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التعليل يتعدى الى غير الحظيرة من الأجهزة التى تعدُّ للاصطياد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مات السمك فى الحظيرة ونحوها بعد نضوب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تستفاد من اطلاق الصحيحة الحلية وتحقق التذكية حتّى على تقدير الموت قبل نضوب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فى مقابل ذلك رواية عبد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 رجلاً أن يسأل لى أباعبداللّه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صاد سمكاً وهنَّ أحياء ، ثم أخرجهن بعد ما مات بعضهنّ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فلاتأكله ، فإنّه مات فى ما كان فيه حياته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وهى إذا لم يناقش فى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عبد المؤمن نفسه باعتبار تردّده بين عبدالمؤمن بن القاسم الأنصارى الثقة وبين غيره ، ومن ناحية ذلك الرجل الوسيط ، حيث إنّه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فبالإمكان حملها على الكراهة بقرينة صحيحة الحلبي ، فان ذلك قد يكون أقرب عرفاً من تقييد الصحيحة بحالة الموت بعد نضوب الماء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فالحكم بحلية السمك لو مات فى الحظيرة حتّى قبل نضوب الماء وجيه ، </w:t>
      </w:r>
    </w:p>
    <w:p>
      <w:pPr>
        <w:pStyle w:val="BookText"/>
        <w:rPr/>
      </w:pPr>
      <w:r>
        <w:rPr>
          <w:rFonts w:ascii="Amiri" w:hAnsi="Amiri" w:eastAsia="Amiri" w:cs="Amiri"/>
          <w:color w:val="111111"/>
          <w:sz w:val="28"/>
          <w:sz w:val="28"/>
          <w:szCs w:val="28"/>
          <w:rtl w:val="true"/>
          <w:lang w:bidi="ar-SA"/>
        </w:rPr>
        <w:t>تمسّكاً بإطلاق الصحيحة بعد ردِّ المعارض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حرمة السمك لو اُخرج من الماء ثم اُرجع اليه ومات فيه ،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الأخذ لايفهم العرف منه الموضوعيّة التامّة بحيث يكفى حيث مع ارجاع السمك الى الماء ، بل يفهم منه الأخذ المقيّد بعدم الارجاع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أبيأيوب حيث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أباعبداللّه علیه السلام عن رجل اصطاد سمكة فربطها بخيط وأرسلها فى الماء فماتت ، أتؤكل؟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حلّية السمك لو طفى بإلقاء السم ، فباعتبار أنّ التذكية لاتتحقق إلاّ بالأخذ أو الاصطياد بتوسّط الحظيرة ، والمفروض عدمهما ، ومعه فلايحلّ إلاّ إذا اُخذ من الماء وهو بعدُ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لايعتبر فى صائد السمك الاسلام ، فهو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موثقة أبيبصير المتقدمة فى رقم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 الا ان العبارة جاءت كذلك فى وسائل الشيعة والمصادر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 لايعتبر ذكراللّه سبحانه ، فلصحيحة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صيد الحيتان وإن لم‌يسمِّ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 الا ان العبارة جاءت كذلك فى وسائل الشيعة والمصادر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حجية إخبار الكافر عن تحقق تذكية السمك ، فباعتبار أنّ الأصل عدم التذكية ، ولايمكن رفع اليد عنه إلاّ بالإطمئنان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حجّة بالسيرة العقلائية الممضاة بعدم الردع عنها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 المسلم أو سوق المسلمين أو البيّنة الشرعية ، بل وإخبار الثقة على 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تذكية الجراد تتحقق بما ذكر ، فلا خلاف فيه بين الأصحاب ، فكما أنّ </w:t>
      </w:r>
    </w:p>
    <w:p>
      <w:pPr>
        <w:pStyle w:val="BookText"/>
        <w:rPr/>
      </w:pPr>
      <w:r>
        <w:rPr>
          <w:rFonts w:ascii="IRNazanin" w:hAnsi="IRNazanin" w:eastAsia="IRNazanin"/>
          <w:color w:val="111111"/>
          <w:sz w:val="28"/>
          <w:sz w:val="28"/>
          <w:szCs w:val="28"/>
          <w:rtl w:val="true"/>
          <w:lang w:bidi="fa-IR"/>
        </w:rPr>
        <w:t>تذكية السمك تتحقق بأخذه فكذلك تذكية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على بن جعفر عن أخيه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عمّا أصاب المجوس من الجراد والسمك أيحلّ أكله؟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صيده ذكاته ، لا بأس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الاسلام فى الصائد ، فتدلّ عليه الصحيحة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ذكر اللّه سبحانه ، فيمكن استفادته من الصحيحة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هو مستفاد من إطلاقها ، ومعه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المذكور معارض بإطلاق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بنحو العموم من وجه ، والإطلاق الثانى إن لم‌يكن مقدّماً باعتبار كونه قرآنياً فلا أقلّ من التساقط والرجوع الى أصالة عدم التذكية ، وبالتالى يكون ذكر اللّه سبحانه واجباً ، وينحصر المدرك آنذاك لنفى الاعتبار بالتسالم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يقبل التذكية واثرها</w:t>
      </w:r>
    </w:p>
    <w:p>
      <w:pPr>
        <w:pStyle w:val="BookText"/>
        <w:rPr/>
      </w:pPr>
      <w:r>
        <w:rPr>
          <w:rFonts w:ascii="Amiri" w:hAnsi="Amiri" w:eastAsia="Amiri" w:cs="Amiri"/>
          <w:color w:val="111111"/>
          <w:sz w:val="28"/>
          <w:sz w:val="28"/>
          <w:szCs w:val="28"/>
          <w:rtl w:val="true"/>
          <w:lang w:bidi="ar-SA"/>
        </w:rPr>
        <w:t>التذكية تتحقق بالذبح وبالاصطياد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محرَّم الأكل إلاّ نجس العين بل والحشرات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التذكية بأحد الطريقين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الحيوان أهلياً فتذكيته لا تكون إلاّ بالذبح ، وإذا كان وحشياً فتتحقق بالذبح وبالاصطياد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التذكية فى محلّل الأكل حلّية لحمه وطهارته وطهارة الجلد وجواز البيع بناءً علي عدم جواز بيع الميتة النجسة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وأثرها فى محرّم الأكل طهارة لحمه وجلده وحلية الانتفاع به فى ما تعتبر فيه الطهارة ، </w:t>
      </w:r>
    </w:p>
    <w:p>
      <w:pPr>
        <w:pStyle w:val="BookText"/>
        <w:rPr/>
      </w:pPr>
      <w:r>
        <w:rPr>
          <w:rFonts w:ascii="Amiri" w:hAnsi="Amiri" w:eastAsia="Amiri" w:cs="Amiri"/>
          <w:color w:val="111111"/>
          <w:sz w:val="28"/>
          <w:sz w:val="28"/>
          <w:szCs w:val="28"/>
          <w:rtl w:val="true"/>
          <w:lang w:bidi="ar-SA"/>
        </w:rPr>
        <w:t>كجعل الجلد وعاءً للدهن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للحيوان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لم‌يكن له ذلك ، فإن كان محلّل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تذكيته حلّية اللحم ، وإن كان محرّم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كل حيوان يقبل التذكية ، فهو محل للخلاف بين الأعلام ، فقيل بأنّ الأصل الأولى فى كل حيوان عدم قبوله للتذكية إلاّ ما خرج بالدليل ، باعتبار أنّ التذكية ليست مجرد فرى الأوداج مع سائر الشرائط ، بل هى المجموع المذكور مع ضميمة اُخري ، وهى قابلية المحل للتذكية ، فإذا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المسوخ والحشرات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عدم التذكية هو عدم تحققها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الأولى يقتضى قبول كل حيوان للتذكية إلاّ ما خرج بالدليل ، كنجس العين؛ لأنّ القابلية حتى لو سلمنا باعتبارها فبالإمكان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بعض الروايات وجود القابلية المذكورة فى كل حيوان وقبوله للتذكية ، كصحيحة على بن يقطين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لباس الفراء والسمور والفنك والثعالب وجميع الجلود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 فإنّ نفى البأس عن جميع الجلود يدل بالاطلاق على جواز لبسها فى الصلاة ، وبالتالى على قبولها للتذكية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جلود السباع أينتفع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وسمّيت فانتفع بجلده ، وأما الميتة فلا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 بالنسبة الى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كالفأر وابن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انصراف العمومات المذكورة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أثر التذكية فى محلّل الأكل ما تقدم ، فباعتبار أنّ غير المذكى هو ميتة شرعاً ، وهى نجسة ومحرمة الأكل ، ولايجوز بيعها فإذا فرض تحقق التذكية ارتفعت الآثار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مثل السمك لا أثر لتذكيته إلاّ حلّية اللحم ، فباعتبار أنّ ميتته طاهرة فيجوز آنذاك استعمالها فى ما تعتبر فيه الطهارة ، بل ويجوز بيعها بناءً على جواز بيع الميتة الطاهرة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أثر لتذكية محرّم الأكل ممّا لا نفس له ، فلأنّه طاهر ومحرّم الأكل على كل حال</w:t>
      </w:r>
      <w:r>
        <w:rPr>
          <w:rFonts w:eastAsia="Amiri" w:cs="Amiri" w:ascii="Amiri" w:hAnsi="Amiri"/>
          <w:color w:val="111111"/>
          <w:sz w:val="28"/>
          <w:szCs w:val="28"/>
          <w:rtl w:val="true"/>
          <w:lang w:bidi="ar-SA"/>
        </w:rPr>
        <w:t xml:space="preserve">. </w:t>
      </w:r>
      <w:bookmarkStart w:id="162" w:name="pg19370_198166"/>
    </w:p>
    <w:p>
      <w:pPr>
        <w:pStyle w:val="Heading2"/>
        <w:numPr>
          <w:ilvl w:val="1"/>
          <w:numId w:val="1"/>
        </w:numPr>
        <w:rPr/>
      </w:pPr>
      <w:bookmarkStart w:id="163" w:name="__RefHeading___Toc17390949_1280447820"/>
      <w:bookmarkStart w:id="164" w:name="_Toc51"/>
      <w:bookmarkEnd w:id="162"/>
      <w:bookmarkEnd w:id="163"/>
      <w:r>
        <w:rPr>
          <w:rtl w:val="true"/>
        </w:rPr>
        <w:t>كتاب الأنفال والمشتركات</w:t>
      </w:r>
      <w:bookmarkEnd w:id="164"/>
    </w:p>
    <w:p>
      <w:pPr>
        <w:pStyle w:val="Heading3"/>
        <w:numPr>
          <w:ilvl w:val="2"/>
          <w:numId w:val="1"/>
        </w:numPr>
        <w:rPr/>
      </w:pPr>
      <w:bookmarkStart w:id="165" w:name="__RefHeading___Toc17390951_1280447820"/>
      <w:bookmarkStart w:id="166" w:name="_Toc52"/>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ملكية الامام علیه السلام أو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انحاء الملكية ووسائل تحصيلها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احكام المشتركات</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9370_198168"/>
      <w:bookmarkStart w:id="168" w:name="pg19370_198168"/>
      <w:bookmarkEnd w:id="168"/>
    </w:p>
    <w:p>
      <w:pPr>
        <w:pStyle w:val="Heading3"/>
        <w:numPr>
          <w:ilvl w:val="2"/>
          <w:numId w:val="1"/>
        </w:numPr>
        <w:rPr/>
      </w:pPr>
      <w:bookmarkStart w:id="169" w:name="pg19370_198168"/>
      <w:bookmarkStart w:id="170" w:name="__RefHeading___Toc17390953_1280447820"/>
      <w:bookmarkStart w:id="171" w:name="_Toc53"/>
      <w:bookmarkEnd w:id="169"/>
      <w:bookmarkEnd w:id="170"/>
      <w:r>
        <w:rPr>
          <w:rtl w:val="true"/>
        </w:rPr>
        <w:t xml:space="preserve">الأنفال </w:t>
      </w:r>
      <w:r>
        <w:rPr>
          <w:rtl w:val="true"/>
        </w:rPr>
        <w:t>(</w:t>
      </w:r>
      <w:r>
        <w:rPr>
          <w:rtl w:val="true"/>
        </w:rPr>
        <w:t>ملكية الإمام علیه السلام أو الدولة</w:t>
      </w:r>
      <w:r>
        <w:rPr>
          <w:rtl w:val="true"/>
        </w:rPr>
        <w:t>)</w:t>
      </w:r>
      <w:bookmarkEnd w:id="171"/>
    </w:p>
    <w:p>
      <w:pPr>
        <w:pStyle w:val="BookText"/>
        <w:rPr/>
      </w:pPr>
      <w:r>
        <w:rPr>
          <w:rFonts w:ascii="IRNazanin" w:hAnsi="IRNazanin" w:eastAsia="IRNazanin"/>
          <w:color w:val="111111"/>
          <w:sz w:val="28"/>
          <w:sz w:val="28"/>
          <w:szCs w:val="28"/>
          <w:rtl w:val="true"/>
          <w:lang w:bidi="fa-IR"/>
        </w:rPr>
        <w:t xml:space="preserve">للأنفال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هى ملك النبى صلی اللّه علیه و آله والامام علیه السلام من بعده أو ملك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متعددة ، اختلف الفقهاء فى ضبطها ، فذكر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الميتة </w:t>
      </w:r>
      <w:r>
        <w:rPr>
          <w:rStyle w:val="FootnoteAnchor"/>
          <w:rtl w:val="true"/>
        </w:rPr>
        <w:footnoteReference w:id="329"/>
      </w:r>
      <w:r>
        <w:rPr>
          <w:rFonts w:ascii="IRNazanin" w:hAnsi="IRNazanin" w:eastAsia="IRNazanin"/>
          <w:color w:val="111111"/>
          <w:sz w:val="28"/>
          <w:sz w:val="28"/>
          <w:szCs w:val="28"/>
          <w:rtl w:val="true"/>
          <w:lang w:bidi="fa-IR"/>
        </w:rPr>
        <w:t>التى لا ربّ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التى يأخذها المسلمون من الكفار بغير 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المعادن إما مطلقاً أو على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w:t>
      </w:r>
      <w:r>
        <w:rPr>
          <w:rStyle w:val="FootnoteAnchor"/>
          <w:rtl w:val="true"/>
        </w:rPr>
        <w:footnoteReference w:id="330"/>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بطون الأودية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رؤوس الجبال والآجام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قطائع الملوك وصفاياهم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وصفاياهم هى الاموال المنقولة النفيسة للملوك غير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غنيمة الحرب الواقعة من دون إذن الإمام علیه السلام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الأنفال للنبى والإمام علیه السلام من بعده ، فهو من ضروريات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الكتاب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 xml:space="preserve">... ) </w:t>
      </w:r>
      <w:r>
        <w:rPr>
          <w:rStyle w:val="FootnoteAnchor"/>
          <w:rtl w:val="true"/>
        </w:rPr>
        <w:footnoteReference w:id="333"/>
      </w:r>
      <w:r>
        <w:rPr>
          <w:rFonts w:ascii="IRNazanin" w:hAnsi="IRNazanin" w:eastAsia="IRNazanin"/>
          <w:color w:val="111111"/>
          <w:sz w:val="28"/>
          <w:sz w:val="28"/>
          <w:szCs w:val="28"/>
          <w:rtl w:val="true"/>
          <w:lang w:bidi="fa-IR"/>
        </w:rPr>
        <w:t>، بعد الالتفات الى أنّ كل ما كان للنبى صلی اللّه علیه و آله فهو للإمام علیه السلام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الأنفال</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والاموال الخاصة بالنبى صلی اللّه علیه و آله وبالامام علیه السلام حيث إنّها زيادة على ما لهما من سهم الخمس فهى 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الأموال المملوكة للنبى صلی اللّه علیه و آله وللإمام علیه السلام من بعده زيادة على ما لهما من سهم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تداول فى كلمات الفقهاء الحكم على الأنفال بكونها ملك النبى صلی اللّه علیه و آله والإمام علیه السلام ، وقد يستظهر من ذلك كونها ملكاً شخصياً لهما ، وربما يستدل له بظهور كلمة الرسول والامام فى ملك الشخص ، إلاّ أن فى مقابل ذلك قولاً بكونها ملك المنصب والدولة بدليل عدم انتقالها بالارث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هذا القول يكون البحث عن الأنفال ضرورياً ، لأنّه بحث عن‌ممتلكات الدولة التى تستعين بها فى ادارة شؤونها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الأنفال هو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سورة الأنفال جَدْعُ الأنف</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الأرض الميتة هى للامام علیه السلام ، فهو ممّا لا خلاف فيه سواء لم‌يجر عليها ملك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الصحارى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جري ، ولكنه لم‌يبق له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دلّت على ذلك مرسلة حماد بن عيسى عن بعض أصحابنا عن العبد الصالح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أرض ميتة لا ربّ لها </w:t>
      </w:r>
      <w:r>
        <w:rPr>
          <w:rFonts w:eastAsia="IRNazanin" w:cs="IRNazanin"/>
          <w:color w:val="111111"/>
          <w:sz w:val="28"/>
          <w:szCs w:val="28"/>
          <w:rtl w:val="true"/>
          <w:lang w:bidi="fa-IR"/>
        </w:rPr>
        <w:t xml:space="preserve">... » </w:t>
      </w:r>
      <w:r>
        <w:rPr>
          <w:rStyle w:val="FootnoteAnchor"/>
          <w:rtl w:val="true"/>
        </w:rPr>
        <w:footnoteReference w:id="337"/>
      </w:r>
      <w:r>
        <w:rPr>
          <w:rFonts w:ascii="IRNazanin" w:hAnsi="IRNazanin" w:eastAsia="IRNazanin"/>
          <w:color w:val="111111"/>
          <w:sz w:val="28"/>
          <w:sz w:val="28"/>
          <w:szCs w:val="28"/>
          <w:rtl w:val="true"/>
          <w:lang w:bidi="fa-IR"/>
        </w:rPr>
        <w:t xml:space="preserve">، والروايات المعبِّرة بالأرض الخربة ، كصحيحة حفص بن البخترى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ما لم‌يوجف عليه بخيل ولا ركاب أو قوم صالحوا أو قوم أعطوا بأيديهم وكل أرض خربة وبطون الأودية فهو لرسول‌اللّه علیه السلام وهو للإمام من بعده يضعه حيث يشاء </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الفقهاء من الأرض الخربة الأرض الميتة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والمعروف فى كلمات الفقهاء تقييد الأرض بالميتة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يقال بكون المدار على عدم وجود مالك للأرض حتى لو كانت عامرة ، كالغابات والجزر المشتملة على الأشجار والفواكة ، لموثقة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الأنفال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القرى التى قد خربت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أرض لا ربّ لها </w:t>
      </w:r>
      <w:r>
        <w:rPr>
          <w:rFonts w:eastAsia="IRNazanin" w:cs="IRNazanin"/>
          <w:color w:val="111111"/>
          <w:sz w:val="28"/>
          <w:szCs w:val="28"/>
          <w:rtl w:val="true"/>
          <w:lang w:bidi="fa-IR"/>
        </w:rPr>
        <w:t xml:space="preserve">... ».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ومرسلة حماد المتقدمة وإن ورد فيها التقييد بالميتة إلاّ أنّه لا مفهوم له لوروده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قطعنا النظر عن السند وإلاّ فلا تعود صالحة للمعارضة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هذا يتضح أنّ الأرض اذا لم يكن لها مالك فهى للإمام علیه السلام أو للدولة سواء كانت ميتة أو عامرة ، وإذا كان لها مالك فليست كذلك سواء كانت ميتة أو عامرة ، فإنّ الأرض ما دام لها مالك فمجرد موتها وخرابها لايستوجب خروجها عن ملكه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النصوص وإن كانت مطلقة وتعدُّ كل أرض خربة جزءاً من الأنفال من دون تقييد بعدم وجود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صحيحة حفص بن البخترى المتقدمة و </w:t>
      </w:r>
    </w:p>
    <w:p>
      <w:pPr>
        <w:pStyle w:val="BookText"/>
        <w:rPr/>
      </w:pPr>
      <w:r>
        <w:rPr>
          <w:rFonts w:ascii="IRNazanin" w:hAnsi="IRNazanin" w:eastAsia="IRNazanin"/>
          <w:color w:val="111111"/>
          <w:sz w:val="28"/>
          <w:sz w:val="28"/>
          <w:szCs w:val="28"/>
          <w:rtl w:val="true"/>
          <w:lang w:bidi="fa-IR"/>
        </w:rPr>
        <w:t xml:space="preserve">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بقرينة الروايات الاُخرى وتسالم الفقهاء لابدَّ من تقييدها بذلك ، فلاحظ موثقة اسحاق بن عمار المتقدمة ، حيث ورد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الأنفال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القرى التى قد خربت وانجلى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أرض لا ربّ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فلو كان الخراب وحده كافياً لصيرورة الشيء من الأنفال ، فلا داعى الى التقييد بالانجلاء أو عدم وجود رب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 هناك كلام فى الأرض المملوكة بالإحياء</w:t>
      </w:r>
      <w:r>
        <w:rPr>
          <w:rStyle w:val="FootnoteAnchor"/>
          <w:rtl w:val="true"/>
        </w:rPr>
        <w:footnoteReference w:id="341"/>
      </w:r>
      <w:r>
        <w:rPr>
          <w:rFonts w:ascii="Amiri" w:hAnsi="Amiri" w:eastAsia="Amiri" w:cs="Amiri"/>
          <w:color w:val="111111"/>
          <w:sz w:val="28"/>
          <w:sz w:val="28"/>
          <w:szCs w:val="28"/>
          <w:rtl w:val="true"/>
          <w:lang w:bidi="ar-SA"/>
        </w:rPr>
        <w:t>هل تزول ملكية المحيى لها بطروّ الخراب عليها أو لا؟ وقد دلّت صحيحة الكابلى الآتية إن شاء اللّه تعالى وغيرها على زوالها ، إلاّ أن ذلك خاص بما إذا كان سبب الملك هو الإحياء دون ما لو كان مثل الارث والشراء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الأرض التى يأخذها المسلمون من الكفار بغير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بانجلاء أهلها عنها أو بتمكينهم المسلمين منها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فى كونها من الأنفال ،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والفيء لغة بمعنى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فى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التى يتم الحصول عليها بدون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والايجاف هو السير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والركاب هى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أرجعه اللّه على رسوله من أموال بنيالنضير وخصّه به هو لم‏تسيروا عليه بفرس ولا إبل حتي يكون لكم فيه حق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ولصحيحة حفص بن البخترى المتقدمة ، وصحيحة معاوية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السرية يبعثها الإمام فيصيبون غنائم كيف تقسم؟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قاتلوا</w:t>
      </w:r>
    </w:p>
    <w:p>
      <w:pPr>
        <w:pStyle w:val="BookText"/>
        <w:rPr/>
      </w:pPr>
      <w:r>
        <w:rPr>
          <w:rFonts w:ascii="Amiri" w:hAnsi="Amiri" w:eastAsia="Amiri" w:cs="Amiri"/>
          <w:color w:val="111111"/>
          <w:sz w:val="28"/>
          <w:sz w:val="28"/>
          <w:szCs w:val="28"/>
          <w:rtl w:val="true"/>
          <w:lang w:bidi="ar-SA"/>
        </w:rPr>
        <w:t>عليها مع أمير أمّره الإمام عليهم اُخرج منها الخمس لله وللرسول وقسّم بينهم أربعة أخماس</w:t>
      </w:r>
      <w:r>
        <w:rPr>
          <w:rStyle w:val="FootnoteAnchor"/>
          <w:rtl w:val="true"/>
        </w:rPr>
        <w:footnoteReference w:id="343"/>
      </w:r>
      <w:r>
        <w:rPr>
          <w:rFonts w:ascii="Amiri" w:hAnsi="Amiri" w:eastAsia="Amiri" w:cs="Amiri"/>
          <w:color w:val="111111"/>
          <w:sz w:val="28"/>
          <w:sz w:val="28"/>
          <w:szCs w:val="28"/>
          <w:rtl w:val="true"/>
          <w:lang w:bidi="ar-SA"/>
        </w:rPr>
        <w:t xml:space="preserve">، وإن لم يكن قاتلوا عليها المشركين كان كلّ ما غنموا للإمام يجعله حيث أحبَّ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وينبغى تعميم الأرض المذكورة للمحياة أيضاً ، إذ الميتة هى للإمام علیه السلام بقطع النظر عن الاستيلاء عليها من دون قتال ، وحفظاً للمقابلة بين هذا القسم وسابقه لابدَّ من التعميم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وقع الخلاف فى اختصاص القسم المذكور بالأرض وعمومه لكلّ ما يغنمه المسلمون من الكفار بغير قتال ، ولعل المشهور هو الاول ، حيث قيّدوا القسم المذكور بالأرض ، إلاّ أنّ المستفاد من الصحيحتين السابقتين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المعادن ، فقد اختار جمع من الأعلام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الكلينى والمفيد والطوسى و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من الأنفال بما فى ذلك الموجودة فى الملك الشخصى للأفراد ، غايته قد أباحها الأئمة علیهم السلام لكلّ من أخرجها بعد أداء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لذلك موثقة اسحاق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الأنفال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القري التى خربت وانجلى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أرض لا ربَّ لها ، والمعادن منها </w:t>
      </w:r>
      <w:r>
        <w:rPr>
          <w:rFonts w:eastAsia="IRNazanin" w:cs="IRNazanin"/>
          <w:color w:val="111111"/>
          <w:sz w:val="28"/>
          <w:szCs w:val="28"/>
          <w:rtl w:val="true"/>
          <w:lang w:bidi="fa-IR"/>
        </w:rPr>
        <w:t xml:space="preserve">... » </w:t>
      </w:r>
      <w:r>
        <w:rPr>
          <w:rStyle w:val="FootnoteAnchor"/>
          <w:rtl w:val="true"/>
        </w:rPr>
        <w:footnoteReference w:id="34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 هذا القول قولان آخران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المباحات العامة والناس فيها شرع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 ذلك بالأصل والسيرة ، بل وبدلالة أخبار وجوب الخمس فيها ، </w:t>
      </w:r>
    </w:p>
    <w:p>
      <w:pPr>
        <w:pStyle w:val="BookText"/>
        <w:rPr/>
      </w:pPr>
      <w:r>
        <w:rPr>
          <w:rFonts w:ascii="IRNazanin" w:hAnsi="IRNazanin" w:eastAsia="IRNazanin"/>
          <w:color w:val="111111"/>
          <w:sz w:val="28"/>
          <w:sz w:val="28"/>
          <w:szCs w:val="28"/>
          <w:rtl w:val="true"/>
          <w:lang w:bidi="fa-IR"/>
        </w:rPr>
        <w:t>ضرورة أنّه لا معنى لوجوب الخمس على غير الإمام علیه السلام ما دامت هى ملكاً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أنّ ظاهرها كون الباقى بعد الخمس هو للمخرج باصل الشرع لا بتمليك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المعادن المستخرجة من أرض الأنفال وبين المستخرجة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هى من الأنفال بخلاف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 على التفصيل المذكور أنّ بعض النسخ فى موثقة اسحاق المتقدمة قد اشتملت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والمعادن فى الأرض التى لا ربّ لها ، بل إنّ من الوجيه كون ذلك هو المقصود حتى بناءً على كون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لايرجع الى الأنفال ، بل الى ما ماذكرناه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البحث المذكور علمى بحت ولا أثر عملى له؛ لأن التخميس واجب علي كلّ حال ، وإنّما الكلام فى الأربعة أخماس الباقية هل هى ملك للمخرج بتحليل من اللّه ابتداءً ، أو بتمليك من الامام علیه السلام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أسياف البحار فقد اُشير الى كونها من الأنفال فى الشرائع</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ولايوجد نص شرعى يدلّ على كونها كذلك ، إلاّ أنّه لا حاجة اليه بعد كونها من قبيل الأرض التى لا ربَّ لها التى تقدم كونها 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بطون الأودية ، فقد اُشير اليها فى صحيحة حفص المتقدمة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رؤوس الجبال والآجام ، فقد ادّعى عدم الخلاف فى كونهما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ذكرهما فى أخبار ضعيفة السند ، كمرسلة حمّاد 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رؤوس </w:t>
      </w:r>
    </w:p>
    <w:p>
      <w:pPr>
        <w:pStyle w:val="BookText"/>
        <w:rPr/>
      </w:pPr>
      <w:r>
        <w:rPr>
          <w:rFonts w:ascii="Amiri" w:hAnsi="Amiri" w:eastAsia="Amiri" w:cs="Amiri"/>
          <w:color w:val="111111"/>
          <w:sz w:val="28"/>
          <w:sz w:val="28"/>
          <w:szCs w:val="28"/>
          <w:rtl w:val="true"/>
          <w:lang w:bidi="ar-SA"/>
        </w:rPr>
        <w:t xml:space="preserve">الجبال وبطون الأودية والآجام </w:t>
      </w:r>
      <w:r>
        <w:rPr>
          <w:rFonts w:eastAsia="Amiri" w:cs="Amiri" w:ascii="Amiri" w:hAnsi="Amiri"/>
          <w:color w:val="111111"/>
          <w:sz w:val="28"/>
          <w:szCs w:val="28"/>
          <w:rtl w:val="true"/>
          <w:lang w:bidi="ar-SA"/>
        </w:rPr>
        <w:t xml:space="preserve">... » </w:t>
      </w:r>
      <w:r>
        <w:rPr>
          <w:rStyle w:val="FootnoteAnchor"/>
          <w:rtl w:val="true"/>
        </w:rPr>
        <w:footnoteReference w:id="34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بعدِّهما من الأنفال يبتنى إما على تمامية كبرى الانجبار</w:t>
      </w:r>
      <w:r>
        <w:rPr>
          <w:rStyle w:val="FootnoteAnchor"/>
          <w:rtl w:val="true"/>
        </w:rPr>
        <w:footnoteReference w:id="349"/>
      </w:r>
      <w:r>
        <w:rPr>
          <w:rFonts w:ascii="Amiri" w:hAnsi="Amiri" w:eastAsia="Amiri" w:cs="Amiri"/>
          <w:color w:val="111111"/>
          <w:sz w:val="28"/>
          <w:sz w:val="28"/>
          <w:szCs w:val="28"/>
          <w:rtl w:val="true"/>
          <w:lang w:bidi="ar-SA"/>
        </w:rPr>
        <w:t>، أو على ضمّ عدم القول بالفصل ، بتقريب أنّ مستند عدِّ بطون الأودية من جملة الأنفال حيث إنّه صحيح السند ، فيلزم من ذلك عدُّ رؤوس الجبال والآجام من جملة الأنفال أيضاً ، لعدم القول بالفصل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قبلنا أحد المبنيين المذكورين وإلاّ فينحصر الوجه فى عدِّهما من جملة الأنفال بكونهما مصداقين للأرض التى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الحكم بعدِّهما من الأنفال يعمُّ حالة مّا إذا كانا جزءاً من ملك الغير؟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المبنيين المتقدمين يلزم الحكم بالعموم بخلافه بناءً على المبني الأخير فإنّه لايحكم بالعموم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قطائع الملوك وصفاياهم هى من الأنفال ، فهو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صحيحة داود بن فرقد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قطايع الملوك كلّها للإمام وليس للناس فيها شيء </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الأنفال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يكون للملوك فهو خالص للإمام وليس للناس فيها سهم </w:t>
      </w:r>
      <w:r>
        <w:rPr>
          <w:rFonts w:eastAsia="Amiri" w:cs="Amiri" w:ascii="Amiri" w:hAnsi="Amiri"/>
          <w:color w:val="111111"/>
          <w:sz w:val="28"/>
          <w:szCs w:val="28"/>
          <w:rtl w:val="true"/>
          <w:lang w:bidi="ar-SA"/>
        </w:rPr>
        <w:t xml:space="preserve">... » </w:t>
      </w:r>
      <w:r>
        <w:rPr>
          <w:rStyle w:val="FootnoteAnchor"/>
          <w:rtl w:val="true"/>
        </w:rPr>
        <w:footnoteReference w:id="35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غنيمة الحرب الواقعة من دون إذن الإمام علیه السلام هى له بأجمعها ، فقد ادّعى فى الجواهر أنه المشهور بين الأصحاب</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 xml:space="preserve">: </w:t>
      </w:r>
      <w:bookmarkStart w:id="172" w:name="pg19370_198175"/>
    </w:p>
    <w:p>
      <w:pPr>
        <w:pStyle w:val="BookText"/>
        <w:rPr/>
      </w:pPr>
      <w:bookmarkEnd w:id="172"/>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الوراق عن رجل سماه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غزا قوم بغير إذن الإمام فغنموا كانت الغنيمة كلّها للإمام ، وإذا غزوا بأمر الإمام فغنموا كان للإمام الخمس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وضعفها السندى لايضرّ ، بناءً على تمامية كبرى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المتقدمة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القيد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بالمفهوم على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ميراث من لا وارث له هو من الأنفال ، فقد ادّعى عليه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وليس له وارث من قرابته فماله من الأنفال </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390955_1280447820"/>
      <w:bookmarkStart w:id="174" w:name="_Toc54"/>
      <w:bookmarkEnd w:id="173"/>
      <w:r>
        <w:rPr>
          <w:rtl w:val="true"/>
        </w:rPr>
        <w:t>أنحاء الملكية ووسائل تحصيلها</w:t>
      </w:r>
      <w:bookmarkEnd w:id="174"/>
    </w:p>
    <w:p>
      <w:pPr>
        <w:pStyle w:val="BookText"/>
        <w:rPr/>
      </w:pPr>
      <w:r>
        <w:rPr>
          <w:rFonts w:ascii="Amiri" w:hAnsi="Amiri" w:eastAsia="Amiri" w:cs="Amiri"/>
          <w:color w:val="111111"/>
          <w:sz w:val="28"/>
          <w:sz w:val="28"/>
          <w:szCs w:val="28"/>
          <w:rtl w:val="true"/>
          <w:lang w:bidi="ar-SA"/>
        </w:rPr>
        <w:t xml:space="preserve">لملكية الثروة الطبيعية </w:t>
      </w:r>
      <w:r>
        <w:rPr>
          <w:rStyle w:val="FootnoteAnchor"/>
          <w:rtl w:val="true"/>
        </w:rPr>
        <w:footnoteReference w:id="355"/>
      </w:r>
      <w:r>
        <w:rPr>
          <w:rFonts w:ascii="Amiri" w:hAnsi="Amiri" w:eastAsia="Amiri" w:cs="Amiri"/>
          <w:color w:val="111111"/>
          <w:sz w:val="28"/>
          <w:sz w:val="28"/>
          <w:szCs w:val="28"/>
          <w:rtl w:val="true"/>
          <w:lang w:bidi="ar-SA"/>
        </w:rPr>
        <w:t xml:space="preserve">ثلاثة انحاء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ملكية جميع المسلمين بالنسبة الى الأرض الخراجية ، أى الأرض المفتوحة بإذن الإمام علیه السلام عنوة </w:t>
      </w:r>
      <w:r>
        <w:rPr>
          <w:rStyle w:val="FootnoteAnchor"/>
          <w:rtl w:val="true"/>
        </w:rPr>
        <w:footnoteReference w:id="356"/>
      </w:r>
      <w:r>
        <w:rPr>
          <w:rFonts w:ascii="Amiri" w:hAnsi="Amiri" w:eastAsia="Amiri" w:cs="Amiri"/>
          <w:color w:val="111111"/>
          <w:sz w:val="28"/>
          <w:sz w:val="28"/>
          <w:szCs w:val="28"/>
          <w:rtl w:val="true"/>
          <w:lang w:bidi="ar-SA"/>
        </w:rPr>
        <w:t>المحياة حالة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ملكية الإمام علیه السلام أو الدولة بالنسبة الى الأنفال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الشأنية بالنسبة الى المباحات العامة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كان من النحو الأول فأمره بيد ولى الأمر ، فله دفع الأرض الخراجية الى من شاء </w:t>
      </w:r>
    </w:p>
    <w:p>
      <w:pPr>
        <w:pStyle w:val="BookText"/>
        <w:rPr/>
      </w:pPr>
      <w:r>
        <w:rPr>
          <w:rFonts w:ascii="IRNazanin" w:hAnsi="IRNazanin" w:eastAsia="IRNazanin"/>
          <w:color w:val="111111"/>
          <w:sz w:val="28"/>
          <w:sz w:val="28"/>
          <w:szCs w:val="28"/>
          <w:rtl w:val="true"/>
          <w:lang w:bidi="fa-IR"/>
        </w:rPr>
        <w:t>مقابل الخراج</w:t>
      </w:r>
      <w:r>
        <w:rPr>
          <w:rStyle w:val="FootnoteAnchor"/>
          <w:rtl w:val="true"/>
        </w:rPr>
        <w:footnoteReference w:id="357"/>
      </w:r>
      <w:r>
        <w:rPr>
          <w:rFonts w:ascii="Amiri" w:hAnsi="Amiri" w:eastAsia="Amiri" w:cs="Amiri"/>
          <w:color w:val="111111"/>
          <w:sz w:val="28"/>
          <w:sz w:val="28"/>
          <w:szCs w:val="28"/>
          <w:rtl w:val="true"/>
          <w:lang w:bidi="ar-SA"/>
        </w:rPr>
        <w:t>بما يراه صلاحاً ، ولايجوز بيعها ولا وقفها ولا هبتها ولا تملكها بنحو الملك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ويصرف ولى الأمر الخراج فى المصالح العامة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الثانى فتنتقل الأرض فيه بالإحياء الى المحيى ملكاً أو حقاً ، والمعدن باستخراجه الى المخرج ، والآجام بحيازتها الى الحائز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والطيور والأسماك 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الأرض المفتوحة عنوة هى لجميع المسلمين ، فقد تقدّمت الاشارة الي وجهه فى كتاب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تقييد الفتح بما إذا كان بإذن الإمام علیه السلام ، فلما تقدم من كون المفتوح بغير إذنه علیه السلام هو من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تقييد الفتح بكونه عنوة ، فلما تقدم من كون المفتوح بلا قتال هو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تقييد الأرض بما إذا كانت محياة حين الفتح ، فلأن الأرض الميتة هى من الأنفال على ما تقدم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الترديد فى ملكية الأنفال بين كونها للإمام علیه السلام أو للدولة ، فقد تقدمت الاشارة الى وجهه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تقدمت الاشارة سابقاً الى الوجه فى ملكية الإمام علیه السلام للأنفال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 الملكية فى النحو الثالث شأنية ، فلأنّ كلّ فرد من الناس له شأنية تملك المباحات العامة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يمكن إثبات الإباحة العامة للأشياء ما سوى الأرض الخراجية والأنفال؟ يمكن إثباته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الملكية لخصوص الإمام علیه السلام أو لجميع المسلمين هو الذى يحتاج الى دليل ، وأما كون الشيء ليس مملوكاً لأحد بل لكلّ شخص الحق فى تملكه بالحيازة فهو لايحتاج الى دليل ، بل هو مقتضى الأصل المستفاد من مثل قوله تعالي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لكم ما فى الأرض جميعاً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بسيرة المتشرعة ، فإنّها منعقدة على تملك الماء والطيور والأسماك والحيوانات والأعشاب وما شاكل ذلك بالحيازة ، ولا يحتمل نشوءِ مثل السيرة المذكورة عن تهاون وتسامح ، فإنّها منعقدة فى حق جميع المتشرعة ، وذلك يكشف عن وصولها يداً بيد من معدن العصمة والطهارة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يؤيد ذلك فى الجملة رواية محمد بن سنان عن أبيالحسن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ماء الوادي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شركاء فى الماء والنار والكلاء </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أمر الأرض الخراجية بيد ولى المسلمين ، فلأن ذلك مقتضى ملكيتها لجميع المسلين ، على أنّ صحيحة الحلبى السابقة واضحة فى 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انحصار التصرف الجائز فيها بدفعها مقابل الخراج ، فهو لازم ابقاء عينها </w:t>
      </w:r>
    </w:p>
    <w:p>
      <w:pPr>
        <w:pStyle w:val="BookText"/>
        <w:rPr/>
      </w:pPr>
      <w:r>
        <w:rPr>
          <w:rFonts w:ascii="Amiri" w:hAnsi="Amiri" w:eastAsia="Amiri" w:cs="Amiri"/>
          <w:color w:val="111111"/>
          <w:sz w:val="28"/>
          <w:sz w:val="28"/>
          <w:szCs w:val="28"/>
          <w:rtl w:val="true"/>
          <w:lang w:bidi="ar-SA"/>
        </w:rPr>
        <w:t>لجميع المسلمين مع التصرف فيها وفق 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لا بأس ببيع الحق الثابت فيها لفقدان المانع ووجود المقتضي ، بل قيل بجواز بيعها تبعاً للآثار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صرف ولى الأمر الخراج فى صالح المسلمين ، فلأن ذلك لازم ملكية جميع المسلمين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بأنّه لا معنى لملكية جميع المسلمين لها إلاّ استحقاقهم لصرف واردها فى مصالحهم ، ولايتصور معنى صحيح لملكية الجميع لها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الأرض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من مصاديق النحو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احياؤها وتنتقل الى المحيي ، فلم يعرف فيه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للمتشرعة على التصرف فى الأرض الموات واحيائها من دون احتمال نشوء ذلك عن التساهل والتسامح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الإذن من أصحاب تلك الأرض بذلك ، كما دلّت عليه صحيحة زرارة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أحيى أرضاً مواتاً فهى له </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 دلّت بعض النصوص الاُخرى على أنّ الإذن المذكور ليس بنحو المجانية بل مشروط بدفع الاُجرة إلاّ إذا كان المحيى من الشيعة ، فإنّه لايجب عليه ذلك ، فلاحظ صحيحة أبيخالد الكابلى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وجدنا فى كتاب على علیه السلام أنّ الأرض للّه يورثها من يشاء من عباده والعاقبة للمتقين ، أنا وأهل بيتى الذين أورثنا الأرض ونحن المتقون والأرض كلّها لنا ، فمن أحيى أرضاً من المسلمين فليعمرها وليؤدّ خراجها الى الإمام من أهل بيتى وله ما أكل منها ، فإن تركها وأخربها فأخذها رجل من المسلمين من بعده فعمرها وأحياها فهو أحق بها من الذى تركها فليؤدِّ </w:t>
      </w:r>
    </w:p>
    <w:p>
      <w:pPr>
        <w:pStyle w:val="BookText"/>
        <w:rPr/>
      </w:pPr>
      <w:r>
        <w:rPr>
          <w:rFonts w:ascii="IRNazanin" w:hAnsi="IRNazanin" w:eastAsia="IRNazanin"/>
          <w:color w:val="111111"/>
          <w:sz w:val="28"/>
          <w:sz w:val="28"/>
          <w:szCs w:val="28"/>
          <w:rtl w:val="true"/>
          <w:lang w:bidi="fa-IR"/>
        </w:rPr>
        <w:t xml:space="preserve">خراجها الى الإمام من أهل بيتى وله ما أكل منها حتى يظهر القائم علیه السلام من أهل بيتي بالسيف فيحييها ويمنعها ويخرجهم منها كما حواها رسول‌اللّه صلی اللّه علیه و آله ومنعها إلاّ ما كان فى أيدى شيعتنا فإنّه يقاطعهم على ما فى أيديهم ويترك الأرض في ت أيديهم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الترديد فى أمر الإحياءِ بين كونه مولّداً للملك أو للحق ، فهو باعتبار وجود احتمالين فى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انتقال ملكية الأرض من الإمام علیه السلام أو الدولة الي المحيى وصيرورتها ملكاً شخصياً له؛ ويحتمل بقاء ملكيتها السابقة على ما هي عليه ولايتولد للمحيى سوى أولويته من غيره فى التصرف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صار مشهور الفقهاء الى الاحتمال الاوّل ، تمسكاً بظهور اللام فى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أحيى أرضاً مواتاً فهى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إفادة الملكية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صار الشيخ الطوسى الى الاحتمال الثاني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الموات فإنّها لاتغنم وهى للإمام خاصة ، فإن أحياها أحد من المسلمين كان أولى بالتصرف فيها ويكون للإمام طسقها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وقد صار الى ذلك أيضاً الفقيه السيد محمد بحر العلوم قدس سره فى بلغته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ويمكن توجيه ذلك بأنّ فرض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لايتناسب مع انتقال العين الى المحيي ، بل يتناسب مع انتقال المنفعة فقط</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اللام ، فلا ظهور لها فى الملك ، فإنّها جارية مجرى قول الملاّك للفلاّحين </w:t>
      </w:r>
    </w:p>
    <w:p>
      <w:pPr>
        <w:pStyle w:val="BookText"/>
        <w:rPr/>
      </w:pPr>
      <w:r>
        <w:rPr>
          <w:rFonts w:ascii="Amiri" w:hAnsi="Amiri" w:eastAsia="Amiri" w:cs="Amiri"/>
          <w:color w:val="111111"/>
          <w:sz w:val="28"/>
          <w:sz w:val="28"/>
          <w:szCs w:val="28"/>
          <w:rtl w:val="true"/>
          <w:lang w:bidi="ar-SA"/>
        </w:rPr>
        <w:t xml:space="preserve">عند تحريضهم على 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عمرها وحفر أنهارها فهى له ، فإنّه ليس المقصود انتقال العين الى الفلاح بل أحقيته من غيره وتقدمه على 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المعادن ، فقد تقدم الخلاف فى كونها من الأنفال ، ولكن على تقدير جميع الأقوال الثلاثة فى المسألة ، يجوز استخراجها وتملكها بعد اخراج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السيرة القطعية بين المتشرعة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معادن الذهب والفضة والصفر والحديد والرصاص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الخمس جميعاً </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وغيرها ، فإنها تدل بوضوح على ملكية المخرج لما أخرجه من المعدن بعد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المعادن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المعدن الظاهر هو ما كان موجوداً على سطح الأرض ولا يحتاج الوصول اليه الى بذل مؤونة عمل ، كالملح والقير وما شاكل ذلك ، والباطن هو ما توقف استخراجه على الحفر والعمل ، كما فى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المعدن الظاهر هو المعدن الذى لايحتاج فى ابراز طبيعته وخصائصه المعدنية الى بذل جهود من دون فرق بين كونه على سطح الأرض أو فى أعماقها ، بخلاف الباطن فانه ما احتاج الى ذلك حتى ولو لم يوجد فى أعماق الأرض ، كما هو الحال فى الحديد والذهب والفضة ونحوها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كثير من الفقهاء عن المعادن الظاهرة بأنّها تملك بمقدار ما يحوزه الشخص منها ، حتى لو كان ذلك المقدار زائداً عن حاجته ؛ وعن المعادن الباطنة بأنّها تملك للمنقِّب فيما إذا وصل الى المعدن نفسه ، وأما إذا حفر ولم‌يصل اليه كان ذلك تحجيراً يفيد الأحقية والأولوية دون الملكية</w:t>
      </w:r>
      <w:r>
        <w:rPr>
          <w:rFonts w:eastAsia="Amiri" w:cs="Amiri" w:ascii="Amiri" w:hAnsi="Amiri"/>
          <w:color w:val="111111"/>
          <w:sz w:val="28"/>
          <w:szCs w:val="28"/>
          <w:rtl w:val="true"/>
          <w:lang w:bidi="ar-SA"/>
        </w:rPr>
        <w:t xml:space="preserve">. </w:t>
      </w:r>
      <w:bookmarkStart w:id="175" w:name="pg19370_198181"/>
    </w:p>
    <w:p>
      <w:pPr>
        <w:pStyle w:val="BookText"/>
        <w:rPr/>
      </w:pPr>
      <w:bookmarkEnd w:id="17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حيازة الآجام بل والغابات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ملكية الإمام علیه السلام أو الدولة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فينبغى أن لايقع مورداً للتأمل ، لانعقاد السيرة القطعية على الحيازة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تحقق الانتقال فى النحو الثالث بالحيازة ، فهو ممّا لا إشكال فيه ، للسيرة القطعية المنعقدة على ذلك ، فمن اصطاد الأسماك أو الطيور أو أى ثروة طبيعية اُخرى ملكها ، ومن قام بالحفر ووصل الى عين ماء كان مجرد ذلك كافياً في تحقق حيازته لها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7390957_1280447820"/>
      <w:bookmarkStart w:id="177" w:name="_Toc55"/>
      <w:bookmarkEnd w:id="176"/>
      <w:r>
        <w:rPr>
          <w:rtl w:val="true"/>
        </w:rPr>
        <w:t>من أحكام المشتركات</w:t>
      </w:r>
      <w:bookmarkEnd w:id="177"/>
    </w:p>
    <w:p>
      <w:pPr>
        <w:pStyle w:val="BookText"/>
        <w:rPr/>
      </w:pPr>
      <w:r>
        <w:rPr>
          <w:rFonts w:ascii="Amiri" w:hAnsi="Amiri" w:eastAsia="Amiri" w:cs="Amiri"/>
          <w:color w:val="111111"/>
          <w:sz w:val="28"/>
          <w:sz w:val="28"/>
          <w:szCs w:val="28"/>
          <w:rtl w:val="true"/>
          <w:lang w:bidi="ar-SA"/>
        </w:rPr>
        <w:t>من كان مالكاً لأرضٍ كان مالكاً لما تشتمل عليه من معدن أو كنز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مالكاً لأرضٍ كان مالكاً لعين الماء التى يتم كشفها فيها على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حاز لآخر تبرعاً أو وكالة عنه ، فالمال للحائز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ذلك بإجارة ، فقيل بكونه للمستأجر دون الحائز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سياج ونحوه للأرض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كالأحياء فى إفادة الملك ولكنه يفيد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وإن كان لهم حق الإحياء أو التحجير فى أراضى الموات إلاّ أنّ لوليّ المسلمين المنع منهما فيما إذا كان ذلك موجباً للإخلال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سبق الى مكان فى المسجد أو المشاهد المشرفة فهو أحقّ به ما دام شاغلاً له بما لايتنافى مع ذلك المكان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فارقه بنية العود وكان تاركاً لبعض رحله فيه فهو أحقّ به من غيره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ووضع الرحل قبل دخول وقت الصلاة بقصد الاستفادة من المحل عند دخوله لايولّد حقّاً لصاحب الرحل مع افتراض الفاصل الزمنى المعتد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تبعية ما فى أعماق الأرض من المعدن والكنز لها فى الملكية ، فباعتبار أنّه نماء لها ، ونماء المال يتبع أصله فى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ليس مصداقاً للنماء والثمرة ، بل مصداق للظرف والمظروف ، وواضح أنّ ملكية الظرف لاتلازم ملكية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عليه المشهور لا يتمّ إلاّ إذا انعقد إجماع تعبدى أو سيرة عقلائية عليه ، وإلاّ فتخريجه على طبق القاعدة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تبعية عين الماء لصاحب الأرض فى الملكية ، فقد يوجه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بفكرة النماء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كشف العين نحو حيازة لها ، والحيازة سبب للملكية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ذكر يتمّ لو فرض وجود نص شرعى يدل على ذلك ليتمسك بإطلاقه ، ولكنه مفقود ، والمستند لذلك ليس إلاّ السيرة العقلائية ، وهى لايمكن التمسك بها فى المقام ، لعدم الجزم بانعقاد مثلها فى عصر الائمة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حاز لآخر تبرعاً فالمال للحائز دون الآخر ، فلأن مدرك تحقق الملكية بالحيازة ليس إلاّ السيرة ، وهى تقتضى ملكية الحائز نفسه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قصد الحيازة عن الغير لايجعل الغير حائزاً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الأمر كذلك فيمن حاز عن الغير وكالة ، فللنكتة المتقدمة نفسها ، فإن الحيازة سبب لملكية الحائز نفسه دون غيره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افتراض تحقق عقد الوكالة فسوف يصدق على الموكل نفسه </w:t>
      </w:r>
    </w:p>
    <w:p>
      <w:pPr>
        <w:pStyle w:val="BookText"/>
        <w:rPr/>
      </w:pPr>
      <w:r>
        <w:rPr>
          <w:rFonts w:ascii="Amiri" w:hAnsi="Amiri" w:eastAsia="Amiri" w:cs="Amiri"/>
          <w:color w:val="111111"/>
          <w:sz w:val="28"/>
          <w:sz w:val="28"/>
          <w:szCs w:val="28"/>
          <w:rtl w:val="true"/>
          <w:lang w:bidi="ar-SA"/>
        </w:rPr>
        <w:t>عنوان الحائز؛ لأنّ فعل الوكيل ينتسب الى الموكل بسبب عقد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وجيه فى الاُمور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بالتوكيل فيها ينتسب فعل الوكيل الى الموكل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باع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وكيله باعها ، وأما الاُمور التكوينية الخارجة عن دائرة الاعتبار ، فلايتحقق الانتساب المذكور فيها ولا معنى للوكالة فيها ، فلا يصح أن يقال لمن وكَّل غيره في الأكل أو الشرب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أكل أو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الحيازة هى من الاُمور التكوينية دون الاعتبارية ، فلا تقبل الوكالة ولا تنتسب حيازة الوكيل الى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حيازة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محل ابتلاء فى زماننا حيث يستأجر الشخص أو الدولة عمّالاً للحفر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باقتضائها لملكية المستأجر ، لأحد الوجوه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للمستأجر بسبب عقد الإجارة ، وحيث إنّ المحاز يعدُّ ثمرة ونتيجة للحيازة ، فيلزم تملك المستأجر له ، فإنّ من يملك الأصل يملك 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البيضة تعدُّ عرفاً نماء للدجاجة ، فالمالك للدجاجة يكون مالكاً للبيضة ، وهذا بخلافه فى المعدن ، فإنه لايعدُّ عرفاً نماء للحيازة إلاّ بنحو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بعقد الإجارة يصدق عنوان الحائز حقيقة على المستأجر ، فالحيازة حيازته ، ولازم ذلك تملكه للمعدن باعتبار أنّه حائز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يترتب على عقد الإجارة صيرورة المستأجر مالكاً لحيازة الأجير لا أنّه حائز حقيقة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التنزل ، فيمكن القول أنّ دليل التملك بالحيازة حيث إنه السيرة التى هي </w:t>
      </w:r>
    </w:p>
    <w:p>
      <w:pPr>
        <w:pStyle w:val="BookText"/>
        <w:rPr/>
      </w:pPr>
      <w:r>
        <w:rPr>
          <w:rFonts w:ascii="Amiri" w:hAnsi="Amiri" w:eastAsia="Amiri" w:cs="Amiri"/>
          <w:color w:val="111111"/>
          <w:sz w:val="28"/>
          <w:sz w:val="28"/>
          <w:szCs w:val="28"/>
          <w:rtl w:val="true"/>
          <w:lang w:bidi="ar-SA"/>
        </w:rPr>
        <w:t>دليل لبّي ، فينبغى الاقتصار فيه على القدر المتيقن ، وهو ما لو تحققت الحيازة وتمّ صدقها حقيقة بتصدى الشخص نفسه دون أجيره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العقلائية فى زماننا قائمة على تملك المستأجر لما يحوزه الأجير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 التنقيب عن المعادن التى تتم على أيدى مجموعة من العمال من خلال تعاقد بعض الشركات معهم ، وهل يحتمل أحد أنّ المالك لتلك المعادن المستخرجة هم العمال دون الشركة؟</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الاستشهاد بمثال الشركة المذكور قابل للمناقشة ، فإنّ السيرة وإن كانت منعقدة فى زماننا على ما ذكر إلاّ أنّ ذلك غير نافع ما لم‌يثبت امتدادها الي عصر المعصوم علیه السلام ليكون سكوته وعدم ردعه عنها كاشفاً عن امضائها ، ومن الواضح أنّ الامتداد المذكور إن لم‌يجزم بعدمه ، فلا أقلّ من الشكّ فيه ، ومعه فلا يمكن الحكم بحجيتها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بالرغم من هذا يمكن التمسك بالسيرة ، بتقريب أنّه إذا قيل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الى تلك الشجرة واقتطف ثمارها مقابل كذا اُجرة أو بدونها ، حكم بكونها للمستأجر أو الموكل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أمر قريب فى السيرة العقلائية ، ومن البعيد جداً عدم امتداد مثل السيرة المذكورة الى عصر المعصوم علیه السلام ، وحيث إنّه لم‌يردع عنها ، فيثبت امضاؤها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التحجير ، فالمعروف بين الفقهاء كونه سبباً لتولد حق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ذلك بأحد الاُمور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انعقاد الاجماع على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الإجماع لو صحّ تحققه فهو ليس كاشفاً عن رأى المعصوم علیه السلام لاحتمال استناد المجمعين الى ما يأتى من الوجوه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 النبى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أحاط حائطاً على أرض فهى 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ضعيف السند ، إذ روى فى عوالى اللآلى عن سمرة بن جندب عن النبى صلی اللّه علیه و آله ، والسند الى سمرة غير معلوم ، وعلى تقدير العلم به فهو غير نافع ، لأن حال سمرة غير خافٍ على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عن‌النبى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الى مالايسبقه اليه المسلم فهو أحقّ به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ضعيف بالارسال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المنقول عن ابن نما شيخ المحقق الحلى من أنّ التحجير حيث إنّه يعدُّ شروعاً فى الإحياء فيكون مفيداً للملك كالإحياء لإطلاق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أحيي أرضاً مواتاً فهى له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ولعل هذا هو أوجه ما يمكن التمسك به فى المقام ، ولكنه بناءً عليه يكون التخيير مفيداً للملك دون حق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لولى الأمر المنع من الإحياء والتحجير تحفظاً على النظام ، فواضح لأنهما وان جازا بالعنوان الاولى إلاّ أن فسح المجال من هذه الناحية بدون تحديد قد يسبب الاخلال بالنظام فلوليّ الأمر المنع منهما بالعنوان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الشاغل للمكان المقدس أحقّ به من غيره ما دام شاغلاً له ، فهو من المسلّمات لقضاء السيرة بأحقّية السابق الى المكان المشترك من غيره ما دام شاغلاً له وإن طالت الفترة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التقييدبما إذا لم‌يكن اشغال المحل منافياً لذلك المكان المقدس فالوجه فيه </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فارق المكان الذى كان شاغلاً له مع ترك بعض رحله فيه ، فهو أحقّ به فقد ادّعى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بالحديث الوارد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قام‌الرجل من مجلسه ثم عاداليه ، فهو أحقّ به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لم‌يرد من طرقنا ، فلايمكن الاعتماد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برواية محمد بن اسماعيل عن بعض أصحابه عن أبيعبداللّه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بمكة أو بالمدينة أو الحيرة أو المواضع التى يرجى فيها الفضل فربما خرج الرجل يتوضّا فيجيء آخر فيصير مكانه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الى موضع فهو أحقّ به يومه وليلته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سنداً بالارسال ، ودلالةً باعتبار أنّ مضمونه مهجور لدي الأصحاب حيث يلتزمون بدوران الأحقية مدار شغل‌المحل وليس‌مداراليوم‌و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بموثقة طلحة بن زيد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المسلمين كمسجدهم ، فمن سبق الى مكان فهو احق به الى الليل </w:t>
      </w:r>
      <w:r>
        <w:rPr>
          <w:rFonts w:eastAsia="IRNazanin" w:cs="IRNazanin"/>
          <w:color w:val="111111"/>
          <w:sz w:val="28"/>
          <w:szCs w:val="28"/>
          <w:rtl w:val="true"/>
          <w:lang w:bidi="fa-IR"/>
        </w:rPr>
        <w:t xml:space="preserve">... ». </w:t>
      </w:r>
      <w:r>
        <w:rPr>
          <w:rStyle w:val="FootnoteAnchor"/>
          <w:rtl w:val="true"/>
        </w:rPr>
        <w:footnoteReference w:id="37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حيث السند وإن أمكن الحكم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مشكلة فيه إلاّ من حيث طلحة ، وهو وإن لم يوثق بالخصوص ولكن يكفى لاعتباره تعبير الشيخ عنه فى الفهرست أنّ له كتاباً معتمداً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دلالته قابلة للتأمل ، فإنّ تحديد الفترة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راجعاً الى السوق والمسجد معاً ، فيردّه ما تقدم من عدم التزام الأصحاب بتحديد الفترة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راجعاً الى السوق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فترة الحاجة الى السوق تتحدد بذلك ويبقى المسجد يدور الأمر فيه مدار الحاجة من دون تحديد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وإن كان وجيهاً ، ولكنه غير نافع؛ لأنّ لازمه زوال الحق بانتفاء الحاجة ومفارقة المحل سواء نوى العود ام لا ، وسواء أبقى شيء من الرحل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أنّ الاستناد الى الروايات لإثبات الحكم المذكور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التمسك بسيرة العقلاء ، فانها منعقدة فى الأماكن العامة المشتركة على عدم سقوط الحق بمفارقة المحل بعد ابقاء شيء من الرحل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السيرة المذكورة لم‌يردع عنها فتكون ممضاة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لابدَّ وأن تكون فترة المفارقة قصيرة ، فإنّ ذلك هو القدر المتيقن من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وضع الرحل فى المسجد ونحوه قبل دخول الوقت بقصد اشغاله بعد دخول الوقت لا يولّد حقاً لصاحبه ، فلعدم دلالة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قد يقال انّ عنوان السبق المذكور فى مرسل محمد بن اسماعيل وموثقة طلحة ، صادق بمجرد وضع الرحل فتثبت الأحقية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 تقدّمت المناقشة فى السند والدلالة معاً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الفاصل الزمنى طويلاً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قصيراً ، فقد يدّعى انعقاد سيرة العقلاء فى الأماكن العامة المشتركة على ثبوت الحق بذلك</w:t>
      </w:r>
      <w:r>
        <w:rPr>
          <w:rFonts w:eastAsia="Amiri" w:cs="Amiri" w:ascii="Amiri" w:hAnsi="Amiri"/>
          <w:color w:val="111111"/>
          <w:sz w:val="28"/>
          <w:szCs w:val="28"/>
          <w:rtl w:val="true"/>
          <w:lang w:bidi="ar-SA"/>
        </w:rPr>
        <w:t xml:space="preserve">. </w:t>
      </w:r>
      <w:bookmarkStart w:id="178" w:name="pg19370_198188"/>
    </w:p>
    <w:p>
      <w:pPr>
        <w:pStyle w:val="Heading2"/>
        <w:numPr>
          <w:ilvl w:val="1"/>
          <w:numId w:val="1"/>
        </w:numPr>
        <w:rPr/>
      </w:pPr>
      <w:bookmarkStart w:id="179" w:name="__RefHeading___Toc17390959_1280447820"/>
      <w:bookmarkStart w:id="180" w:name="_Toc56"/>
      <w:bookmarkEnd w:id="178"/>
      <w:bookmarkEnd w:id="179"/>
      <w:r>
        <w:rPr>
          <w:rtl w:val="true"/>
        </w:rPr>
        <w:t>كتاب الإرث</w:t>
      </w:r>
      <w:bookmarkEnd w:id="180"/>
    </w:p>
    <w:p>
      <w:pPr>
        <w:pStyle w:val="Heading3"/>
        <w:numPr>
          <w:ilvl w:val="2"/>
          <w:numId w:val="1"/>
        </w:numPr>
        <w:rPr/>
      </w:pPr>
      <w:bookmarkStart w:id="181" w:name="__RefHeading___Toc17390961_1280447820"/>
      <w:bookmarkStart w:id="182" w:name="_Toc5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ما يوجب الارث</w:t>
      </w:r>
    </w:p>
    <w:p>
      <w:pPr>
        <w:pStyle w:val="BookText"/>
        <w:rPr/>
      </w:pPr>
      <w:r>
        <w:rPr>
          <w:rFonts w:ascii="IRNazanin" w:hAnsi="IRNazanin" w:eastAsia="IRNazanin"/>
          <w:color w:val="111111"/>
          <w:sz w:val="28"/>
          <w:sz w:val="28"/>
          <w:szCs w:val="28"/>
          <w:rtl w:val="true"/>
          <w:lang w:bidi="fa-IR"/>
        </w:rPr>
        <w:t>فروض الارث</w:t>
      </w:r>
    </w:p>
    <w:p>
      <w:pPr>
        <w:pStyle w:val="BookText"/>
        <w:rPr/>
      </w:pPr>
      <w:r>
        <w:rPr>
          <w:rFonts w:ascii="Amiri" w:hAnsi="Amiri" w:eastAsia="Amiri" w:cs="Amiri"/>
          <w:color w:val="111111"/>
          <w:sz w:val="28"/>
          <w:sz w:val="28"/>
          <w:szCs w:val="28"/>
          <w:rtl w:val="true"/>
          <w:lang w:bidi="ar-SA"/>
        </w:rPr>
        <w:t>الارث بالفرض وبالقرابة</w:t>
      </w:r>
    </w:p>
    <w:p>
      <w:pPr>
        <w:pStyle w:val="BookText"/>
        <w:rPr/>
      </w:pPr>
      <w:r>
        <w:rPr>
          <w:rFonts w:ascii="IRNazanin" w:hAnsi="IRNazanin" w:eastAsia="IRNazanin"/>
          <w:color w:val="111111"/>
          <w:sz w:val="28"/>
          <w:sz w:val="28"/>
          <w:szCs w:val="28"/>
          <w:rtl w:val="true"/>
          <w:lang w:bidi="fa-IR"/>
        </w:rPr>
        <w:t>الحجب</w:t>
      </w:r>
    </w:p>
    <w:p>
      <w:pPr>
        <w:pStyle w:val="BookText"/>
        <w:rPr/>
      </w:pPr>
      <w:r>
        <w:rPr>
          <w:rFonts w:ascii="Amiri" w:hAnsi="Amiri" w:eastAsia="Amiri" w:cs="Amiri"/>
          <w:color w:val="111111"/>
          <w:sz w:val="28"/>
          <w:sz w:val="28"/>
          <w:szCs w:val="28"/>
          <w:rtl w:val="true"/>
          <w:lang w:bidi="ar-SA"/>
        </w:rPr>
        <w:t>العول والتعصيب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تفاصيل ارث الطبقات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9370_198190"/>
      <w:bookmarkStart w:id="184" w:name="pg19370_198190"/>
      <w:bookmarkEnd w:id="184"/>
    </w:p>
    <w:p>
      <w:pPr>
        <w:pStyle w:val="Heading3"/>
        <w:numPr>
          <w:ilvl w:val="2"/>
          <w:numId w:val="1"/>
        </w:numPr>
        <w:rPr/>
      </w:pPr>
      <w:bookmarkStart w:id="185" w:name="pg19370_198190"/>
      <w:bookmarkStart w:id="186" w:name="__RefHeading___Toc17390963_1280447820"/>
      <w:bookmarkStart w:id="187" w:name="_Toc58"/>
      <w:bookmarkEnd w:id="185"/>
      <w:bookmarkEnd w:id="186"/>
      <w:r>
        <w:rPr>
          <w:rtl w:val="true"/>
        </w:rPr>
        <w:t>ما يوجب الإرث</w:t>
      </w:r>
      <w:bookmarkEnd w:id="187"/>
    </w:p>
    <w:p>
      <w:pPr>
        <w:pStyle w:val="BookText"/>
        <w:rPr/>
      </w:pPr>
      <w:r>
        <w:rPr>
          <w:rFonts w:ascii="Amiri" w:hAnsi="Amiri" w:eastAsia="Amiri" w:cs="Amiri"/>
          <w:color w:val="111111"/>
          <w:sz w:val="28"/>
          <w:sz w:val="28"/>
          <w:szCs w:val="28"/>
          <w:rtl w:val="true"/>
          <w:lang w:bidi="ar-SA"/>
        </w:rPr>
        <w:t xml:space="preserve">يوجب الإرث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النسب ، فترث به ثلاث طوائف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 والاُم المباشريان ، والأولاد ذكوراً وإناثاً وإن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الأجداد والجدات وإن علوا كأب الجد وجده ، والإخوة والأخوات وأولادهم وإن 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الاعمام والعمات والاخوال والخالات وإن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 أو خال الأب أو الاُم أو الجد أو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وأولادهما وإن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طائفة من هذه لاترث مع وجود الطائفة السابقة عليها ولو واحداً إلاّ إذا فرض وجود أحد موانع الإرث الآتية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السبب ، فهو عبارة عن الزوجية والولاء</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والولاء على ثلاثة أنحاء 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 ثم ولاء ضامن الجريرة</w:t>
      </w:r>
      <w:r>
        <w:rPr>
          <w:rStyle w:val="FootnoteAnchor"/>
          <w:rtl w:val="true"/>
        </w:rPr>
        <w:footnoteReference w:id="375"/>
      </w:r>
      <w:r>
        <w:rPr>
          <w:rFonts w:ascii="Amiri" w:hAnsi="Amiri" w:eastAsia="Amiri" w:cs="Amiri"/>
          <w:color w:val="111111"/>
          <w:sz w:val="28"/>
          <w:sz w:val="28"/>
          <w:szCs w:val="28"/>
          <w:rtl w:val="true"/>
          <w:lang w:bidi="ar-SA"/>
        </w:rPr>
        <w:t>، ثم ولاء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تحقق المصداق للولاء السابق ، لاتصل النوبة الى الولاء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والإرث بالولاء لاتصل النوبة اليه إلاّ بعد فقدان جميع طوائف النسب ، بخلاف الإرث بالزوجية ، فإنّه يجتمع مع الإرث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الموجب للإرث هو النسب تارةً والسبب اُخرى وأن طوائف النسب ثلاث بخلاف السبب فإنّه على نحوين ، فيمكن عدّه من واضحات الفقه ولم‌يقع فيه خلاف وإن كان لايوجد نص يدل على ذلك بالترتيب المذكور ، ولكن ذلك غير مهم بعد تسالم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قد يستفاد ذلك من ضم النصوص بعضها الي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كل طائفة من طوائف النسب لاترث مع وجود سابقتها ، فهو وان كان متسالماً عليه إلاّ أنّه يمكن استفادته من بعض الروايات التى تأتى الإشارة اليها عند البحث عن تفاصيل إرث الطبقات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فى اجتماع الإرث بالزوجية مع جميع طبقات النسب فإنّه متسالم عليه وتأتى الاشارة الى بعض الروايات الدالة عليه عند البحث عن تفاصيل الإرث بالزوجية</w:t>
      </w:r>
      <w:r>
        <w:rPr>
          <w:rFonts w:eastAsia="Amiri" w:cs="Amiri" w:ascii="Amiri" w:hAnsi="Amiri"/>
          <w:color w:val="111111"/>
          <w:sz w:val="28"/>
          <w:szCs w:val="28"/>
          <w:rtl w:val="true"/>
          <w:lang w:bidi="ar-SA"/>
        </w:rPr>
        <w:t xml:space="preserve">. </w:t>
      </w:r>
      <w:bookmarkStart w:id="188" w:name="pg19370_198192"/>
    </w:p>
    <w:p>
      <w:pPr>
        <w:pStyle w:val="Heading3"/>
        <w:numPr>
          <w:ilvl w:val="2"/>
          <w:numId w:val="1"/>
        </w:numPr>
        <w:rPr/>
      </w:pPr>
      <w:bookmarkStart w:id="189" w:name="__RefHeading___Toc17390965_1280447820"/>
      <w:bookmarkStart w:id="190" w:name="_Toc59"/>
      <w:bookmarkEnd w:id="188"/>
      <w:bookmarkEnd w:id="189"/>
      <w:r>
        <w:rPr>
          <w:rtl w:val="true"/>
        </w:rPr>
        <w:t>فروض الإرث</w:t>
      </w:r>
      <w:bookmarkEnd w:id="190"/>
    </w:p>
    <w:p>
      <w:pPr>
        <w:pStyle w:val="BookText"/>
        <w:rPr/>
      </w:pPr>
      <w:r>
        <w:rPr>
          <w:rFonts w:ascii="Amiri" w:hAnsi="Amiri" w:eastAsia="Amiri" w:cs="Amiri"/>
          <w:color w:val="111111"/>
          <w:sz w:val="28"/>
          <w:sz w:val="28"/>
          <w:szCs w:val="28"/>
          <w:rtl w:val="true"/>
          <w:lang w:bidi="ar-SA"/>
        </w:rPr>
        <w:t xml:space="preserve">الإرث بالنسب أو بالسبب تارةً يكون بالفرض </w:t>
      </w:r>
      <w:r>
        <w:rPr>
          <w:rStyle w:val="FootnoteAnchor"/>
          <w:rtl w:val="true"/>
        </w:rPr>
        <w:footnoteReference w:id="376"/>
      </w:r>
      <w:r>
        <w:rPr>
          <w:rFonts w:ascii="Amiri" w:hAnsi="Amiri" w:eastAsia="Amiri" w:cs="Amiri"/>
          <w:color w:val="111111"/>
          <w:sz w:val="28"/>
          <w:sz w:val="28"/>
          <w:szCs w:val="28"/>
          <w:rtl w:val="true"/>
          <w:lang w:bidi="ar-SA"/>
        </w:rPr>
        <w:t>واُخرى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والفروض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 الربع ، الثمن ، الثلثان ، الثلث ،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النصف ، فهو 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 للأبوين أو للأب فقط إذا لم‌يكن معها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عدم الولد للزوجة وإن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الربع ، فهو 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مع الولد للزوجة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مع عدم الولد للزوج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إن كانت واحدة اختصت به ، وإلاّ قُسِّم بينهنّ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الثمن فهو للزوجة مع الولد للزوج وإن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إن كانت واحدة اختصت به ، وإلاّ قُسِّم بينهنّ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الثلثان ، فهو 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البنتين فصاعداً إذا لم‌يكن معهنّ ابن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الاُختين فصاعداً للأبوين أو للأب فقط مع عدم 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الثلث فهو لإثنين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مع عدم الولد للميت وان نزل وعدم الاُخوة على تفصيل يذكر فى باب الحجب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والاُخت من الاُم مع التعدد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السدس فهو 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الأبوين مع الولد للميت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مع وجود الإخوة للأبوين أو للأب على تفصيل يذكر فى باب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الواحد من الاُم أو الاُخت الواحدة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الإرث يكون بالفرض تارة وبالقرابة اُخرى ، فباعتبار ان الوارث إما أن يفرض له سهم محدد مذكور فى القرآن الكريم أو لايكون له ذلك بل يرث من 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 </w:t>
      </w:r>
      <w:r>
        <w:rPr>
          <w:rStyle w:val="FootnoteAnchor"/>
          <w:rtl w:val="true"/>
        </w:rPr>
        <w:footnoteReference w:id="377"/>
      </w:r>
      <w:r>
        <w:rPr>
          <w:rFonts w:ascii="Amiri" w:hAnsi="Amiri" w:eastAsia="Amiri" w:cs="Amiri"/>
          <w:color w:val="111111"/>
          <w:sz w:val="28"/>
          <w:sz w:val="28"/>
          <w:szCs w:val="28"/>
          <w:rtl w:val="true"/>
          <w:lang w:bidi="ar-SA"/>
        </w:rPr>
        <w:t>والأول إرث بالفرض والثانى إرث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الفروض محصورة فى الستة المتقدمة ، فيتضح ذلك من خلال مراجعة كتاب اللّه العزيز ، كما سنشير الى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النصف للأصناف الثلاثة المتقدمة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نِصْفُ مَا تَرَكَ أَزْوَاجُكُمْ إِنْ لَمْ يَكُنْ لَهُنَّ وَلَدٌ</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وتقييد البنت بما اذا كانت واحدة ، باعتبار أن فرض الأكثر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الاُخت بكونها للأبوين أو للأب ، لما سيأتى من أنّ الاُخت من الاُم فقط ترث الثلث مع التعدد والسدس مع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بما اذا لم‌يكن معها أخ ، باعتبار أنّه مع وجوده يكون الإرث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تعميم ولد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عدمه شرط فى إرث الزوج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للنازل ، فهو للتمسك بإطلاق كلمة الولد فى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لَهُنَّ وَلَدٌ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الربع لمن تقدم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لَهُنَّ وَلَدٌ فَلَكُمُ الرُّبُعُ مِمَّا تَرَكْنَ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تَرَكْتُمْ إِنْ لَمْ يَكُنْ لَكُمْ وَلَدٌ</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وتعميم الولد للنازل هو للتمسك بالإطلاق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الربع يُقسّم بالتساوى على الزوجات مع تعدّدهنّ فلأن ذلك لازم اثبات الربع لهن ، إذ ثبوته لخصوص واحدة بلا مرجح ، وثبوته للجميع مع التفاضل ترجيح بلا مرجح ، فيتعيّن ثبوته للجميع بنحو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رواية العبدي</w:t>
      </w:r>
      <w:r>
        <w:rPr>
          <w:rStyle w:val="FootnoteAnchor"/>
          <w:rtl w:val="true"/>
        </w:rPr>
        <w:footnoteReference w:id="38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الثمن لمن تقدّم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لَكُمْ وَلَدٌ فَلَهُنَّ الثُّمُنُ مِمَّا تَرَكْتُمْ</w:t>
      </w:r>
      <w:r>
        <w:rPr>
          <w:rFonts w:eastAsia="Amiri" w:cs="Amiri" w:ascii="Amiri" w:hAnsi="Amiri"/>
          <w:color w:val="111111"/>
          <w:sz w:val="28"/>
          <w:szCs w:val="28"/>
          <w:rtl w:val="true"/>
          <w:lang w:bidi="ar-SA"/>
        </w:rPr>
        <w:t xml:space="preserve">) . </w:t>
      </w:r>
      <w:r>
        <w:rPr>
          <w:rStyle w:val="FootnoteAnchor"/>
          <w:rtl w:val="true"/>
        </w:rPr>
        <w:footnoteReference w:id="3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الوجه فى تعميم الولد للنازل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الوجه فى اشتراك </w:t>
      </w:r>
    </w:p>
    <w:p>
      <w:pPr>
        <w:pStyle w:val="BookText"/>
        <w:rPr/>
      </w:pPr>
      <w:r>
        <w:rPr>
          <w:rFonts w:ascii="Amiri" w:hAnsi="Amiri" w:eastAsia="Amiri" w:cs="Amiri"/>
          <w:color w:val="111111"/>
          <w:sz w:val="28"/>
          <w:sz w:val="28"/>
          <w:szCs w:val="28"/>
          <w:rtl w:val="true"/>
          <w:lang w:bidi="ar-SA"/>
        </w:rPr>
        <w:t>الزوجات فى الثمن بالسوية مع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الثلثين لمن تقدم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 فَإِنْ كُنَّ نِسَاءً فَوْقَ اثْنَتَيْنِ فَلَهُنَّ ثُلُثَا مَا تَرَكَ</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 xml:space="preserve">والمراد اثنتان فما فوق بضرورة الفقه ، ولقوله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والتقييد بعدم الابن باعتبار أنّه معه يكون الارث بالقرابة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تقييد الابن بالمساوي ، فباعتبار أنّ غير المساوى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تقييد الاُختين بكونهما لللأبوين أو للأب فقط وبعدم الأخ ، فقد اتضح وجهه من خلال ما تقدم فى رقم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الثلث لمن ذُكر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 </w:t>
      </w:r>
      <w:r>
        <w:rPr>
          <w:rStyle w:val="FootnoteAnchor"/>
          <w:rtl w:val="true"/>
        </w:rPr>
        <w:footnoteReference w:id="38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السدس لمن تقدم ، فلقوله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 مِمَّا تَرَكَ إِنْ كَانَ لَهُ وَلَدٌ</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رَجُلٌ </w:t>
      </w:r>
      <w:bookmarkStart w:id="191" w:name="pg19370_198196"/>
    </w:p>
    <w:p>
      <w:pPr>
        <w:pStyle w:val="BookText"/>
        <w:rPr/>
      </w:pPr>
      <w:bookmarkEnd w:id="191"/>
      <w:r>
        <w:rPr>
          <w:rFonts w:ascii="Amiri" w:hAnsi="Amiri" w:eastAsia="Amiri" w:cs="Amiri"/>
          <w:color w:val="111111"/>
          <w:sz w:val="28"/>
          <w:sz w:val="28"/>
          <w:szCs w:val="28"/>
          <w:rtl w:val="true"/>
          <w:lang w:bidi="ar-SA"/>
        </w:rPr>
        <w:t xml:space="preserve">يُورَثُ كَلَالَةً </w:t>
      </w:r>
      <w:r>
        <w:rPr>
          <w:rStyle w:val="FootnoteAnchor"/>
          <w:rtl w:val="true"/>
        </w:rPr>
        <w:footnoteReference w:id="391"/>
      </w:r>
      <w:r>
        <w:rPr>
          <w:rFonts w:ascii="Amiri" w:hAnsi="Amiri" w:eastAsia="Amiri" w:cs="Amiri"/>
          <w:color w:val="111111"/>
          <w:sz w:val="28"/>
          <w:sz w:val="28"/>
          <w:szCs w:val="28"/>
          <w:rtl w:val="true"/>
          <w:lang w:bidi="ar-SA"/>
        </w:rPr>
        <w:t>أَوِ امْرَأَةٌ وَلَهُ أَخٌ أَوْ أُخْتٌ فَلِكُلِّ وَاحِدٍ مِنْهُمَا السُّدُسُ</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Heading3"/>
        <w:numPr>
          <w:ilvl w:val="2"/>
          <w:numId w:val="1"/>
        </w:numPr>
        <w:rPr/>
      </w:pPr>
      <w:bookmarkStart w:id="192" w:name="__RefHeading___Toc17390967_1280447820"/>
      <w:bookmarkStart w:id="193" w:name="_Toc60"/>
      <w:bookmarkEnd w:id="192"/>
      <w:r>
        <w:rPr>
          <w:rtl w:val="true"/>
        </w:rPr>
        <w:t>الارث بالفرض وبالقرابة</w:t>
      </w:r>
      <w:bookmarkEnd w:id="193"/>
    </w:p>
    <w:p>
      <w:pPr>
        <w:pStyle w:val="BookText"/>
        <w:rPr/>
      </w:pPr>
      <w:r>
        <w:rPr>
          <w:rFonts w:ascii="Amiri" w:hAnsi="Amiri" w:eastAsia="Amiri" w:cs="Amiri"/>
          <w:color w:val="111111"/>
          <w:sz w:val="28"/>
          <w:sz w:val="28"/>
          <w:szCs w:val="28"/>
          <w:rtl w:val="true"/>
          <w:lang w:bidi="ar-SA"/>
        </w:rPr>
        <w:t xml:space="preserve">ثم إنّ الوارث بالفرض أو بالقرابة ينقسم 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دائماً من دون أن يردّ عليه شيء ، وهو الزوجة ، فإنّ لها الربع مع عدم الولد للميت ، والثمن معه ولايرد عليها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يرث بالفرض دائماً مع الرد عليه أحياناً ، كالاُم ، فإنّها مع انفرادها يردّ عليها الفاضل عن الثلث ، وكالزوج ، فإنّه مع عدم وجود وارث سوى الامام علیه السلام يردّ عليه الفاضل عن النصف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تارةً وبالقرابة اُخري ، كالأب ، فإنّه يرث السدس بالفرض مع وجود الولد وبالقرابة مع عدمه ، وكالبنت والبنات ، فإنّهنّ يرثن مع الابن بالقرابة وبدونه بالفرض ، الى غير ذلك من الموارد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لايرث إلاّ بالقرابة ، كالابن ، والإخوة للأبوين أو للأب ، والجد ، والأعمام والأخوال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يرث بالفرض ولا بالقرابة بل بالولاء ، وهو المعتق وضامن الجريرة والامام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الزوجة ترث بالفرض دائماً ، فلأنّه إما ان يكون للميت ولد أو لا ، وعلي كلا التقديرين ، قد ذكر سهمها فى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 لايردّ عليها شيء زائد على فرضها حتى لو لم‌يكن وارث غيرها من الطوائف الثلاث النسبية ، بل يكون الباقى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عدم تحقق ولاء العتق وضمان الجريرة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ذات أقوال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الباقى عليها ، وعدمه فيكون الفاضل للإمام علیه السلام ، والتفصيل بين زمان الحضور فلا يردّ عليها بل عليه علیه السلام وبين زمان الغيبة فيردّ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الاختلاف هو الأخبار ، ففى مجموعة منها حكم بعدم الردّ عليها ، كصحيحة أبيبصير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توفّى وترك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الربع ، وما بقى فللإمام </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 ذلك صحيحة اُخرى لأبى 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مات وترك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لها </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يجمع إما بحمل الثانية على تبرعه علیه السلام بحصته ، أو بحمل الزوجة على كونها من الأقارب ، فإنّها ترث جميع المال ، كما دلَّ عليه صحيحة محمد بن القاسم بن 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الرضا علیه السلام عن رجل مات وترك امرأة قرابة ، ليس له قرابة </w:t>
      </w:r>
    </w:p>
    <w:p>
      <w:pPr>
        <w:pStyle w:val="BookText"/>
        <w:rPr/>
      </w:pPr>
      <w:r>
        <w:rPr>
          <w:rFonts w:ascii="Amiri" w:hAnsi="Amiri" w:eastAsia="Amiri" w:cs="Amiri"/>
          <w:color w:val="111111"/>
          <w:sz w:val="28"/>
          <w:sz w:val="28"/>
          <w:szCs w:val="28"/>
          <w:rtl w:val="true"/>
          <w:lang w:bidi="ar-SA"/>
        </w:rPr>
        <w:t xml:space="preserve">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المال كلّه اليها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الاُم ترث بالفرض دائماً ، فأمر واضح ، لأنّه إما أن يكون للميت ولد أو لا ، وسهمها على كلا التقديرين قد اُشير اليه فى القرآن الكريم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اذا انفردت يردّ عليها الباقي ، فلا خلاف فيه بيننا خلافاً لغيرنا حيث قالوا بكونه للعصبة</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الزوج مع انفراده يرد عليه الباقى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روايات كثيرة ، كصحيحة أبيبصير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عليّ أبوعبداللّه علیه السلام فرائض على علیه السلام فإذا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يحوز المال كلّه إذا لم‌يكن غيره </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فى موثق جميل بن دراج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لايكون الردُّ على زوج ولا زوجة </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فلابدّ من تأويله ، أو ردّ علمه الى أهله ، لعدم مقاومته للروايات الكثيرة التى كادت أن تصل الى حدّ السنة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الأب يرث بالفرض تارةً وبالقرابة اُخرى ، فواضح ، إذ مع وجود الولد يرث السدس كما دلّت عليه الآية الكريمة المذكورة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البحث السابق ، ومع عدمه يرث بآية اُولى الأرحام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 </w:t>
      </w:r>
      <w:r>
        <w:rPr>
          <w:rStyle w:val="FootnoteAnchor"/>
          <w:rtl w:val="true"/>
        </w:rPr>
        <w:footnoteReference w:id="3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البنت والبنات ، فمع عدم وجود الابن المساوى لهنّ يرثن النصف أو </w:t>
      </w:r>
      <w:bookmarkStart w:id="194" w:name="pg19370_198199"/>
    </w:p>
    <w:p>
      <w:pPr>
        <w:pStyle w:val="BookText"/>
        <w:rPr/>
      </w:pPr>
      <w:bookmarkEnd w:id="194"/>
      <w:r>
        <w:rPr>
          <w:rFonts w:ascii="Amiri" w:hAnsi="Amiri" w:eastAsia="Amiri" w:cs="Amiri"/>
          <w:color w:val="111111"/>
          <w:sz w:val="28"/>
          <w:sz w:val="28"/>
          <w:szCs w:val="28"/>
          <w:rtl w:val="true"/>
          <w:lang w:bidi="ar-SA"/>
        </w:rPr>
        <w:t xml:space="preserve">الثلثين كما تقدم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السابق ، ومع وجود الإبن يتمّ الإرث بالقرابة للذكر مثل حظ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الابن ومن بعده لايرثون إلاّ بالقرابة ، فواضح ، لعدم ذكر سهم خاص بهم فى الكتاب الكريم ، فيرثون بالقرابة بمقتضى آية اُولى الارحام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المولى المعتق وضامن الجريرة والامام علیه السلام لايرثون بالفرض ولا بالقرابة ، فواضح ، إذ لم‌يذكر سهم خاص بهم فى الكتاب الكريم ليرثوا بالفرض وليسوا من الأرحام ليرثوا بالقرابة بمقتضى آية اُولى الأرحام</w:t>
      </w:r>
      <w:r>
        <w:rPr>
          <w:rFonts w:eastAsia="IRNazanin" w:cs="IRNazanin"/>
          <w:color w:val="111111"/>
          <w:sz w:val="28"/>
          <w:szCs w:val="28"/>
          <w:rtl w:val="true"/>
          <w:lang w:bidi="fa-IR"/>
        </w:rPr>
        <w:t>.</w:t>
      </w:r>
    </w:p>
    <w:p>
      <w:pPr>
        <w:pStyle w:val="Heading3"/>
        <w:numPr>
          <w:ilvl w:val="2"/>
          <w:numId w:val="1"/>
        </w:numPr>
        <w:rPr/>
      </w:pPr>
      <w:bookmarkStart w:id="195" w:name="__RefHeading___Toc17390969_1280447820"/>
      <w:bookmarkStart w:id="196" w:name="_Toc61"/>
      <w:bookmarkEnd w:id="195"/>
      <w:r>
        <w:rPr>
          <w:rtl w:val="true"/>
        </w:rPr>
        <w:t>الحجب</w:t>
      </w:r>
      <w:bookmarkEnd w:id="196"/>
    </w:p>
    <w:p>
      <w:pPr>
        <w:pStyle w:val="BookText"/>
        <w:rPr/>
      </w:pPr>
      <w:r>
        <w:rPr>
          <w:rFonts w:ascii="Amiri" w:hAnsi="Amiri" w:eastAsia="Amiri" w:cs="Amiri"/>
          <w:color w:val="111111"/>
          <w:sz w:val="28"/>
          <w:sz w:val="28"/>
          <w:szCs w:val="28"/>
          <w:rtl w:val="true"/>
          <w:lang w:bidi="ar-SA"/>
        </w:rPr>
        <w:t>قد يتحقق حجب الوارث عن الإرث كلاًّ أو بعضاً بسبب وارث آخر أو مانع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حرمان وحجب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له مصاديق متعددة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كل طبقة سابقة للطبقة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الأقرب للأبعد فى أفراد الطبقة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الحجب بالكفر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الحجب بالقتل عمداً ظلماً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الحجب بالرقية وبالزنا وباللعان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له موردان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 ، وحجب الإخوة للاُم عمّا زاد عن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حجب الإخوة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رجلين فصاعداً أو رجلاً وامرأتين أو أربع نساء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للأبوين أو للأب فقط ، ولايكفى كونهم للاُم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منفصلين بالولادة ، فلايكفى كونهم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مسلمين وأحراراً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الأب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الحجب على نحوين ، فواضح ، فإنّ الحاجب تارةً يمنع المحجوب من الإرث رأساً فيكون حجبه حجب حرمان ، واُخرى يمنعه من بعض الإرث فيكون حجبه 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ومصاديق كلّ واحد من القسمين قد اُشير اليها فى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كل طبقة لاحقة تحجب بالطبقة السابقة ، فهو من واضحات الفقه ، وممّا لا خلاف فيه بين المسلمين وتأتى ان شاء اللّه تعالى فى مطاوى الأبحاث الآتية بعض الروايات التى يستفاد منها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حجب أفراد الطبقة الواحدة بعضها لبعض فواضح ، فإنّ الأقرب منهم يمنع الأبعد لقاعدة اُولى الأرحام ، فالولد يمنع ولد الولد ، والأخ يمنع ولد الأخ ، والجدّ يمنع أباه ، والأعمام والأخوال وأولادهم وإن نزلوا يمنعون أعمام الأب وأخواله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الحجب بالكفر ، فهو مما لا خلاف فيه ، فالكافر لايرث المسلم بخلاف المسلم فإنّه يرث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فى ذلك مستفيضة ، كصحيحة جميل وهشام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الناس عن النبى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لايتوارث أهل ملتين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نرثهم ولايرثونا ، ان الاسلام لم‌يزده فى حقه إلاّ شدّة </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الصحيحة على أنّ المراد من الحديث النبوى المشهور الدال على نفى التوارث بين </w:t>
      </w:r>
    </w:p>
    <w:p>
      <w:pPr>
        <w:pStyle w:val="BookText"/>
        <w:rPr/>
      </w:pPr>
      <w:r>
        <w:rPr>
          <w:rFonts w:ascii="Amiri" w:hAnsi="Amiri" w:eastAsia="Amiri" w:cs="Amiri"/>
          <w:color w:val="111111"/>
          <w:sz w:val="28"/>
          <w:sz w:val="28"/>
          <w:szCs w:val="28"/>
          <w:rtl w:val="true"/>
          <w:lang w:bidi="ar-SA"/>
        </w:rPr>
        <w:t>اهل ملتين هو نفى التوارث من الطرفين ، لا نفيه حتى من طرف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تحقق الحجب بالقتل عمداً ظلماً ، فهو ممّا لا خلاف فيه ، فالقاتل لايرث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فى ذلك متواترة ، كصحيحة أبيعبيدة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أباجعفر علیه السلام عن امرأة شربت دواء وهى حامل ولم‌يعلم بذلك زوجها فألقت ولدها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 عظم وقد نبت عليه اللحم ، عليها الدية تسلّمها الى أبيه ، وإن كان حين طرحته علقة أو مضغة فإنّ عليها أربعين ديناراً أو غرَّة </w:t>
      </w:r>
      <w:r>
        <w:rPr>
          <w:rStyle w:val="FootnoteAnchor"/>
          <w:rtl w:val="true"/>
        </w:rPr>
        <w:footnoteReference w:id="401"/>
      </w:r>
      <w:r>
        <w:rPr>
          <w:rFonts w:ascii="Amiri" w:hAnsi="Amiri" w:eastAsia="Amiri" w:cs="Amiri"/>
          <w:color w:val="111111"/>
          <w:sz w:val="28"/>
          <w:sz w:val="28"/>
          <w:szCs w:val="28"/>
          <w:rtl w:val="true"/>
          <w:lang w:bidi="ar-SA"/>
        </w:rPr>
        <w:t>تؤدّيها الى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لاترث ولدها من ديته مع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لأنّها قتلته فلا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التقييد بكون القتل عمداً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اباعبداللّه علیه السلام عن رجل قتل اُمه أيرثها؟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خطأً ورثها ، وإن كان عمداً لم‌يرثها </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فى رواية العلاء بن فضيل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ولايرث الرجلُ الرجلَ اذا قتله وإن كان خطأً </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ومثله فى رواية الفضيل بن يسار</w:t>
      </w:r>
      <w:r>
        <w:rPr>
          <w:rStyle w:val="FootnoteAnchor"/>
          <w:rtl w:val="true"/>
        </w:rPr>
        <w:footnoteReference w:id="405"/>
      </w:r>
      <w:r>
        <w:rPr>
          <w:rFonts w:ascii="Amiri" w:hAnsi="Amiri" w:eastAsia="Amiri" w:cs="Amiri"/>
          <w:color w:val="111111"/>
          <w:sz w:val="28"/>
          <w:sz w:val="28"/>
          <w:szCs w:val="28"/>
          <w:rtl w:val="true"/>
          <w:lang w:bidi="ar-SA"/>
        </w:rPr>
        <w:t>فهو ضعيف السند بمحمد بن سنان فى الأول وبالإرسال وغيره فى الثاني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التقييد بكون القتل ظلماً ، فلا خلاف فى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يوجَّه بانصراف دليل المنع الى القتل العمدي ، فيبقى القاتل خطأً مشمولاً لمطلقات الارث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الحجب بالرقية ، فلا خلاف فيه ، فالرق فى الوارث أو الموروث مانع من </w:t>
      </w:r>
    </w:p>
    <w:p>
      <w:pPr>
        <w:pStyle w:val="BookText"/>
        <w:rPr/>
      </w:pPr>
      <w:r>
        <w:rPr>
          <w:rFonts w:ascii="IRNazanin" w:hAnsi="IRNazanin" w:eastAsia="IRNazanin"/>
          <w:color w:val="111111"/>
          <w:sz w:val="28"/>
          <w:sz w:val="28"/>
          <w:szCs w:val="28"/>
          <w:rtl w:val="true"/>
          <w:lang w:bidi="fa-IR"/>
        </w:rPr>
        <w:t xml:space="preserve">الارث لصحيحة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لايتوارث الحرّ والمملوك </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الحجب بالزنا ، فلا خلاف فيه أيضاً ، فلاتوارث بين الولد والزاني ، ولا بينه والمزنيبها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فى ذلك متعددة ، كصحيحة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رجل وقع على وليدة قوم حراماً ، ثم اشتراها فادّعى ولدها ، فإنّه لايورث منه شيء ، فإنّ رسول‌اللّه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بوقوع التوارث بينه وبين المزنى بها ومن يتقرب بها ، لموثقة اسحاق بن عمار عن جعفر عن أبيه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وابن الملاعنة ترثه اُمه وأخواله وإخوته لاُمه أو عصبتها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التعليل فى صحيحة الحلبى نفى التوارث مطلقاً؛ والموثقة المذكورة يمكن حملها على حالة كون الوط‌ء من طرف المرأة بالشبهة ، كما ذكره صاحب الوسائل فى ذيل الموثقة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الحجب باللعان ، فلا إشكال فيه ، فعلاقة الإرث تنقطع بين الوالد ومن يتقرب به وبين ولده وتبقى بينه وبين اُمه ومن يتقرب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الاشارة الى ذلك عند البحث عن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الولد قد يحجب غيره حجب نقصان ، فواضح فهو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الأبوين عمّا زاد عن السدس إلاّ إذا فرض كونه بنتاً واحدة قد اجتمعت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يبقى سدس يردّ عليهم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اجتمعت مع احدهما ، </w:t>
      </w:r>
    </w:p>
    <w:p>
      <w:pPr>
        <w:pStyle w:val="BookText"/>
        <w:rPr/>
      </w:pPr>
      <w:r>
        <w:rPr>
          <w:rFonts w:ascii="Amiri" w:hAnsi="Amiri" w:eastAsia="Amiri" w:cs="Amiri"/>
          <w:color w:val="111111"/>
          <w:sz w:val="28"/>
          <w:sz w:val="28"/>
          <w:szCs w:val="28"/>
          <w:rtl w:val="true"/>
          <w:lang w:bidi="ar-SA"/>
        </w:rPr>
        <w:t>فإنّه يبقى ثلث يردّ عليهما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اذا فرض اجتماع أحدهما مع البنتين فصاعداً ، فإنّه يبقى سدس يردّ عليهما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ويحجب الزوج والزوجة عن نصيبهما الأعلى الى الأدني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حجب الإخوة للاُم عمّا زاد عن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أنّهم لايرثون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تأمّل فيه ،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وَوَرِثَهُ أَبَوَاهُ فَلِأُمِّهِ الثُّلُثُ فَإِنْ كَانَ لَهُ إِخْوَةٌ فَلِأُمِّهِ السُّدُسُ</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يعتبر فى حجب الإخوة للاُم عما زاد على السدس الشرط الأول ، 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صحيح أبي العباس</w:t>
      </w:r>
      <w:r>
        <w:rPr>
          <w:rStyle w:val="FootnoteAnchor"/>
          <w:rtl w:val="true"/>
        </w:rPr>
        <w:footnoteReference w:id="410"/>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ترك الميت أخوين فهم إخوة مع الميت حجبا الاُم عن الثلث ، وإن كان واحداً لم يحجب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كنَّ أربع أخوات حجبن الاُم عن الثلث لأنهنّ بمنزلة الأخوين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 ثلاثاً لم‌يحجبن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ويمكن أن يستفاد من التعليل المذكور فيه ، حاجبية الأخ الواحد اذا اجتمع مع الاُختين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يعتبر فى حجب الإخوة أن يكونوا للأبوين أو للأب فقط ، 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صحيحة زرارة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كان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إخوة لأب واُم أو إخوة لأب فلاُمه السدس وللأب خمسة 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وفّر للأب من أجل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والإخوة لاُم ليسوا لأب فإنّهم لايحجبون الاُم عن الثلث ولايرثون </w:t>
      </w:r>
      <w:r>
        <w:rPr>
          <w:rFonts w:eastAsia="Amiri" w:cs="Amiri" w:ascii="Amiri" w:hAnsi="Amiri"/>
          <w:color w:val="111111"/>
          <w:sz w:val="28"/>
          <w:szCs w:val="28"/>
          <w:rtl w:val="true"/>
          <w:lang w:bidi="ar-SA"/>
        </w:rPr>
        <w:t xml:space="preserve">... » </w:t>
      </w:r>
      <w:r>
        <w:rPr>
          <w:rStyle w:val="FootnoteAnchor"/>
          <w:rtl w:val="true"/>
        </w:rPr>
        <w:footnoteReference w:id="41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الانفصال بالولادة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انصراف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فى الآية الكريمة عن الحمل ، بل قد يمنع صدق عنوان الإخوة مع عدم الانفصال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الاسلام والحرية ، فهو متسالم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صحيح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المملوك والمشرك يحجبان إذا لم‌يرثا؟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بظهوره فى ارادة حجب الحرمان دون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لم‌يكن ظاهراً فى الثانى فلا أقلّ من شموله له ، فيتمسك بالإطلاق أو احتمال شموله ، فيتمسك بعدم الاستفصال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حياة الأب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ظاهر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وورثه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إن دلت على اعتبار حياة الأب وإلاّ فلا ريب فى اختصاصها بها ، فتبقى حالة عدم الحياة مشمولة لإطلاق ما دل على أنّ لها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دلالة صحيحة زرارة المتقدمة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حيث ورد فى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رجل وترك امه واخوة واخوات لاب وام واخوة واخوات لام وليس الاب حياً ، فانهم لايرثون ولايحجبونها ، لانه لم‌يورث كلالة </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ثم إنّه يحتمل أن يكون المقصود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لم‏يورث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لاترثه الكلالة ـ أى الإخوة ـ لوجود الأقرب وإنما يورث كلالة اذا لم‏يكن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حكمة الحجب المذكورة فى الصحيحة تدل على المطلوب أيضاً ، فلاحظ</w:t>
      </w:r>
      <w:r>
        <w:rPr>
          <w:rFonts w:eastAsia="Amiri" w:cs="Amiri" w:ascii="Amiri" w:hAnsi="Amiri"/>
          <w:color w:val="111111"/>
          <w:sz w:val="28"/>
          <w:szCs w:val="28"/>
          <w:rtl w:val="true"/>
          <w:lang w:bidi="ar-SA"/>
        </w:rPr>
        <w:t xml:space="preserve">. </w:t>
      </w:r>
      <w:bookmarkStart w:id="197" w:name="pg19370_198205"/>
    </w:p>
    <w:p>
      <w:pPr>
        <w:pStyle w:val="Heading3"/>
        <w:numPr>
          <w:ilvl w:val="2"/>
          <w:numId w:val="1"/>
        </w:numPr>
        <w:rPr/>
      </w:pPr>
      <w:bookmarkStart w:id="198" w:name="__RefHeading___Toc17390971_1280447820"/>
      <w:bookmarkStart w:id="199" w:name="_Toc62"/>
      <w:bookmarkEnd w:id="197"/>
      <w:bookmarkEnd w:id="198"/>
      <w:r>
        <w:rPr>
          <w:rtl w:val="true"/>
        </w:rPr>
        <w:t>العول والتعصيب</w:t>
      </w:r>
      <w:bookmarkEnd w:id="199"/>
    </w:p>
    <w:p>
      <w:pPr>
        <w:pStyle w:val="BookText"/>
        <w:rPr/>
      </w:pPr>
      <w:r>
        <w:rPr>
          <w:rFonts w:ascii="Amiri" w:hAnsi="Amiri" w:eastAsia="Amiri" w:cs="Amiri"/>
          <w:color w:val="111111"/>
          <w:sz w:val="28"/>
          <w:sz w:val="28"/>
          <w:szCs w:val="28"/>
          <w:rtl w:val="true"/>
          <w:lang w:bidi="ar-SA"/>
        </w:rPr>
        <w:t>اذا كان جميع الورثة ذوى فروض فتارةً تفترض فروضهم مساوية لستة أسداس ، واُخرى يفترض كونها أكثر من ذلك ، وثالثة يفترض كونها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 أن الوارث أبوان وبنتان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 أنّ الوارث زوج واُخت للأب واُختان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 أن الوارث بنت واحدة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هى مورد العول</w:t>
      </w:r>
      <w:r>
        <w:rPr>
          <w:rStyle w:val="FootnoteAnchor"/>
          <w:rtl w:val="true"/>
        </w:rPr>
        <w:footnoteReference w:id="415"/>
      </w:r>
      <w:r>
        <w:rPr>
          <w:rFonts w:ascii="Amiri" w:hAnsi="Amiri" w:eastAsia="Amiri" w:cs="Amiri"/>
          <w:color w:val="111111"/>
          <w:sz w:val="28"/>
          <w:sz w:val="28"/>
          <w:szCs w:val="28"/>
          <w:rtl w:val="true"/>
          <w:lang w:bidi="ar-SA"/>
        </w:rPr>
        <w:t>الذى ذهب اليه غيرنا وقالوا بورود النقص على جميع ذوى الفروض على نسبة فرضه ، كما يرد النقص على الديّان بنسبة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الإمامية الى استحالة العول وأنّ النقص يدخل على بعض منهم دون بعض ، ففى المثال السابق يدخل النقص على الاُخت من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هى مورد التعصيب الذى ذهب اليه غيرنا ، بمعنى اعطاء الزائد للعَصَبة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الذكور من اقارب الميت ممن ينتسب اليه من دون واسطة كالأخ أو بواسطة ذكر كالعم</w:t>
      </w:r>
      <w:r>
        <w:rPr>
          <w:rStyle w:val="FootnoteAnchor"/>
          <w:rtl w:val="true"/>
        </w:rPr>
        <w:footnoteReference w:id="417"/>
      </w:r>
      <w:r>
        <w:rPr>
          <w:rFonts w:ascii="IRNazanin" w:hAnsi="IRNazanin" w:eastAsia="IRNazanin"/>
          <w:color w:val="111111"/>
          <w:sz w:val="28"/>
          <w:sz w:val="28"/>
          <w:szCs w:val="28"/>
          <w:rtl w:val="true"/>
          <w:lang w:bidi="fa-IR"/>
        </w:rPr>
        <w:t>وابنه وابن الأخ</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الميت بنتاً يدفع اليها نصف المال ويدفع النصف الآخر للأخ أو ابنه إن كان ، أو للعم أو ابنه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الإمامية ببطلان ذلك ولزوم ردِّ النصف الثانى الى البنت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اذا كان جميع الورثة ذوى 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ذلك ينحصر مورد العول والتعصيب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بعضهم ذا فرض دون بعض ، دفع الى ذى الفرض فرضه واُعطى الباقي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فى الورثة ذو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الأعمام والأخوال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بينهم التركة على بيانٍ يأتى فى ما بعد ،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الصورة الاُولى لا إشكال فيها ،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الصورة الثانية هى مورد العول ، فباعتبار أنّ للزوج نصفاً ، وللاُخت من الأبوين النصف ، وللاختين من الاُم الثلث ، والمجموع يزيد على ستة أسداس بمقدار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قال بالعول ولزوم ادخال النقص على الجميع بالنسبة ، هو الخليفة الثانى كما طفحت بذلك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قدامي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مسألة عائلة حدثت في زمن عمر ، فجمع الصحابة للمشورة فيها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تقسم المال بينهم على قدر سهامهم ، فأخذ به عمر واتبعه الناس على ذلك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وقد جاء نقل ذلك فى احكام القرآن للجصاص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للحاكم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وكنزالعمال للمتقى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فى ذلك ابن عباس متحدياً بالمباهلة ، ومن هنا سمّيت المسألة المذكورة بمسألة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قدامي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أنه قال فى زوج واُخت 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 المسائل لاتعول ، إنّ الذى أحصى رمل عالج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عدداً أعدل من أن يجعل فى مال</w:t>
      </w:r>
    </w:p>
    <w:p>
      <w:pPr>
        <w:pStyle w:val="BookText"/>
        <w:rPr/>
      </w:pPr>
      <w:r>
        <w:rPr>
          <w:rFonts w:ascii="Amiri" w:hAnsi="Amiri" w:eastAsia="Amiri" w:cs="Amiri"/>
          <w:color w:val="111111"/>
          <w:sz w:val="28"/>
          <w:sz w:val="28"/>
          <w:szCs w:val="28"/>
          <w:rtl w:val="true"/>
          <w:lang w:bidi="ar-SA"/>
        </w:rPr>
        <w:t>نصفاً ونصفاً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نصفان ذهبا بالمال ، فاين الثلث؟ فسمّيت هذه المسألة مسألة المباهلة لذلك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يبقى الاشكال فى انه كيف ترث الاخت مع وجود الام؟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استحالة العول فى مذهب الإمامية ، فباعتبار أنّه يستحيل على الحكيم العالم أن يفرض فى مال ما لايقوم به ، إنّ ذلك لايصدر من جاهل فضلاً عن رب العزّة الحكيم العالم ، فإنّ النصفين إذا ذهبا بالمال فاين موضع الثلث؟ ومن هنا جاءت روايات أهل‌البيت علیهم السلام تردُّ بلهجة شديدة على فكرة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أقرأنى أبوجعفر علیه السلام صحيفة كتاب الفرائض التى هى املاء رسول اللّه صلی اللّه علیه و آله وخط على علیه السلام بيده ، فإذا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السهام لاتعول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وفى موثقة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اُعيل السهام حتي يكون علي المائة اُو أقلّ أو أكثر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تجوز ستة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إنّ‌الذي أحصى رمل عالج ليعلم أنّ السهام لاتعول على ستة ، لو يبصرون وجهه الم تجز ستة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وورد فى صحيحة الحضرمى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يحصى رمل عالج ليعلم ان السهام لاتعول من ستة ، فمن شاء لاعنته عند الحجر ، ان السهام لاتعول من ستة </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ثم إنّ فى المراد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لم‏تجز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السهام المذكورة فى القرآن الكريم ستة ، فلو دخل النقص على من له فرض أعلى وأدنى يلزم صيرورة السهام أكثر من ستة ، وهذا بخلاف ما لو دخل على من له حد أعلى فقط ، فإنّه لايلزم ذلك ، حيث إنّه لو تجاوزه يرث الباقى بالقرابة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التركة ستة اسداس ولايمكن أن يشرَّع الحكيم تعالى الارث بما يزيد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ذهبت اليه الاماميّة من دخول النقص على بعض دون بعض ، فقد تبعوا فى ذلك ائمتهم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وضابط ذلك البعض الذى يدخل عليه النقص هو أن يكون ذا فرض واحد بحيث لو تغير عنه ورث الباقى بالقرابة الذى قد يكون زائداً أو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يدخل عليه النقص بخلاف من قرّر له القرآن الكريم فرضين أعلى وأدني ، فإنّ مثله لايدخل عليه النقص لفرض تشريع سهم معين له لايتجاوز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مثال الزوج والاُخت من الأبوين والاُختين من الاُم يدخل النقص علي الاُخت للأبوين ، لأنّ فرضها النصف واذا تغير بسبب انضمام الأخ لها ورثت الباقي مع اخيها بالقرابة للذكر مثل حظ الانثيين ، ولايدخل على الزوج ، لأنّ فرضه النصف عند عدم الولد وينتقل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وجود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يدخل النقص على الاُختين من الاُم؛ لأنّ فرضهما الثلث ، ولا يتغير الى ارث الباقى بانضمام أخ أو اُخت ثالثة ، بل يبقى هو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الضابط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عليه صحيحة عمر بن اُذينة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تلقى العول فإنما يدخل النقصان على الذين لهم الزيادة من الولد والإخوة من الأب ، وأما الزوج والإخوة من الاُم فإنّهم لاينقصون ممّا سمّى لهم شيئاً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التعصيب باطل ، فينبغى أن يكون من الواضحات ، بل هو من ضروريات مذهبنا ، لكونه على خلاف القاعدة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أَوْلَى </w:t>
      </w:r>
      <w:bookmarkStart w:id="200" w:name="pg19370_198209"/>
    </w:p>
    <w:p>
      <w:pPr>
        <w:pStyle w:val="BookText"/>
        <w:rPr/>
      </w:pPr>
      <w:bookmarkEnd w:id="200"/>
      <w:r>
        <w:rPr>
          <w:rFonts w:ascii="Amiri" w:hAnsi="Amiri" w:eastAsia="Amiri" w:cs="Amiri"/>
          <w:color w:val="111111"/>
          <w:sz w:val="28"/>
          <w:sz w:val="28"/>
          <w:szCs w:val="28"/>
          <w:rtl w:val="true"/>
          <w:lang w:bidi="ar-SA"/>
        </w:rPr>
        <w:t>بِبَعْضٍ فِي كِتَابِ اللَّهِ</w:t>
      </w:r>
      <w:r>
        <w:rPr>
          <w:rFonts w:eastAsia="Amiri" w:cs="Amiri" w:ascii="Amiri" w:hAnsi="Amiri"/>
          <w:color w:val="111111"/>
          <w:sz w:val="28"/>
          <w:szCs w:val="28"/>
          <w:rtl w:val="true"/>
          <w:lang w:bidi="ar-SA"/>
        </w:rPr>
        <w:t xml:space="preserve">) . </w:t>
      </w:r>
      <w:r>
        <w:rPr>
          <w:rStyle w:val="FootnoteAnchor"/>
          <w:rtl w:val="true"/>
        </w:rPr>
        <w:footnoteReference w:id="425"/>
      </w:r>
      <w:r>
        <w:rPr>
          <w:rFonts w:ascii="Amiri" w:hAnsi="Amiri" w:eastAsia="Amiri" w:cs="Amiri"/>
          <w:color w:val="111111"/>
          <w:sz w:val="28"/>
          <w:sz w:val="28"/>
          <w:szCs w:val="28"/>
          <w:rtl w:val="true"/>
          <w:lang w:bidi="ar-SA"/>
        </w:rPr>
        <w:t xml:space="preserve">وقد جاء فى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للأقرب والعصبة فى فيه التراب </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Heading3"/>
        <w:numPr>
          <w:ilvl w:val="2"/>
          <w:numId w:val="1"/>
        </w:numPr>
        <w:rPr/>
      </w:pPr>
      <w:bookmarkStart w:id="201" w:name="__RefHeading___Toc17390973_1280447820"/>
      <w:bookmarkStart w:id="202" w:name="_Toc63"/>
      <w:bookmarkEnd w:id="201"/>
      <w:r>
        <w:rPr>
          <w:rtl w:val="true"/>
        </w:rPr>
        <w:t>من تفاصيل إرث الطبقات</w:t>
      </w:r>
      <w:bookmarkEnd w:id="202"/>
    </w:p>
    <w:p>
      <w:pPr>
        <w:pStyle w:val="BookText"/>
        <w:rPr/>
      </w:pPr>
      <w:r>
        <w:rPr>
          <w:rFonts w:ascii="Amiri" w:hAnsi="Amiri" w:eastAsia="Amiri" w:cs="Amiri"/>
          <w:color w:val="111111"/>
          <w:sz w:val="28"/>
          <w:sz w:val="28"/>
          <w:szCs w:val="28"/>
          <w:rtl w:val="true"/>
          <w:lang w:bidi="ar-SA"/>
        </w:rPr>
        <w:t>إرث الطبقة الاُولى</w:t>
      </w:r>
    </w:p>
    <w:p>
      <w:pPr>
        <w:pStyle w:val="BookText"/>
        <w:rPr/>
      </w:pPr>
      <w:r>
        <w:rPr>
          <w:rFonts w:ascii="Amiri" w:hAnsi="Amiri" w:eastAsia="Amiri" w:cs="Amiri"/>
          <w:color w:val="111111"/>
          <w:sz w:val="28"/>
          <w:sz w:val="28"/>
          <w:szCs w:val="28"/>
          <w:rtl w:val="true"/>
          <w:lang w:bidi="ar-SA"/>
        </w:rPr>
        <w:t>اذا انفرد الأب او الاُم ورث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انفردا معاً بالتركة كان للاُم الثلث مع عدم الحاجب والباقى للأب ، ومع الحاجب لها السدس والباقى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اجتمع الزوج أو الزوجة مع أحد الأبوين كان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والباقى للأب بالقرابة أو للاُم فرضاً 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اجتمع الزوج أو الزوجة مع الأبوين معاً كان للزوج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وللزوجة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 الثلث والباقى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انفرد الابن كان له تمام المال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انفردت البنت كان لها التمام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اجتمعا كان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انفرد الإبنان او الأبناء كان لهما اولهم تمام 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انفردت البنتان أو البنات كان لهما او لهُنَّ التمام بالسوية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اجتمعا كان للذكر مثل حظ الاُنثيين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ويقوم أولاد الأولاد وإن نزلوا مقام الأولاد فى مقاسمة الأبوين وحجبهما عن أعلي السهمين الى أدناهما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ولايرث ولد الولد مع وجود الولد وان كان انثي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من يتقرب به ، فولد البنت يرث نصيب اُمّه ذكراً كان أو انثي ، ويرث ولد الابن نصيب ابيه ذكراً كان او انثي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للميت أولاد بنت واولاد ابن كان لأولاد البنت الثلث نصيب اُمهم ، يقسّم بينهم للذكر مثل حظ الاُنثيين ولأولاد الابن الثلثان نصيب أبيهم ، يقسم بينهم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ويحبى الولد الأكبر الذكر للميت بأربعة أشياء من تركة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بدنه ، وخاتمه ، وسيفه ، ومصحفه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الأب يرث جميع المال مع انفراده ، فلعدم كونه ذا فرض ، ومعه فيرث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وحيث لا مشارك له حسب الفرض ، فيلزم استحقاقه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الاُم ترث جميع المال مع انفرادها ، فلأن لها الثلث بالفرض والباقي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حالة انفراد الأبوين ومابعدها ، فأمرها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للابن المنفرد تمام التركة بالقرابة ، فلأنه لا فرض له فيرث جميع المال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وأما أنّ للبنت المنفردة تمام التركة أيضاً ، فلأن لها النصف بالفرض والباقي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w:t>
      </w:r>
      <w:r>
        <w:rPr>
          <w:rFonts w:eastAsia="Amiri" w:cs="Amiri" w:ascii="Amiri" w:hAnsi="Amiri"/>
          <w:color w:val="111111"/>
          <w:sz w:val="28"/>
          <w:szCs w:val="28"/>
          <w:rtl w:val="true"/>
          <w:lang w:bidi="ar-SA"/>
        </w:rPr>
        <w:t>... )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عند اجتماع الابن والبنت يقسّم المال بينهما للذكر مثل حظّ الاُنثيين ، فلعدم الفرض لهما فيرثان بالقرابة ويقسّم بينهما طبقاً للقاعدة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للابنين المنفردين تمام التركة بالسوية ، فلأنه لا فرض لهما فيرثان ذلك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واُولو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للبنتين أو البنات المنفردات تمام المال بالسوية أيضاً ، فباعتبار أن للبنتين فصاعداً الثلثين بالفرض والباقى بالقرابة ويقسّم الجميع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مع اجتماع البنين والبنات يقسم للذكر مثل حظ الاُنثيين ، فلأنه لا فرض لهما ، بل يرثان بالقرابة ويلزم تقسيمه طبقاً للقاعدة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قيام أولاد الأولاد وإن نزلوا ذكوراً واناثاً مقام آبائهم فى مقاسمة الأبوين وحجبهم من أعلى السهمين الى أدناهما ، فهو المعروف بين الأصحاب ، ويمكن الاستدلال 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وَلِأَبَوَيْهِ لِكُلِّ وَاحِدٍ مِنْهُمَا السُّدُسُ مِمَّا تَرَكَ إِنْ كَانَ لَهُ وَلَدٌ فَإِنْ لَمْ يَكُنْ لَهُ وَلَدٌ وَوَرِثَهُ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فإن مقتضى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الشمول لولد الولد وإن نزل ، وإذا كان ولد الولد حاجباً للأبوين الى السدسين فلازم ذلك أن لايكون لهما معه جميع المال ، وإلاّ فلمن يكون الباقي؟</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بالنصوص الخاصة ، كصحيحة عبدالرحمن بن الحجاج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الابنة يرثن اذا لم‌يكن بنات كنَّ مكان البنات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 وموثقة اسحاق بن عمار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الابن يقوم مقام ابيه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ولد الولد لايرث مع وجود الولد ولو كان اُنثى ، فهو ممّا لا خلاف فيه ، فإنّ الأقرب يمنع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صحيحة سعد بن أبى خلف عن ابى الحسن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الابنة يقمن مقام البنات إذا لم يكن للميّت بنات ولاوارث غيرهنّ ، وبنات الابن يقمن مقام الابن اذا لم يكن للميّت اولاد ولاوارث غيرهنّ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واضحة فى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أولاد الأولاد يرثون نصيب من يتقربون به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الدالة على قيام الأولاد مقام الآباء ، فإنّ ظاهرها إرادة التنزيل لا فى أصل الإرث فقط ، بل فيه وفى كيفيته وإلاّ لاكتفى بذكر أولاد الأولاد من دون تفصيل فى الذكر بين أولاد البنين وأولاد البنات فإنّه مجرد تطويل يمكن الاستغناء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أبى أيوب الخزاز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فى كتاب على علیه السلام أنّ كلّ ذى رحم بمنزلة الرحم الذى يجربه إلاّ أن يكون وارث أقرب الى الميت منه فيحجبه </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لو اجتمع أولاد البنت وأولاد الابن دفع الى أولاد البنت الثلث يقتسمونه بينهم للذكر مثل حظ الاُنثيين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بالسوية كما هو الحال فى كلالة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لصدق الأولاد عليهم حقيقة ، فيدخلون فى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ونسب الى القاضى والشيخ لزوم اقتسامهم للثلث بالسوية ، بدعوى أنّ التقرب بالاُنثى يقتضى ذلك كما هو الحال فى كلالة الاُم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والتأمل فيه واضح ، فإنّ ذلك لا يعدو القياس ، إذ كون حكم كلالة الاُم ذلك </w:t>
      </w:r>
    </w:p>
    <w:p>
      <w:pPr>
        <w:pStyle w:val="BookText"/>
        <w:rPr/>
      </w:pPr>
      <w:r>
        <w:rPr>
          <w:rFonts w:ascii="Amiri" w:hAnsi="Amiri" w:eastAsia="Amiri" w:cs="Amiri"/>
          <w:color w:val="111111"/>
          <w:sz w:val="28"/>
          <w:sz w:val="28"/>
          <w:szCs w:val="28"/>
          <w:rtl w:val="true"/>
          <w:lang w:bidi="ar-SA"/>
        </w:rPr>
        <w:t>لايقتضى تعميم الحكم لكلّ من ينتسب بواسطة الاُنثى ولو لم‌تكن 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اختصاص الولد الذكر الأكبر بالأربعة المتقدمة ، فهو على ما ذكر صاحب الجواهر ممّا انفردت به الإمامية ومعلومات مذهبهم ، وبذلك تظافرت نصوصهم عن أئمتهم علیهم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النصوص صحيحة ربعى بن عبداللّه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الرجل فسيفه ومصحفه وخاتمه وكتبه ورحله وراحلته وكسوته لأكبر ولده ، فإن كان الأكبر ابنة فللأكبر من الذكور </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وصحيحة حريز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هلك الرجل وترك ابنين فللأكبر السيف والدرع والخاتم والمصحف ، فإن حدث به حدث فللأكبر منهم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وصحيحة أبى 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الميت إذا مات فإنّ لابنه الأكبر السيف والرحل والثياب ثياب جلده </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بين الأصحاب تحديد المحبوّ بالأربعة المتقدمة إلاّ أنّه لايوجد نص يجمعها ، بل هى كما 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البعض الى الاستحباب مستنداً فى ذلك الى اختلاف الأخبار فى بيان العدد كمّاً وكيفاً</w:t>
      </w:r>
      <w:r>
        <w:rPr>
          <w:rFonts w:eastAsia="Amiri" w:cs="Amiri" w:ascii="Amiri" w:hAnsi="Amiri"/>
          <w:color w:val="111111"/>
          <w:sz w:val="28"/>
          <w:szCs w:val="28"/>
          <w:rtl w:val="true"/>
          <w:lang w:bidi="ar-SA"/>
        </w:rPr>
        <w:t xml:space="preserve">. </w:t>
      </w:r>
      <w:bookmarkStart w:id="203" w:name="pg19370_198214"/>
    </w:p>
    <w:p>
      <w:pPr>
        <w:pStyle w:val="Heading3"/>
        <w:numPr>
          <w:ilvl w:val="2"/>
          <w:numId w:val="1"/>
        </w:numPr>
        <w:rPr/>
      </w:pPr>
      <w:bookmarkStart w:id="204" w:name="__RefHeading___Toc17390975_1280447820"/>
      <w:bookmarkStart w:id="205" w:name="_Toc64"/>
      <w:bookmarkEnd w:id="203"/>
      <w:bookmarkEnd w:id="204"/>
      <w:r>
        <w:rPr>
          <w:rtl w:val="true"/>
        </w:rPr>
        <w:t>إرث الطبقة الثانية</w:t>
      </w:r>
      <w:bookmarkEnd w:id="205"/>
    </w:p>
    <w:p>
      <w:pPr>
        <w:pStyle w:val="BookText"/>
        <w:rPr/>
      </w:pPr>
      <w:r>
        <w:rPr>
          <w:rFonts w:ascii="Amiri" w:hAnsi="Amiri" w:eastAsia="Amiri" w:cs="Amiri"/>
          <w:color w:val="111111"/>
          <w:sz w:val="28"/>
          <w:sz w:val="28"/>
          <w:szCs w:val="28"/>
          <w:rtl w:val="true"/>
          <w:lang w:bidi="ar-SA"/>
        </w:rPr>
        <w:t>إذا لم‌يخلّف الميت قريباً من الطبقة الثانية غير أخيه لأبويه ورث المال كلّه بالقرابة ، ومع التعدد يقسّم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وللاُخت الواحدة من الأبوين بانفرادها جميع المال أيضاً نصف بالفرض ونصف يردّ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وللاُختين أو الأخوات من الابوين المال كله ، يرثن ثلثيه بالفرض والباقى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خلّف الميت إخوة وأخوات لأبويه ، اقتسموا جميع المال بالقرابة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 المنفرد من الاُم والاُخت المنفردة منها المال كلّه السدس بالفرض والباقى يردّ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وللإثنين فصاعداً من الإخوة من الاُم ذكوراً او إناثاً أو ذكوراً وإناثاً المال كلّه ، ثلثه بالفرض والباقى بالقرابة يقسّم بينهم بالسوية وليس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وكلالة الأب فقط ، تقوم مقام كلالة الأبوين عند فقدها ولاترث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 إذا انفرد له المال كلّه لأبٍ كان أو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فى الجدة إذا انفردت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جد أو جدة أو هما لاُم مع جد أو جدة أو هما لأب كان لمن يتقرب بالاُم الثلث بالسوية ولمن يتقرب بالأب الباقى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الأخ يرث المال كلّه بالقرابة مع انفراده ، فممّا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w:t>
      </w:r>
    </w:p>
    <w:p>
      <w:pPr>
        <w:pStyle w:val="BookText"/>
        <w:rPr/>
      </w:pPr>
      <w:r>
        <w:rPr>
          <w:rFonts w:ascii="Amiri" w:hAnsi="Amiri" w:eastAsia="Amiri" w:cs="Amiri"/>
          <w:color w:val="111111"/>
          <w:sz w:val="28"/>
          <w:sz w:val="28"/>
          <w:szCs w:val="28"/>
          <w:rtl w:val="true"/>
          <w:lang w:bidi="ar-SA"/>
        </w:rPr>
        <w:t xml:space="preserve">وَلَهُ أُخْتٌ فَلَهَا نِصْفُ مَا تَرَكَ وَهُوَ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فإن الذيل يدل بإطلاقه على أنّ الأخ يرث جميع التركة مع عدم شريك له فى طبقته وعدم وارث من الطبقة الاُولي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عبداللّه بن سنان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مات وترك أخاه ولم‌يترك وارثاً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له </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تعدد الإخوة تقسّم التركة بينهم بالسوية ، فذلك مقتضى الاشتراك فى المال الواحد وبطلان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الاُخت الواحدة من الأبوين لها المال كلّه ، فهو من المسلّمات حيث ترث نصفاً بالفرض ،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أُخْتٌ فَلَهَا نِصْفُ مَا تَرَكَ</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ونصفاً بالقرابة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 الْأَرْحَامِ </w:t>
      </w:r>
      <w:r>
        <w:rPr>
          <w:rFonts w:eastAsia="Amiri" w:cs="Amiri" w:ascii="Amiri" w:hAnsi="Amiri"/>
          <w:color w:val="111111"/>
          <w:sz w:val="28"/>
          <w:szCs w:val="28"/>
          <w:rtl w:val="true"/>
          <w:lang w:bidi="ar-SA"/>
        </w:rPr>
        <w:t xml:space="preserve">... ) . </w:t>
      </w:r>
      <w:r>
        <w:rPr>
          <w:rStyle w:val="FootnoteAnchor"/>
          <w:rtl w:val="true"/>
        </w:rPr>
        <w:footnoteReference w:id="4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الاُختين أو الأخوات من الأبوين يرثن المال كلّه ، فلا كلام فيه ، فلهنّ الثلثان بالفرض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والثلث الآخر بالقرابة لآية اُولى الأرحام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الميت إذا خلّف إخوة وأخوات لأبويه قسّم المال بينهم للذكر مثل حظّ الاُنثيين ، 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إِخْوَةً رِجَالًا وَنِسَاءً فَلِلذَّكَرِ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والروايات الخاصة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الواحد أخاً أو اُختاً من الاُم له السدس بالفرض ، فممّا لا تأمل فيه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وأما أنّ الباقى يردّ عليهما بالقرابة فواضح لآية اُولى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الإثنين فصاعداً من الإخوة للاُم يرثون جميع المال ، فواضح ، إذ الثلث يرثونه بالفرض لقوله تعالى فى الآية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والباقى يرثونه بالقرابة لآية اُولى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نثبت لزوم تقسيم الباقى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أيضاً بعد الالتفات الى اختصاص الآية الكريمة الدالة على التسوية فى التقسيم بخصوص الثلث المدفوع بالفرض؟ يمكن اثبات ذلك إما ببيان أنّ الثلث إذا كان يقسّم بينهم بالسوية بنصّ الآية الكريمة فيلزم ذلك فى غير الثلث أيضاً لعدم احتمال الفرق ، أو ببيان أن التفاضل فى التقسيم هو الذى يحتاج الى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فوحدة سبب الاستحقاق تقتضى التساوى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ذلك فى حق الإخوة من الأبوين أو الأب لقوله تعالي فى آخر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إِخْوَةً رِجَالًا وَنِسَاءً فَلِلذَّكَرِ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وفى حق الأولاد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ولم‌يثبت فى حق الاخوة من الاُم فيلزم الحكم بالتساوي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كلالة الأب تقوم مقام كلالة الأبوين عند فقدها ولاترث معها ، فلم </w:t>
      </w:r>
    </w:p>
    <w:p>
      <w:pPr>
        <w:pStyle w:val="BookText"/>
        <w:rPr/>
      </w:pPr>
      <w:r>
        <w:rPr>
          <w:rFonts w:ascii="Amiri" w:hAnsi="Amiri" w:eastAsia="Amiri" w:cs="Amiri"/>
          <w:color w:val="111111"/>
          <w:sz w:val="28"/>
          <w:sz w:val="28"/>
          <w:szCs w:val="28"/>
          <w:rtl w:val="true"/>
          <w:lang w:bidi="ar-SA"/>
        </w:rPr>
        <w:t>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ذلك بأنّ أصل إرثها هو مقتضى آية اُولى الأرحام ، وأما أنّها لاترث إلاّ بعد فقد كلالة الأبوين فباعتبار أن ما كان واجداً لسببين هو أقرب ممّن كان واجداً لسبب واحد ، والأقرب مقدّم بمقتضى آية اُولى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خبر يزيد الكناسى عن أبيعبداللّه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وأخوك لأبيك واُمك أولى بك من أخيك لأبيك </w:t>
      </w:r>
      <w:r>
        <w:rPr>
          <w:rFonts w:eastAsia="IRNazanin" w:cs="IRNazanin"/>
          <w:color w:val="111111"/>
          <w:sz w:val="28"/>
          <w:szCs w:val="28"/>
          <w:rtl w:val="true"/>
          <w:lang w:bidi="fa-IR"/>
        </w:rPr>
        <w:t xml:space="preserve">... » </w:t>
      </w:r>
      <w:r>
        <w:rPr>
          <w:rStyle w:val="FootnoteAnchor"/>
          <w:rtl w:val="true"/>
        </w:rPr>
        <w:footnoteReference w:id="44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الجد أو الجدة إذا انفردا كان لهما جميع المال ، فينبغى أن يكون واضحاً لفرض عدم وجود مشارك لهما ليدفع له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اذا اجتمع الجد أو الجدة أو هما للاُم مع المماثل للأب كان لمن يتقرب بالاُم الثلث ولمن يتقرب بالأب الباقى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ما دلّ على إرث كل قريب نصيب من يتقرب به ، كصحيحة أبيأيوب الخزاز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فى كتاب على علیه السلام أنّ كلّ ذى رحم بمنزلة الرحم الذى يجربه إلاّ أن يكون وارث أقرب الى الميت منه فيحجبه </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لم‌يترك الميت إلاّ جدّه من قبل أبيه وجدّ أبيه وجدّته من قبل اُمّه وجدّة اُمه كان للجدة من قبل الاُم الثلث وسقط جدّة الاُم والباقى للجدّ من قبل الأب وسقط جدّ الأب </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الشيخ الى ابن فضّال وإن اشتمل على الزبيرى الذى لم‌يوّثق ، إلاّ أنّ الأمر فيه سهل بناءً على كفاية شيخوخة الإجازة فى اثباث الوثاقة</w:t>
      </w:r>
      <w:r>
        <w:rPr>
          <w:rFonts w:eastAsia="Amiri" w:cs="Amiri" w:ascii="Amiri" w:hAnsi="Amiri"/>
          <w:color w:val="111111"/>
          <w:sz w:val="28"/>
          <w:szCs w:val="28"/>
          <w:rtl w:val="true"/>
          <w:lang w:bidi="ar-SA"/>
        </w:rPr>
        <w:t xml:space="preserve">. </w:t>
      </w:r>
      <w:r>
        <w:rPr>
          <w:rStyle w:val="FootnoteAnchor"/>
          <w:rtl w:val="true"/>
        </w:rPr>
        <w:footnoteReference w:id="449"/>
      </w:r>
      <w:bookmarkStart w:id="206" w:name="pg19370_198218"/>
    </w:p>
    <w:p>
      <w:pPr>
        <w:pStyle w:val="BookText"/>
        <w:rPr/>
      </w:pPr>
      <w:bookmarkEnd w:id="20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المدفوع لجدود الاُم يقسّم بينهم بالسوية بخلاف المدفوع الى جدود الأب ، فإنّه يقسّم بالتفاوت فقد ذكر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أجد فيه خلافاً وإن وسوس فيه بعض متأخرى المتأخرين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ويمكن التمسّك لإثبات التقسيم بالتفاضل فى جدود الأب بصحيحة زرارة وبكير ومحمد والفضيل وبريد عن احدهما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الجدّ مع الإخوة من الأب يصير مثل واحد من الإخوة ما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ترك إخوة وأخوات لأب واُم أو لأب وجّدٍ فالجد أحد الإخوة والمال بينهم 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لايؤخذ عليَّ فيه قد سمعته من أبيه ومنه قبل ذلك ، وليس عندنا فى ذلك شك ولا اختلاف </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فإنها دلّت على أنّ الجدّ للأب بمنزلة الأخ للأب ، وبالتالى يفهم أنّ الجدة للأب هي بمنزلة الاُخت للأب ، وحيث يلزم التفاضل بين الأخ والاُخت للأب اذا اجتمعا ، فيلزم ذلك فى الجد والجدة للأب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التساوى فى جدود الاُم ، فيمكن الاستدلال لإثباته بأنّ التفاضل هو المحتاج الى اثبات ، وإلاّ فالمناسب هو التساوى كما تقدم بيانه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7390977_1280447820"/>
      <w:bookmarkStart w:id="208" w:name="_Toc65"/>
      <w:bookmarkEnd w:id="207"/>
      <w:r>
        <w:rPr>
          <w:rtl w:val="true"/>
        </w:rPr>
        <w:t>إرث الطبقة الثالثة</w:t>
      </w:r>
      <w:bookmarkEnd w:id="208"/>
    </w:p>
    <w:p>
      <w:pPr>
        <w:pStyle w:val="BookText"/>
        <w:rPr/>
      </w:pPr>
      <w:r>
        <w:rPr>
          <w:rFonts w:ascii="Amiri" w:hAnsi="Amiri" w:eastAsia="Amiri" w:cs="Amiri"/>
          <w:color w:val="111111"/>
          <w:sz w:val="28"/>
          <w:sz w:val="28"/>
          <w:szCs w:val="28"/>
          <w:rtl w:val="true"/>
          <w:lang w:bidi="ar-SA"/>
        </w:rPr>
        <w:t>يرث الأعمام او العمات والأخوال او الخالات الميت مع عدم وجود وارث من الطبقة السابقة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انفرد العم أو العمة او الخال او الخالة كان له جميع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اجتماع الخؤولة والعمومة يكون للاُولى الثلث وللثانية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اجتمع الأخوال والخالات اقتسموا حصتهم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اجتمع الأعمام والعمات اقتسموا حصتهم بالتفاضل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الأعمام او العمات والأخوال او الخالات يرثون الميت ، فأمر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أنّهم يرثون مع عدم وجود وارث من الطبقة السابقة ، فهو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بقاعدة الأقرب يمنع الأبعد ، وبصحيحة أبيبصير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الخال والخالة يرثان إذا لم‌يكن معهما أحد يرث غيرهم ، 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 </w:t>
      </w:r>
      <w:r>
        <w:rPr>
          <w:rStyle w:val="FootnoteAnchor"/>
          <w:rtl w:val="true"/>
        </w:rPr>
        <w:footnoteReference w:id="452"/>
      </w:r>
      <w:r>
        <w:rPr>
          <w:rFonts w:ascii="Amiri" w:hAnsi="Amiri" w:eastAsia="Amiri" w:cs="Amiri"/>
          <w:color w:val="111111"/>
          <w:sz w:val="28"/>
          <w:sz w:val="28"/>
          <w:szCs w:val="28"/>
          <w:rtl w:val="true"/>
          <w:lang w:bidi="ar-SA"/>
        </w:rPr>
        <w:t>وبضمّ عدم القول بالفصل وملاحظة التعليل يتعدّى الى العم والعمة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المنسوب الى الفضل بن شاذان قسمة المال نصفين اذا اجتمع الخال والجدة للاُم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اذا انفرد العم أو العمة أو الخال أو الخالة كان له جميع المال ، فأمر واضح ، إذ مع عدم وارث آخر يلزم إرثه للجميع وإلاّ يلزم خلف الفرض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عند اجتماع الخؤولة مع العمومة يكون للاُولى الثلث وللثانية الباقى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الخزاز المتقدمة فى الرقم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وصحيحة أبيبصير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شي‌ء من الفرائض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اُخرج لك كتاب </w:t>
      </w:r>
    </w:p>
    <w:p>
      <w:pPr>
        <w:pStyle w:val="BookText"/>
        <w:rPr/>
      </w:pPr>
      <w:r>
        <w:rPr>
          <w:rFonts w:ascii="IRNazanin" w:hAnsi="IRNazanin" w:eastAsia="IRNazanin"/>
          <w:color w:val="111111"/>
          <w:sz w:val="28"/>
          <w:sz w:val="28"/>
          <w:szCs w:val="28"/>
          <w:rtl w:val="true"/>
          <w:lang w:bidi="fa-IR"/>
        </w:rPr>
        <w:t xml:space="preserve">على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على علیه السلام لم‌يدرس؟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 على علیه السلام لايدرس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 فإذا كتاب جليل واذا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وترك عمه وخاله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 الثلثان وللخال الثلث </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الأخوال والخالات اذا اجتمعوا اقتسموا حصتهم بالسوية ، فلم يعرف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التفاضل هو الذى يحتاج الى اثبات كما تقدّم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 الأعمام والعمّات إذا اجتمعوا اقتسموا حصّتهم بالتفاضل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خبر سلمة بن محرز ،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فى عم 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 الثلثان وللعمة الثلث </w:t>
      </w:r>
      <w:r>
        <w:rPr>
          <w:rFonts w:eastAsia="IRNazanin" w:cs="IRNazanin"/>
          <w:color w:val="111111"/>
          <w:sz w:val="28"/>
          <w:szCs w:val="28"/>
          <w:rtl w:val="true"/>
          <w:lang w:bidi="fa-IR"/>
        </w:rPr>
        <w:t xml:space="preserve">». </w:t>
      </w:r>
      <w:r>
        <w:rPr>
          <w:rStyle w:val="FootnoteAnchor"/>
          <w:rtl w:val="true"/>
        </w:rPr>
        <w:footnoteReference w:id="455"/>
      </w:r>
      <w:r>
        <w:rPr>
          <w:rFonts w:ascii="Amiri" w:hAnsi="Amiri" w:eastAsia="Amiri" w:cs="Amiri"/>
          <w:color w:val="111111"/>
          <w:sz w:val="28"/>
          <w:sz w:val="28"/>
          <w:szCs w:val="28"/>
          <w:rtl w:val="true"/>
          <w:lang w:bidi="ar-SA"/>
        </w:rPr>
        <w:t>ولكنه ضعيف بسلمة لعدم ثبوت وثاقته إلاّ أن يبنى على كبرى الانجبار بعمل المشهور أو بوثاقة كل من روى عنه أحد الثلاثة</w:t>
      </w:r>
      <w:r>
        <w:rPr>
          <w:rFonts w:eastAsia="Amiri" w:cs="Amiri" w:ascii="Amiri" w:hAnsi="Amiri"/>
          <w:color w:val="111111"/>
          <w:sz w:val="28"/>
          <w:szCs w:val="28"/>
          <w:rtl w:val="true"/>
          <w:lang w:bidi="ar-SA"/>
        </w:rPr>
        <w:t xml:space="preserve">. </w:t>
      </w:r>
      <w:r>
        <w:rPr>
          <w:rStyle w:val="FootnoteAnchor"/>
          <w:rtl w:val="true"/>
        </w:rPr>
        <w:footnoteReference w:id="45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الخزاز المتقدّمة لايمكن التمسك بها فى المقام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الصلح</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9370_198222"/>
      <w:bookmarkStart w:id="210" w:name="pg19370_198222"/>
      <w:bookmarkEnd w:id="210"/>
    </w:p>
    <w:p>
      <w:pPr>
        <w:pStyle w:val="Heading2"/>
        <w:numPr>
          <w:ilvl w:val="1"/>
          <w:numId w:val="1"/>
        </w:numPr>
        <w:rPr/>
      </w:pPr>
      <w:bookmarkStart w:id="211" w:name="pg19370_198222"/>
      <w:bookmarkStart w:id="212" w:name="__RefHeading___Toc17390979_1280447820"/>
      <w:bookmarkStart w:id="213" w:name="_Toc66"/>
      <w:bookmarkEnd w:id="211"/>
      <w:bookmarkEnd w:id="212"/>
      <w:r>
        <w:rPr>
          <w:rtl w:val="true"/>
        </w:rPr>
        <w:t>كتاب الحدود</w:t>
      </w:r>
      <w:bookmarkEnd w:id="213"/>
    </w:p>
    <w:p>
      <w:pPr>
        <w:pStyle w:val="Heading3"/>
        <w:numPr>
          <w:ilvl w:val="2"/>
          <w:numId w:val="1"/>
        </w:numPr>
        <w:rPr/>
      </w:pPr>
      <w:bookmarkStart w:id="214" w:name="__RefHeading___Toc17390981_1280447820"/>
      <w:bookmarkStart w:id="215" w:name="_Toc67"/>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موجبات الحدِّ</w:t>
      </w:r>
    </w:p>
    <w:p>
      <w:pPr>
        <w:pStyle w:val="BookText"/>
        <w:rPr/>
      </w:pPr>
      <w:r>
        <w:rPr>
          <w:rFonts w:ascii="Amiri" w:hAnsi="Amiri" w:eastAsia="Amiri" w:cs="Amiri"/>
          <w:color w:val="111111"/>
          <w:sz w:val="28"/>
          <w:sz w:val="28"/>
          <w:szCs w:val="28"/>
          <w:rtl w:val="true"/>
          <w:lang w:bidi="ar-SA"/>
        </w:rPr>
        <w:t>التعزير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اقامة الحدود فى عصر الغيبة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9370_198224"/>
      <w:bookmarkStart w:id="217" w:name="pg19370_198224"/>
      <w:bookmarkEnd w:id="217"/>
    </w:p>
    <w:p>
      <w:pPr>
        <w:pStyle w:val="Heading3"/>
        <w:numPr>
          <w:ilvl w:val="2"/>
          <w:numId w:val="1"/>
        </w:numPr>
        <w:rPr/>
      </w:pPr>
      <w:bookmarkStart w:id="218" w:name="pg19370_198224"/>
      <w:bookmarkStart w:id="219" w:name="__RefHeading___Toc17390983_1280447820"/>
      <w:bookmarkStart w:id="220" w:name="_Toc68"/>
      <w:bookmarkEnd w:id="218"/>
      <w:bookmarkEnd w:id="219"/>
      <w:r>
        <w:rPr>
          <w:rtl w:val="true"/>
        </w:rPr>
        <w:t>موجبات الحدّ</w:t>
      </w:r>
      <w:bookmarkEnd w:id="220"/>
    </w:p>
    <w:p>
      <w:pPr>
        <w:pStyle w:val="Heading4"/>
        <w:numPr>
          <w:ilvl w:val="3"/>
          <w:numId w:val="1"/>
        </w:numPr>
        <w:rPr/>
      </w:pPr>
      <w:bookmarkStart w:id="221" w:name="__RefHeading___Toc17390985_1280447820"/>
      <w:bookmarkStart w:id="222" w:name="_Toc69"/>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العقوبة الشرعية تارةً تكون حدّاً واُخرى تعزيراً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الحدُّ عند ارتكاب محرّمات معيّنة نذكر من بينها </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7390987_1280447820"/>
      <w:bookmarkStart w:id="224" w:name="_Toc70"/>
      <w:bookmarkEnd w:id="223"/>
      <w:r>
        <w:rPr>
          <w:rtl w:val="true"/>
        </w:rPr>
        <w:t xml:space="preserve">الأول </w:t>
      </w:r>
      <w:r>
        <w:rPr>
          <w:rtl w:val="true"/>
        </w:rPr>
        <w:t xml:space="preserve">: </w:t>
      </w:r>
      <w:r>
        <w:rPr>
          <w:rtl w:val="true"/>
        </w:rPr>
        <w:t>الزنا</w:t>
      </w:r>
      <w:bookmarkEnd w:id="224"/>
    </w:p>
    <w:p>
      <w:pPr>
        <w:pStyle w:val="Heading5"/>
        <w:numPr>
          <w:ilvl w:val="4"/>
          <w:numId w:val="1"/>
        </w:numPr>
        <w:rPr/>
      </w:pPr>
      <w:bookmarkStart w:id="225" w:name="__RefHeading___Toc17390989_1280447820"/>
      <w:bookmarkStart w:id="226" w:name="_Toc71"/>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يتحقق الزنا بايلاج مقدار الحشفة فى فرج امرأة من دون عقد ولا شبهة ولا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تارةً وذلك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باحدى المحارم النسبية كالاُم 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تعميم الحكم للزنا بالمحرمات السببية أو بالرضاع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الذّمّى بالمسلمة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بالأجنبية عن اكراه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الزانى ثلاثاً ، فإنّه إذا جلد ثلاث مرات قتل فى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والجلد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الزانى أو الزانية إذا لم‌يكونا محصنين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الزانية ولو كانت محصنة إذا زنى بها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والرجم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فى الزانى المحصن والزانية المحصنة اذا كان الزانى بها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والجلد والرجم معاً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فى الشيخ الزانى أو الشيخة المزنى بها إذا كانا محصنين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وخامسة يلزم الجلد وجزُّ</w:t>
      </w:r>
      <w:r>
        <w:rPr>
          <w:rStyle w:val="FootnoteAnchor"/>
          <w:rtl w:val="true"/>
        </w:rPr>
        <w:footnoteReference w:id="457"/>
      </w:r>
      <w:r>
        <w:rPr>
          <w:rFonts w:ascii="Amiri" w:hAnsi="Amiri" w:eastAsia="Amiri" w:cs="Amiri"/>
          <w:color w:val="111111"/>
          <w:sz w:val="28"/>
          <w:sz w:val="28"/>
          <w:szCs w:val="28"/>
          <w:rtl w:val="true"/>
          <w:lang w:bidi="ar-SA"/>
        </w:rPr>
        <w:t>شعر الرأس والنفى من البلد لفترة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فى الرجل البكر</w:t>
      </w:r>
      <w:r>
        <w:rPr>
          <w:rStyle w:val="FootnoteAnchor"/>
          <w:rtl w:val="true"/>
        </w:rPr>
        <w:footnoteReference w:id="458"/>
      </w:r>
      <w:r>
        <w:rPr>
          <w:rFonts w:ascii="Amiri" w:hAnsi="Amiri" w:eastAsia="Amiri" w:cs="Amiri"/>
          <w:color w:val="111111"/>
          <w:sz w:val="28"/>
          <w:sz w:val="28"/>
          <w:szCs w:val="28"/>
          <w:rtl w:val="true"/>
          <w:lang w:bidi="ar-SA"/>
        </w:rPr>
        <w:t>اذا 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والاحصان فى الرجل لايتحقق إلاّ مع حرّيته وكونه ذا زوجة دائمة قد دخل بها ، وهو متمكن من وطئها متى شاء ، ولايمتنع عليه ذلك لغيبة أو حبس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والإحصان فى المرأة لايتحقق إلاّ مع حرّيتها وكونها ذا زوج دائم قد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ولايثبت الحدُّ بالزنا إلاّ مع البلوغ والعقل والاختيار والعلم بالحكم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ولايثبت الزنا فى حق شخص إلاّ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اقراره أربع مرات ، أو قيام البينة عليه ، التي هى عبارة عن شهادة أربعة رجال عدول ، أو ثلاثة وامرأتين بل ويثبت بشهادة رجلين وأربع نساء ، غايته يثبت بذلك الجلد دون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شهادة الشهود أن تكون عن حسٍّ ورؤية مع وحدة المشهود به زماناً ومكاناً ، ولو شهدوا من دون ذلك حدّوا هم دون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يلزم أداء الشهود للشهادة سوية ، فلو شهد بعضهم حدّوا حدَّ القذف ولم‌ينتظر اتمام العدد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الاسراع فى اقامة الحدود بعد أداء الشهادة ولايجوز تأجيلها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ويدفن الرجل إذا اُريد رجمه الى حقويه</w:t>
      </w:r>
      <w:r>
        <w:rPr>
          <w:rStyle w:val="FootnoteAnchor"/>
          <w:rtl w:val="true"/>
        </w:rPr>
        <w:footnoteReference w:id="459"/>
      </w:r>
      <w:r>
        <w:rPr>
          <w:rFonts w:ascii="Amiri" w:hAnsi="Amiri" w:eastAsia="Amiri" w:cs="Amiri"/>
          <w:color w:val="111111"/>
          <w:sz w:val="28"/>
          <w:sz w:val="28"/>
          <w:szCs w:val="28"/>
          <w:rtl w:val="true"/>
          <w:lang w:bidi="ar-SA"/>
        </w:rPr>
        <w:t>والمرأة الى موضع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الإمام بالرجم إن كان الزنا قد ثبت بالاقرار ويبدأ الشهود بذلك إن كان قد ثبت بواسط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العقوبة الشرعية تكون تارةً حدّاً واُخرى تعزيراً ،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لأنّ‌الشرع إما أن يكون قد حدّد مقدار العقوبة على مخالفة التكليف الشرعى أو يكون قد اُوكل أمر ذلك الى نظر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الحدُّ والثانى هو التعزير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الزنا موجب للحدِّ ، فهو من ضروريات الدين ، وصريح الكتاب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ناطق بذلك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الزنا يتحقق بايلاج مقدار الحشفة ، فهو المعروف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عليه صحيحة زرارة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عمر بن الخطاب أصحاب النبى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فى الرجل يأتى أهله فيخالطها ولاينزل؟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التقى الختانان فقد وجب عليه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أبا الحسن؟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عليه الحدَّ والرجم ولاتوجبون عليه صاعاً من الماء؟ اذا التقى الختانان فقد وجب عليه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المهاجرون ودعوا ما قالت الأنصار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وصحيحة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متى يجب الغسل على الرجل والمرأة؟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أدخله فقد </w:t>
      </w:r>
      <w:bookmarkStart w:id="227" w:name="pg19370_198227"/>
    </w:p>
    <w:p>
      <w:pPr>
        <w:pStyle w:val="BookText"/>
        <w:rPr/>
      </w:pPr>
      <w:bookmarkEnd w:id="227"/>
      <w:r>
        <w:rPr>
          <w:rFonts w:ascii="IRNazanin" w:hAnsi="IRNazanin" w:eastAsia="IRNazanin"/>
          <w:color w:val="111111"/>
          <w:sz w:val="28"/>
          <w:sz w:val="28"/>
          <w:szCs w:val="28"/>
          <w:rtl w:val="true"/>
          <w:lang w:bidi="fa-IR"/>
        </w:rPr>
        <w:t xml:space="preserve">وجب الغسل والمهر والرجم </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وغيرهما فإنّها دلّت على أن موضوع وجوب الغسل والمهر والحد شيء واحد وهو التقاء الختانين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بادخال مقدار الحشفة ، كما هو واضح ، </w:t>
      </w:r>
      <w:r>
        <w:rPr>
          <w:rStyle w:val="FootnoteAnchor"/>
          <w:rtl w:val="true"/>
        </w:rPr>
        <w:footnoteReference w:id="463"/>
      </w:r>
      <w:r>
        <w:rPr>
          <w:rFonts w:ascii="IRNazanin" w:hAnsi="IRNazanin" w:eastAsia="IRNazanin"/>
          <w:color w:val="111111"/>
          <w:sz w:val="28"/>
          <w:sz w:val="28"/>
          <w:szCs w:val="28"/>
          <w:rtl w:val="true"/>
          <w:lang w:bidi="fa-IR"/>
        </w:rPr>
        <w:t xml:space="preserve">وقد دلّت عليه صحيحة محمد بن اسماعيل بن بزيع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الرجل يجامع المرأة قريباً من الفرج فلاينزلان ، متى يجب الغسل؟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التقى الختانان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الختانين هو غيبوبة الحشفة؟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228" w:name="__RefHeading___Toc17390991_1280447820"/>
      <w:bookmarkStart w:id="229" w:name="_Toc72"/>
      <w:bookmarkEnd w:id="228"/>
      <w:r>
        <w:rPr>
          <w:rtl w:val="true"/>
        </w:rPr>
        <w:t>حدُّ الزنا</w:t>
      </w:r>
      <w:bookmarkEnd w:id="2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ثبوت القتل فى الزنا بالمحارم النسبية ، فلم يعرف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أبيأيوب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ابن‌بكير بن اعين يروى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زني بذات محرم حتى يواقعها ، ضرب ضربة بالسيف ، أخذت منه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تابعة ضربت ضربة بالسيف ، أخذت منها ما أخذت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صحيحة جميل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يضرب الذى يأتى ذات محرم بالسيف؟ أين هذه الضربة؟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عنقه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رقبته </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يشكل بعدم دلالتهما على لزوم تحقق القتل بالضربة ، بل هما تدلان علي اعتبار الضرب بالسيف بأيّ مقدار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بأنّ المفهوم عرفاً من مثل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القتل دون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منه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لايراد به الإشارة الي عدم لزوم تحقق القتل ، بل الى عدم لزوم التحفظ فى مقام ايقاع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المسألة لم‌يعرف فيها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 ورد فى رواية عامر بن السمط عن على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يقع علي اُخته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ضربة بالسيف بلغت منه ما بلغت ، فإن عاش خلّد فى السجن حتي يموت </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رواية محمد بن عبداللّه بن مهران عمّن ذكره عن أبيعبداللّه علیه السلام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ولكنهما لضعف سندهما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بعامر لعدم ثبوت وثاقته ، والثانية بالارسال وبمحمد بن عبداللّه الذى لم‌تثبت وثاقته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لاتصلحان للمعارضة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موثقة أبيبصير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زنى الرجل بذات محرم حد حدَّ الزانى إلاّ أنّه أعظم ذنباً </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دلّت على عدم الخصوصية للزنا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مضمونها مهجور بين الأصحاب ، فلاتصلح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الروايات اعتبار تحقق القتل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الرقبة وكونه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بالتعدّى الى القتل بغير ذلك يتوقف على فهم عدم الخصوصية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الخلاف فى تعميم الحكم للزنا بالمحرمات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باُم الزوجة أو </w:t>
      </w:r>
    </w:p>
    <w:p>
      <w:pPr>
        <w:pStyle w:val="BookText"/>
        <w:rPr/>
      </w:pPr>
      <w:r>
        <w:rPr>
          <w:rFonts w:ascii="Amiri" w:hAnsi="Amiri" w:eastAsia="Amiri" w:cs="Amiri"/>
          <w:color w:val="111111"/>
          <w:sz w:val="28"/>
          <w:sz w:val="28"/>
          <w:szCs w:val="28"/>
          <w:rtl w:val="true"/>
          <w:lang w:bidi="ar-SA"/>
        </w:rPr>
        <w:t xml:space="preserve">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والمحرمات من الرضاع فينشأ من دعوى اطلاق النصوص فيحكم بالتعميم ، ومن دعوى الإجماع أو انصرافها عن مثل ذلك فيحكم بالاختصاص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ثبوت القتل فى زنا الذمى بالمسلمة ، فلم يعرف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حنان بن سدير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يهودى فجر بمسلمة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والمعروف فى كلمات الأصحاب تخصيص الحكم بالذمي ، إلاّ أنّه ينبغى التعدّي الى غيره لإطلاق الصحيحة ، بل قد يدّعى الجزم بعدم الخصوصية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ثبوت القتل فى الزنا بالمرأة عن اكراه لها ، فلم يعرف فيه خلاف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بريد العجلي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جعفر علیه السلام عن رجل اغتصب امرأة فرجها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محصناً كان أو غير محصن </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أبيبصير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كابر الرجل المرأة على نفسها ضرب ضربة بالسيف مات منها أو 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فلا تصلح للمعارضة لهجران الأصحاب لمضمونها ، بل لم‌يفرض فيها تحقق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القتل فى المرة الرابعة اذا فرض تكرر الزنا والجلد ثلاث مرات ، فهو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موثقة أبيبصير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الزانى اذا زنى يجلد ثلاثاً ويقتل فى الرابعة ، يعنى جلد ثلاث مرات </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فى المرة الثالثة كسائر أصحاب الكبائر ، استناداً الى صحيحة </w:t>
      </w:r>
    </w:p>
    <w:p>
      <w:pPr>
        <w:pStyle w:val="BookText"/>
        <w:rPr/>
      </w:pPr>
      <w:r>
        <w:rPr>
          <w:rFonts w:ascii="IRNazanin" w:hAnsi="IRNazanin" w:eastAsia="IRNazanin"/>
          <w:color w:val="111111"/>
          <w:sz w:val="28"/>
          <w:sz w:val="28"/>
          <w:szCs w:val="28"/>
          <w:rtl w:val="true"/>
          <w:lang w:bidi="fa-IR"/>
        </w:rPr>
        <w:t xml:space="preserve">يونس بن عبدالرحمن عن أبيالحسن الماضى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الكبائر كلها اذا اُقيم عليهم الحد مرتين قتلوا فى الثالثة </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الحرّ عن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فتقيد بغير الزانى لأجل الموثقة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الجلد ثابت فى حق الزانى أو الزانية اذا لم‌يكونا محصنين فهو مما لا خلاف فيه للآية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 والروايات الشريفة ، كموثقة سماعة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والحرة إذا زنيا جلد كلّ واحد منهما مائة جلدة ، فأما المحصن والمحصنة فعليهما الرجم </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المرأة إذا زنى بها صبى تجلد ولاترجم حتى ولو كانت محصنة ، فلصحيحة أبيبصير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صغير لم‌يدرك ابن عشر سنين زني بامرأة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يجلد الغلام دون الحد وتجلد المرأة الحدَّ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محصنة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لاترجم لأنّ الذى نكحها ليس بمدرك ، ولو كان مدركاً رجمت </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ثبوت الرجم فى حق الزانى والزانية المحصنين ، فهو ممّا لا خلاف فيه للروايات المتعددة ، كموثقة سماعة المتقدمة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فى غير 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هما فاللازم فى حقهما الجمع بين الجلد والرجم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بلزوم ذلك فى حق الشابين أيضاً ، واختاره المحقق الحلي</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وأما تقييد ثبوت الرجم فى حق الزانية المحصنة بما اذا كان الزانى بها بالغاً ، 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فى حق الزانى ذلك أيضاً فلا يثبت فى حقه الرجم اذا كانت المزنى بها مجنونة أو صبية ، بل يثبت الجلد واختاره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ثبوت الجلد والرجم معاً فى حق الشيخ والشيخة المحصنين ، فلم يعرف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الشيخ والشيخة جلد مائة والرجم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والبكر والبكرة جلد مائة ونفى سنة </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والبكر والبكرة هما من تزوج ولم‏يدخل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عنهما فى بعض الروايات بمن املك ولم‏يدخل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واطلاقها وإن اقتضى ثبوت الجمع فى حق غير المحصن أيضاً إلاّ أنّه قد يقال بلزوم تقييده بالاحصان ، لصحيحة محمد بن قيس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 أميرالمؤمنين علیه السلام فى الشيخ والشيخة أن يجلدا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للمحصن الرجم وقضي فى البكر والبكرة اذا زنيا جلد مائة ونفى سنة فى غير مصرهما ، وهما اللذان قد أملكا ولم‌يدخل بها </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فإنّ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للمحصن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الرجم خاص بالمحصن ولايثبت فى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تدلّ الفقرة المذكورة على ثبوت الرجم وحده ومن دون جلد فى حق 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صحيحة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هى ساكتة من هذه الناحية؟ لا يبعد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فلاتعارض صحيحة الحلبى الدالة على إضافة الجلد الى الرجم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ثبوت الجلد والجز والنفى من البلد فى حق البكر ، فتدل عليه صحيحة </w:t>
      </w:r>
      <w:bookmarkStart w:id="230" w:name="pg19370_198232"/>
    </w:p>
    <w:p>
      <w:pPr>
        <w:pStyle w:val="BookText"/>
        <w:rPr/>
      </w:pPr>
      <w:bookmarkEnd w:id="230"/>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رجل أباعبداللّه علیه السلام وأنا أسمع عن البكر يفجر وقد تزوّج ففجر قبل أن يدخل بأهله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مائة ويجزّ شعره وينفى من المصر حولاً ويفرّق بينه وبين أهله </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هذا وقد ورد فى صحيحة على بن جعفر عن أخيه موسى بن جعفر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تزوّج امرأة ولم‌يدخل بها فزنى ما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يجلد الحد ، ويحلق رأسه ، ويفرّق بينه وبين أهله وينفى سنة </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التعبير بالحلق بدل الجزّ ، والجمع يقتضى الحمل على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قيل أنّ الجلد والجزّ والنفى لايختص بالبكر ، بل يعم كلّ زانٍ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اختار ذلك المحقق قدس سره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وأما الحكم بالتفريق ، فلابدَّ من حمله على الأولوية دون الكناية عن الانفساخ وتحقق الحرمة المؤبدة ، لعدم احتمال ذلك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بجزّ الشعر أو حلقه يختص بالرجل ولايعمُّ المرأة من دون نقل خلاف فى ذلك ، ويكفى لإثباته القصور فى المقتضي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الحكم بالتغريب عن البلاد يعمّها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استشكل فيه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صحيح محمد بن قيس والحلبى المتقدمين فى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7390993_1280447820"/>
      <w:bookmarkStart w:id="232" w:name="_Toc73"/>
      <w:bookmarkEnd w:id="231"/>
      <w:r>
        <w:rPr>
          <w:rtl w:val="true"/>
        </w:rPr>
        <w:t>الإحصان</w:t>
      </w:r>
      <w:bookmarkEnd w:id="23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الإحصان فى الرجل لايتحقق إلاّ مع حريته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تدلّ عليه صحيحة محمد بن قيس ،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أميرالمؤمنين علیه السلام في العبيد إذا زنى أحدهم أن يجلد خمسين جلدة وإن كان مسلماً أو كافراً أو نصرانياً ، ولايرجم ، ولاينفي </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 يعتبر فى إحصان الرجل أيضاً كونه ذا زوجة دائمة قد دخل بها وهو يتمكن من وطئها متى شاء ، فتدل عليه صحيحة عمر بن يزيد عن أبيعبداللّه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لايرجم الغائب عن أهله ولا المملك الذى لم‌يبنِ بأهله ولا صاحب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فإنّ الفقرة الثالثة تدلّ على اعتبار دوام الزوجية والثانية على اعتبار الدخول بها والاُولى على اعتبار التمكن من وطئها متى ما شاء ، إذ الغيبة تلحظ عرفاً بنحو الطريقية الى عدم التمكن من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وبقطع النظر عن ذلك يمكن استفادة المطلوب بوضوح من صحيحة اسماعيل بن جابر عن أبيجعفر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المحصن رحمك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فرج يغدو عليه ويروح فهو محصن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وصحيحة حريز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المحصن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يزنى وعنده ما يغنيه </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ورد فى صحيحة عمر بن يزيد السابقة ذيلٌ بالشكل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أي حد سفره لايكون محصناً؟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قصّر وأفطر فليس محصن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وهو يدل على أن الإحصان ينتفى بالسفر الموجب لقصر الصلاة والافطار فى الصوم ، وليس بكلّ </w:t>
      </w:r>
    </w:p>
    <w:p>
      <w:pPr>
        <w:pStyle w:val="BookText"/>
        <w:rPr/>
      </w:pPr>
      <w:r>
        <w:rPr>
          <w:rFonts w:ascii="Amiri" w:hAnsi="Amiri" w:eastAsia="Amiri" w:cs="Amiri"/>
          <w:color w:val="111111"/>
          <w:sz w:val="28"/>
          <w:sz w:val="28"/>
          <w:szCs w:val="28"/>
          <w:rtl w:val="true"/>
          <w:lang w:bidi="ar-SA"/>
        </w:rPr>
        <w:t>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يلزم تأويله أو طرحه لعدم قائل به من الأصحاب ، ولذا قال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مهجورة دون مسافة التقصير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المرأة لايتحقق إحصانها إلاّ مع حريتها ، فأمر لا خلاف فيه ، ويمكن استفادته من صحيحة محمد بن قيس المتقدمة ، 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منها العموم وعدم الخصوصية للذكورة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أن يكون لها زوج ، فتدلّ عليه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المغيّب والمغيّبة ليس عليهما رجم إلاّ أن يكون الرجل مع المرأة والمرأة مع الرجل </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أن يكون الزوج قد دخل بها ، فيمكن استفادته من صحيحة محمد بن مسلم الاُخرى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إحصانهنّ أن يدخل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لم‌يدخل بهنّ أما عليهنّ 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دوام الزوجية ، فأمر متسالم عليه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بموثقة اسحاق بن عمار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عنده امرأة متعة أتحصنه؟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على الشيء الدائم عنده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بتقريب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الإحصان لايكون إلاّ فى الشيء الدائم من دون فرق بين إحصان الرجل وإحصان المرأة</w:t>
      </w:r>
      <w:r>
        <w:rPr>
          <w:rFonts w:eastAsia="Amiri" w:cs="Amiri" w:ascii="Amiri" w:hAnsi="Amiri"/>
          <w:color w:val="111111"/>
          <w:sz w:val="28"/>
          <w:szCs w:val="28"/>
          <w:rtl w:val="true"/>
          <w:lang w:bidi="ar-SA"/>
        </w:rPr>
        <w:t xml:space="preserve">. </w:t>
      </w:r>
      <w:bookmarkStart w:id="233" w:name="pg19370_198235"/>
    </w:p>
    <w:p>
      <w:pPr>
        <w:pStyle w:val="Heading5"/>
        <w:numPr>
          <w:ilvl w:val="4"/>
          <w:numId w:val="1"/>
        </w:numPr>
        <w:rPr/>
      </w:pPr>
      <w:bookmarkStart w:id="234" w:name="__RefHeading___Toc17390995_1280447820"/>
      <w:bookmarkStart w:id="235" w:name="_Toc74"/>
      <w:bookmarkEnd w:id="233"/>
      <w:bookmarkEnd w:id="234"/>
      <w:r>
        <w:rPr>
          <w:rtl w:val="true"/>
        </w:rPr>
        <w:t>شرائط ثبوت حدِّ الزنا</w:t>
      </w:r>
      <w:bookmarkEnd w:id="23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والعقل فى ثبوت حد الزنا ، 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لإثباته ما تقدّم فى أوائل الكتاب من شرطية كلّ تكليف بالبلوغ والعقل ، وأنّ الفاقد لذلك قد رفع عنه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 قد يقال بلزوم تأديب الصبى من باب التعزير حسب ما يراه الحاكم مصلحةً لدلالة بعض النصوص على ذلك ، ففى رواية بريد الكناسى عن أبيجعفر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اذا زوّجه أبوه ودخل بأهله وهو غير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أتقام عليه الحدود على تلك الحال؟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الحدود الكاملة التى يؤخذ بها الرجال فلا ، ولكن يجلد فى الحدود كلّها على مبلغ سنّه </w:t>
      </w:r>
      <w:r>
        <w:rPr>
          <w:rFonts w:eastAsia="IRNazanin" w:cs="IRNazanin"/>
          <w:color w:val="111111"/>
          <w:sz w:val="28"/>
          <w:szCs w:val="28"/>
          <w:rtl w:val="true"/>
          <w:lang w:bidi="fa-IR"/>
        </w:rPr>
        <w:t xml:space="preserve">... ».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وأما اعتبار الاختيار ، فأمر متسالم عليه أيضاً ، ويكفى لإثباته حديث الرفع</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العلم بالحكم والموضوع ، فلأنّه بدونه يكون الوط‌ء بالشبهة ولايصدق عنوان الزنا ليثبت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الى دلالة جملة من النصوص عليه ، كصحيحة عبدالصمد بن بشير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أعجمياً دخل المسجد يلبى وعليه قميصه ، فقال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كنت رجلاً أعمل واجتمعت لى نفقة ، فحيث أحج لم أسأل أحداً عن شيء وأفتونى هؤلاء أن أشقّ قميصى وأنزعه من قبل رجلى وأنّ حجى فاسد وأنّ عليَّ بدنة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رجل ركب أمراً بجهالة فلا شيء عليه </w:t>
      </w:r>
      <w:r>
        <w:rPr>
          <w:rFonts w:eastAsia="IRNazanin" w:cs="IRNazanin"/>
          <w:color w:val="111111"/>
          <w:sz w:val="28"/>
          <w:szCs w:val="28"/>
          <w:rtl w:val="true"/>
          <w:lang w:bidi="fa-IR"/>
        </w:rPr>
        <w:t xml:space="preserve">... » </w:t>
      </w:r>
      <w:r>
        <w:rPr>
          <w:rStyle w:val="FootnoteAnchor"/>
          <w:rtl w:val="true"/>
        </w:rPr>
        <w:footnoteReference w:id="496"/>
      </w:r>
      <w:r>
        <w:rPr>
          <w:rFonts w:ascii="Amiri" w:hAnsi="Amiri" w:eastAsia="Amiri" w:cs="Amiri"/>
          <w:color w:val="111111"/>
          <w:sz w:val="28"/>
          <w:sz w:val="28"/>
          <w:szCs w:val="28"/>
          <w:rtl w:val="true"/>
          <w:lang w:bidi="ar-SA"/>
        </w:rPr>
        <w:t xml:space="preserve">، فإنّها بإطلاقهاتشمل‌المقام ، ومجرد ورودها فى باب الحج لايمنع من </w:t>
      </w:r>
      <w:bookmarkStart w:id="236" w:name="pg19370_198236"/>
    </w:p>
    <w:p>
      <w:pPr>
        <w:pStyle w:val="BookText"/>
        <w:rPr/>
      </w:pPr>
      <w:bookmarkEnd w:id="236"/>
      <w:r>
        <w:rPr>
          <w:rFonts w:ascii="Amiri" w:hAnsi="Amiri" w:eastAsia="Amiri" w:cs="Amiri"/>
          <w:color w:val="111111"/>
          <w:sz w:val="28"/>
          <w:sz w:val="28"/>
          <w:szCs w:val="28"/>
          <w:rtl w:val="true"/>
          <w:lang w:bidi="ar-SA"/>
        </w:rPr>
        <w:t>انعقاد الإطلاق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ادرأوا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فقد رواه الشيخ الصدوق بشكل مرسل ، ولايمكن الإستناد اليه إلاّ بناءً على حجية مراسيل الشيخ الصدوق بشكل مطلق أو خصوص ما كان الإرسال فيها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بناءً على تمامية كبرى الانجبار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ودعوى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الدال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تدرأ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w:t>
      </w:r>
      <w:r>
        <w:rPr>
          <w:rStyle w:val="FootnoteAnchor"/>
          <w:rtl w:val="true"/>
        </w:rPr>
        <w:footnoteReference w:id="499"/>
      </w:r>
      <w:r>
        <w:rPr>
          <w:rFonts w:ascii="IRNazanin" w:hAnsi="IRNazanin" w:eastAsia="IRNazanin"/>
          <w:color w:val="111111"/>
          <w:sz w:val="28"/>
          <w:sz w:val="28"/>
          <w:szCs w:val="28"/>
          <w:rtl w:val="true"/>
          <w:lang w:bidi="fa-IR"/>
        </w:rPr>
        <w:t>لانعرف وجهها</w:t>
      </w:r>
      <w:r>
        <w:rPr>
          <w:rFonts w:eastAsia="IRNazanin" w:cs="IRNazanin"/>
          <w:color w:val="111111"/>
          <w:sz w:val="28"/>
          <w:szCs w:val="28"/>
          <w:rtl w:val="true"/>
          <w:lang w:bidi="fa-IR"/>
        </w:rPr>
        <w:t>.</w:t>
      </w:r>
    </w:p>
    <w:p>
      <w:pPr>
        <w:pStyle w:val="Heading5"/>
        <w:numPr>
          <w:ilvl w:val="4"/>
          <w:numId w:val="1"/>
        </w:numPr>
        <w:rPr/>
      </w:pPr>
      <w:bookmarkStart w:id="237" w:name="__RefHeading___Toc17390997_1280447820"/>
      <w:bookmarkStart w:id="238" w:name="_Toc75"/>
      <w:bookmarkEnd w:id="237"/>
      <w:r>
        <w:rPr>
          <w:rtl w:val="true"/>
        </w:rPr>
        <w:t>الوسائل المثبتة للزنا</w:t>
      </w:r>
      <w:bookmarkEnd w:id="23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الزنا لايثبت إلاّ بالاقرار أربع مرات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زانية أنا زنيت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حدٌ واحد لقذفه إيّاها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زنيت بك فلا حدَّ فيه إلاّ أن يشهد علي نفسه أربع شهادات بالزنا عندالامام </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بإطلاقها تشمل الجلد أيضاً ولاتختص بالرجم وإن كانت بعض الروايات الاُخرى خاصة به ، فلاحظ</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البيّنة التى يثبت بها الزنا هى ما تقدم ، فقد اتضح وجهه فى باب الشهادات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الحقوق فى الاثبات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يعتبر فى الشهادة أن تكون عن حس ورؤية ، فهو ممّا تسالم عليه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الرجم أن يشهد أربع أنهم رأوه يدخل ويخرج </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يلزم رؤية نفس الإدخال والإخراج والشهادة بأنهم رأوا ذلك كالميل في المكحلة؟ يظهر من الأصحاب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استندوا الى موثقة أبيبصير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لايرجم الرجل والمرأة حتى يشهد عليهما أربعة شهداء على الجماع والايلاج والإدخال كالميل فى المكحلة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يعتبر وحدة المشهود به زماناً ومكاناً ، فلأنّه بدونه لايتحقق قيام البيّنة على الزنا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الشهود يحدّون مع عدم وحدة المشهود به ، فلأنّه إذا لم‌يثبت الزنا بشهادتهم تكون شهادتهم مصداقاً للقذف بالزنا ، فيلزم حدّهم حدَّ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 اذا لم‌يؤدِّ الشهود شهادتهم سوية يحدُّ من سبق بشهادته حدَّ القذف ، فلموثقة السكونى عن جعفر عن أبيه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ثلاثة شهدوا على رجل بالزنا ،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الرابع؟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يجيء ،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حدّوهم فليس في الحدود نظرة ساعة </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التعجيل فى اقامة الحدود من دون تأجيل ، فهو ممّا لا خلاف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موثقة السكونى السابقة</w:t>
      </w:r>
      <w:r>
        <w:rPr>
          <w:rFonts w:eastAsia="Amiri" w:cs="Amiri" w:ascii="Amiri" w:hAnsi="Amiri"/>
          <w:color w:val="111111"/>
          <w:sz w:val="28"/>
          <w:szCs w:val="28"/>
          <w:rtl w:val="true"/>
          <w:lang w:bidi="ar-SA"/>
        </w:rPr>
        <w:t xml:space="preserve">. </w:t>
      </w:r>
      <w:bookmarkStart w:id="239" w:name="pg19370_198238"/>
    </w:p>
    <w:p>
      <w:pPr>
        <w:pStyle w:val="Heading5"/>
        <w:numPr>
          <w:ilvl w:val="4"/>
          <w:numId w:val="1"/>
        </w:numPr>
        <w:rPr/>
      </w:pPr>
      <w:bookmarkStart w:id="240" w:name="__RefHeading___Toc17390999_1280447820"/>
      <w:bookmarkStart w:id="241" w:name="_Toc76"/>
      <w:bookmarkEnd w:id="239"/>
      <w:bookmarkEnd w:id="240"/>
      <w:r>
        <w:rPr>
          <w:rtl w:val="true"/>
        </w:rPr>
        <w:t>كيفية اقامة الحدِّ</w:t>
      </w:r>
      <w:bookmarkEnd w:id="24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الرجل يدفن الى حقويه والمرأة الى صدرها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موثقة سماعة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تدفن المرأة الى وسطها ثم يرمى الإمام ويرمى الناس بأحجار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يدفن الرجل إذا رجم إلاّ الى حقويه </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ولايبعد كون المقصود من الوسط موضع الثديين بقرينة صحيحة أبيمريم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أتت امرأة أميرالمؤمنين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فجرت ، فأعرض بوجهه عنها ، فتحولت حتى استقبلت وجهه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 قد فجرت ، فاعرض عنها ، ثم استقبلته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فجرت ، فأعرض عنها ، ثم استقبلته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فجرت ، فأمر بها فحبست وكانت حاملاً فتربِص بها حتى وضعت ، ثم أمر بها بعد ذلك فحفر لها حفيرة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وأدخلها الحفيرة الى الحقو وموضع الثديين </w:t>
      </w:r>
      <w:r>
        <w:rPr>
          <w:rFonts w:eastAsia="IRNazanin" w:cs="IRNazanin"/>
          <w:color w:val="111111"/>
          <w:sz w:val="28"/>
          <w:szCs w:val="28"/>
          <w:rtl w:val="true"/>
          <w:lang w:bidi="fa-IR"/>
        </w:rPr>
        <w:t xml:space="preserve">... ». </w:t>
      </w:r>
      <w:r>
        <w:rPr>
          <w:rStyle w:val="FootnoteAnchor"/>
          <w:rtl w:val="true"/>
        </w:rPr>
        <w:footnoteReference w:id="50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الإمام يبدأ بالرجم إن كان الزنا قد ثبت بالاقرار وإلاّ فالبينة تبدأ بذلك ، فهو ما عليه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رواية صفوان عمّن رواه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اقرَّ الزانى المحصن كان أول من يرجمه الإمام ثم الناس ، فاذا قامت عليه البيّنة كان أول من يرجمه البيّنة ، ثم الامام ، ثم الناس </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ولأجل أنّها مرسلة لايمكن الاعتماد عليها إلاّ بناءً على أحد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كبرى الإنجبار بعمل المشهور ، أو البناء على وثاقة كلّ من روى عنه أحد الثلاثة ، أو البناء على حجية الرواية إذا ورد فى سندها أحد بنى فضّال وإن اشتمل على الضعف من بعض النواحي</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وأما </w:t>
      </w:r>
      <w:bookmarkStart w:id="242" w:name="pg19370_198239"/>
    </w:p>
    <w:p>
      <w:pPr>
        <w:pStyle w:val="BookText"/>
        <w:rPr/>
      </w:pPr>
      <w:bookmarkEnd w:id="242"/>
      <w:r>
        <w:rPr>
          <w:rFonts w:ascii="Amiri" w:hAnsi="Amiri" w:eastAsia="Amiri" w:cs="Amiri"/>
          <w:color w:val="111111"/>
          <w:sz w:val="28"/>
          <w:sz w:val="28"/>
          <w:szCs w:val="28"/>
          <w:rtl w:val="true"/>
          <w:lang w:bidi="ar-SA"/>
        </w:rPr>
        <w:t>إذا لم‌نبن على الاُمور المذكورة ، فيلزم على الإمام البدأة مطلقاً تمسّكاً بإطلاق موثقة سماعة المتقدمة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391001_1280447820"/>
      <w:bookmarkStart w:id="244" w:name="_Toc77"/>
      <w:bookmarkEnd w:id="243"/>
      <w:r>
        <w:rPr>
          <w:rtl w:val="true"/>
        </w:rPr>
        <w:t xml:space="preserve">الثاني </w:t>
      </w:r>
      <w:r>
        <w:rPr>
          <w:rtl w:val="true"/>
        </w:rPr>
        <w:t xml:space="preserve">: </w:t>
      </w:r>
      <w:r>
        <w:rPr>
          <w:rtl w:val="true"/>
        </w:rPr>
        <w:t>اللواط</w:t>
      </w:r>
      <w:bookmarkEnd w:id="244"/>
    </w:p>
    <w:p>
      <w:pPr>
        <w:pStyle w:val="BookText"/>
        <w:rPr/>
      </w:pPr>
      <w:r>
        <w:rPr>
          <w:rFonts w:ascii="Amiri" w:hAnsi="Amiri" w:eastAsia="Amiri" w:cs="Amiri"/>
          <w:color w:val="111111"/>
          <w:sz w:val="28"/>
          <w:sz w:val="28"/>
          <w:szCs w:val="28"/>
          <w:rtl w:val="true"/>
          <w:lang w:bidi="ar-SA"/>
        </w:rPr>
        <w:t xml:space="preserve">حدُّ اللائط والملوط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بأحد الأساليب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الدحرجة من شاهق مشدود اليدين والرجلين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 بالسيف ثم الاحراق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 اللواط مع الايقاب</w:t>
      </w:r>
      <w:r>
        <w:rPr>
          <w:rStyle w:val="FootnoteAnchor"/>
          <w:rtl w:val="true"/>
        </w:rPr>
        <w:footnoteReference w:id="508"/>
      </w:r>
      <w:r>
        <w:rPr>
          <w:rFonts w:ascii="Amiri" w:hAnsi="Amiri" w:eastAsia="Amiri" w:cs="Amiri"/>
          <w:color w:val="111111"/>
          <w:sz w:val="28"/>
          <w:sz w:val="28"/>
          <w:szCs w:val="28"/>
          <w:rtl w:val="true"/>
          <w:lang w:bidi="ar-SA"/>
        </w:rPr>
        <w:t xml:space="preserve">ما تقدم ،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جلدة ، إلاّ إذا تكرر مرتين مع الحد ، فإنّه يقتل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اللواط بالإقرار أربع مرات وبشهادة أربعة رجال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حدَّ اللواط أحد الاُمور المتقدمة ، فهو المشهور بين الأصحاب ، بل لعّل الحكم فى الملوط به كاد أنّه يبلغ حدَّ التسالم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مالك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أميرالمؤمنين علیه السلام قال لرجل أقرَّ عنده باللواط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رسول‌اللّه صلی اللّه علیه و آله حكم فى مثلك بثلاثة أحكام فاختر أيّهن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هى يا أميرالمؤمنين؟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بالسيف فى عنقك بالغة منك ما بلغت أو اهداب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من جبل مشدود اليدين والرجلين أو احراق بالنار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 وصحيحة عبدالرحمن العرزمي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رجل مع رجل فى إمارة عمر فهرب أحدهما واُخذ الآخر فجيء به الى عمر ،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فى هذا؟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كذا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تقول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أراد أن يحمله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بقى من حدوده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شيء بقي؟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بحطب ، فدعا عمر بحطب فأمر به أميرالمؤمنين علیه السلام فاُحرق به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 وموثقة السكونى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ينبغى لأحد أن يرجم مرتين لرجم اللوطي </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ومورد بعض هذه الروايات وإن كان هو اللائط إلاّ أنّه يمكن التعميم للملوط به إما بضمّ عدم القول بالفصل أو لأنّ المستفاد من الرّوايات أنّ عقوبة الملوط به أشدّ من عقوبة اللائط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صحيحة حماد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أتى رجلاً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إن كان محصناً القتل ، وإن لم‌يكن محصناً فعليه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على المؤتى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القتل على كلّ حال محصناً كان أو غير محصن </w:t>
      </w:r>
      <w:r>
        <w:rPr>
          <w:rFonts w:eastAsia="IRNazanin" w:cs="IRNazanin"/>
          <w:color w:val="111111"/>
          <w:sz w:val="28"/>
          <w:szCs w:val="28"/>
          <w:rtl w:val="true"/>
          <w:lang w:bidi="fa-IR"/>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ما سبق فى حق اللائط ، فيلزم ثبوته فى حق الملوط به بالأولوية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أنّ حكم اللائط القتل حتى إذا لم‌يكن محصناً ، ولكن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حمّاد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اللائط يجلد ولايقتل فيما إذا لم يكن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العمل على طبقها لمن لايرى سقوط الرواية عن </w:t>
      </w:r>
      <w:bookmarkStart w:id="245" w:name="pg19370_198241"/>
    </w:p>
    <w:p>
      <w:pPr>
        <w:pStyle w:val="BookText"/>
        <w:rPr/>
      </w:pPr>
      <w:bookmarkEnd w:id="245"/>
      <w:r>
        <w:rPr>
          <w:rFonts w:ascii="Amiri" w:hAnsi="Amiri" w:eastAsia="Amiri" w:cs="Amiri"/>
          <w:color w:val="111111"/>
          <w:sz w:val="28"/>
          <w:sz w:val="28"/>
          <w:szCs w:val="28"/>
          <w:rtl w:val="true"/>
          <w:lang w:bidi="ar-SA"/>
        </w:rPr>
        <w:t>الحجية بإعراض المشهور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الفقهاء ذكر فى جملة أساليب القتل على اللواط القاء جدار علي اللائط أو الملوط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لذلك سوى الفقه الرضوي</w:t>
      </w:r>
      <w:r>
        <w:rPr>
          <w:rStyle w:val="FootnoteAnchor"/>
          <w:rtl w:val="true"/>
        </w:rPr>
        <w:footnoteReference w:id="514"/>
      </w:r>
      <w:r>
        <w:rPr>
          <w:rFonts w:ascii="Amiri" w:hAnsi="Amiri" w:eastAsia="Amiri" w:cs="Amiri"/>
          <w:color w:val="111111"/>
          <w:sz w:val="28"/>
          <w:sz w:val="28"/>
          <w:szCs w:val="28"/>
          <w:rtl w:val="true"/>
          <w:lang w:bidi="ar-SA"/>
        </w:rPr>
        <w:t>الذى لم‌يثبت كونه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فهو من قسم المراسيل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تقييد ثبوت الحد على اللواط بحالة فرض التكليف ، فباعتبار رفع القلم عن الصبى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يؤدّب الصبى على ذلك لصحيحة أبيبصير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كتاب على علیه السلام إذا اُخذ الرجل مع غلام فى لحاف مجردين ، ضرب الرجل واُدّب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ثقب وكان محصناً رجم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الحد ، وإلاّ فهما فى أصل الضرب مشتركان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7391003_1280447820"/>
      <w:bookmarkStart w:id="247" w:name="_Toc78"/>
      <w:bookmarkEnd w:id="246"/>
      <w:r>
        <w:rPr>
          <w:rtl w:val="true"/>
        </w:rPr>
        <w:t xml:space="preserve">الثالث </w:t>
      </w:r>
      <w:r>
        <w:rPr>
          <w:rtl w:val="true"/>
        </w:rPr>
        <w:t xml:space="preserve">: </w:t>
      </w:r>
      <w:r>
        <w:rPr>
          <w:rtl w:val="true"/>
        </w:rPr>
        <w:t>التفخيذ</w:t>
      </w:r>
      <w:bookmarkEnd w:id="2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حدَّ التفخيذ من دون ايقاب مائة جلدة ، فهو المشهور ، وقد يستفاد من صحيحة أبيبصير المتقدمة ، فإن التعبير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ثقب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يدل علي وقوع شيء من الرجل دون الثقب فى مفروض الفقرة السابقة ، وليس هو إلاّ التفخيذ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فرض الاطلاق يلزم التقييد بالتفخيذ ، للاتفاق على عدم ثبوت مائة جلدة في النوم المجرد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 ورد فى صحيحة الحسين بن سعيد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قرأت بخط رجل أعرفه الي أبيالحسن علیه السلام وقرأت جواب أبيالحسن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رجل لعب بغلام بين فخذيه حدّ ، فإنّ بعض العصابة روى أنه لا بأس بلعب الرجل بالغلام بين فخذيه؟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أيضاً هذا الرجل ولم أرَ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رجلين نكح أحدهما الآخر طوعاً بين فخذيه ما توبته؟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أنّ حدَّ التفخيذ هو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لايمكن الإعتماد عليها؛ لأنّ الرجل الكاتب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وتعبير ابن سعيد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توثيقه ، ولو دلَّ فهو لاينفى وجود الجارح المعارض بعدما لم‌يذكر اسمه ، والمفروض أنّ جواب الامام علیه السلام لم‌يره ابن سعيد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من تكرر منه التفخيذ مرّتين وحُدَّ يقتل فى الثالثة ، فلإطلاق صحيحة يونس عن أبى الحسن الماضى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الكبائر كلّها إذا اُقيم عليهم الحد مرتين قتلوا فى الثالثة </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يقتل فى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من باب القياس على الزاني ، حيث تقدّم أن من جلد ثلاث مرات قتل فى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القياس المذكور لا وجه له بعد دلالة الصحيحة المتقدّمة على القتل فى مطلق الكبائر فى المرّة الثالثة ، والخارج منها هو الزنا لا غير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اللواط يثبت بالاقرار أربع مرات دون الأقل من ذلك ، فهو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مالك بن عطية المتقدمة فى الرقم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ورد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فى الرابعة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رسول‌اللّه صلی اللّه علیه و آله حكم فى مثلك بثلاثة أحكام فاختر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فإنّ اللواط لو كان يثبت بالإقرار ثلاثاً أو بمرة واحدة لم‌يكن وجه لتأخير العقوبة الى الاقرار الرابع</w:t>
      </w:r>
      <w:r>
        <w:rPr>
          <w:rFonts w:eastAsia="IRNazanin" w:cs="IRNazanin"/>
          <w:color w:val="111111"/>
          <w:sz w:val="28"/>
          <w:szCs w:val="28"/>
          <w:rtl w:val="true"/>
          <w:lang w:bidi="fa-IR"/>
        </w:rPr>
        <w:t xml:space="preserve">. </w:t>
      </w:r>
      <w:bookmarkStart w:id="248" w:name="pg19370_198243"/>
    </w:p>
    <w:p>
      <w:pPr>
        <w:pStyle w:val="BookText"/>
        <w:rPr/>
      </w:pPr>
      <w:bookmarkEnd w:id="248"/>
      <w:r>
        <w:rPr>
          <w:rFonts w:ascii="Amiri" w:hAnsi="Amiri" w:eastAsia="Amiri" w:cs="Amiri"/>
          <w:color w:val="111111"/>
          <w:sz w:val="28"/>
          <w:sz w:val="28"/>
          <w:szCs w:val="28"/>
          <w:rtl w:val="true"/>
          <w:lang w:bidi="ar-SA"/>
        </w:rPr>
        <w:t xml:space="preserve">وأما أنّه يثبت بشهادة أربعة رجال ، فباعتبار أنّه تقدّم فى بحث الشهادات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الحقوق فى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اقرار واحد هو بمثابة شهادة واحدة ، فإذا كان اللواط لايثبت بأقلّ من أربعة اقرارات ، فيلزم أن لايثبت بأقلّ من أربع شهادات</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7391005_1280447820"/>
      <w:bookmarkStart w:id="250" w:name="_Toc79"/>
      <w:bookmarkEnd w:id="249"/>
      <w:r>
        <w:rPr>
          <w:rtl w:val="true"/>
        </w:rPr>
        <w:t xml:space="preserve">الرابع </w:t>
      </w:r>
      <w:r>
        <w:rPr>
          <w:rtl w:val="true"/>
        </w:rPr>
        <w:t xml:space="preserve">: </w:t>
      </w:r>
      <w:r>
        <w:rPr>
          <w:rtl w:val="true"/>
        </w:rPr>
        <w:t>السَّحق</w:t>
      </w:r>
      <w:bookmarkEnd w:id="250"/>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حدُّ السَّحق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التكرر مرّتين مع الحد يلزم القتل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رجال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حدَّ السحق مائة جلدة ، فهو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أبيحمزة وهشام وحفص كلهم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عليه نسوة ، فسألته امرأة منهنّ عن السَّحق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حدّ الزاني ،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اللّه ذلك فى القرآن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أصحاب الرَّس </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ثم انه لابدَّ وان يكون المقصود من ذكر السحق فى القرآن الكريم هو ذكر أصله وذاته لا حدّه ، وإلاّ فحدُّه لم‌يذكر فى آية أصحاب الرس ولا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أنّ فعل قوم لوط هو اللواط وفعل اصحاب الرس هو المساحقة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حدُّها حدُّ الزاني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الى الجلد ولو بقرينة صحيحة زرارة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السَّحاقة تجلد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1" w:name="pg19370_198244"/>
    </w:p>
    <w:p>
      <w:pPr>
        <w:pStyle w:val="BookText"/>
        <w:rPr/>
      </w:pPr>
      <w:bookmarkEnd w:id="251"/>
      <w:r>
        <w:rPr>
          <w:rFonts w:ascii="Amiri" w:hAnsi="Amiri" w:eastAsia="Amiri" w:cs="Amiri"/>
          <w:color w:val="111111"/>
          <w:sz w:val="28"/>
          <w:sz w:val="28"/>
          <w:szCs w:val="28"/>
          <w:rtl w:val="true"/>
          <w:lang w:bidi="ar-SA"/>
        </w:rPr>
        <w:t>والمشهور أنّ ذلك حدٌّ للمحصنة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حدُّ غير المحصنة ، وأما هى فحدّها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التكرر وإقامة الحدّ مرتين يلزم القتل فى الثالثة ، فقد تقدم وجهه عند بيان حدِّ التفخيذ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السحق يثبت بأربعة رجال ، فقد تقدم وجهه فى باب الشهادات</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7391007_1280447820"/>
      <w:bookmarkStart w:id="253" w:name="_Toc80"/>
      <w:bookmarkEnd w:id="252"/>
      <w:r>
        <w:rPr>
          <w:rtl w:val="true"/>
        </w:rPr>
        <w:t xml:space="preserve">الخامس </w:t>
      </w:r>
      <w:r>
        <w:rPr>
          <w:rtl w:val="true"/>
        </w:rPr>
        <w:t xml:space="preserve">: </w:t>
      </w:r>
      <w:r>
        <w:rPr>
          <w:rtl w:val="true"/>
        </w:rPr>
        <w:t>القذف</w:t>
      </w:r>
      <w:bookmarkEnd w:id="253"/>
    </w:p>
    <w:p>
      <w:pPr>
        <w:pStyle w:val="BookText"/>
        <w:rPr/>
      </w:pPr>
      <w:r>
        <w:rPr>
          <w:rFonts w:ascii="Amiri" w:hAnsi="Amiri" w:eastAsia="Amiri" w:cs="Amiri"/>
          <w:color w:val="111111"/>
          <w:sz w:val="28"/>
          <w:sz w:val="28"/>
          <w:szCs w:val="28"/>
          <w:rtl w:val="true"/>
          <w:lang w:bidi="ar-SA"/>
        </w:rPr>
        <w:t xml:space="preserve">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رمى الغير بالزنا أو باللواط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ولايثبت إلاّ مع إحصان المقذوف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تكرر القذف من القاذف وحدِّه مرتين يقتل فى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 النبى صلی اللّه علیه و آله أو بضعته الطاهرة علیهاالسلام أو أحد الأئمة من أبنائها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 سامعه قتله ، إلاّ أن يخاف على نفسه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ويثبت القذف بشهادة رجلين عادلين وبالاقرار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حدَّ القذف ثمانون جلدة ، فيدلّ عليه صريح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r>
        <w:rPr>
          <w:rFonts w:eastAsia="Amiri" w:cs="Amiri" w:ascii="Amiri" w:hAnsi="Amiri"/>
          <w:color w:val="111111"/>
          <w:sz w:val="28"/>
          <w:szCs w:val="28"/>
          <w:rtl w:val="true"/>
          <w:lang w:bidi="ar-SA"/>
        </w:rPr>
        <w:t xml:space="preserve">) . </w:t>
      </w:r>
      <w:r>
        <w:rPr>
          <w:rStyle w:val="FootnoteAnchor"/>
          <w:rtl w:val="true"/>
        </w:rPr>
        <w:footnoteReference w:id="520"/>
      </w:r>
      <w:r>
        <w:rPr>
          <w:rFonts w:ascii="IRNazanin" w:hAnsi="IRNazanin" w:eastAsia="IRNazanin"/>
          <w:color w:val="111111"/>
          <w:sz w:val="28"/>
          <w:sz w:val="28"/>
          <w:szCs w:val="28"/>
          <w:rtl w:val="true"/>
          <w:lang w:bidi="fa-IR"/>
        </w:rPr>
        <w:t xml:space="preserve">ومورده وإن كان خاصاً برمى المحصنة إلاّ أنه يتعدّى الى رمى المحصن إما بتنقيح المناط أو بضمّ عدم القول بالفصل وبقطع النظر عن ذلك ، تكفينا صحيحة أبيبصير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قذفت رجلاً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تجلد ثمانين جلدة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إحصان المقذوف فى ثبوت الحدّ على القاذف ، فهو ممّا لا خلاف فيه ، إذ الآية الكريمة إن لم يكن لها مفهوم تنفى به الحدّ عن رمى غير المحصن فلا أقلّ من القصور فى المقتضى فيتمسك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الاحصان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عن الزنا بنحو لايكون الشخص متظاهراً به ، وأما المتظاهر فلا حدَّ فى قذفه ، بل قد يحكم بعدم التعزير أيضاً لعدم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فى ثبوت الحدّ مضافاً الى احصان المقذوف اُمور اُخري ، كإسلامه وبلوغه وعقله وحريته لدلالة الروايات على ذلك</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القاذف يقتل فى الثالثة لو حُدَّ مرتين حدَّ القذف ، فقد تقدم وجهه في حدَّ التفخيذ</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سابّ النبى صلی اللّه علیه و آله يقتله السامع ، فهو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من هذيل كان يسبّ رسول‌اللّه صلی اللّه علیه و آله فبلغ ذلك النبى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لهذا؟ فقام رجلان من الأنصار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حتى أتيا عربة </w:t>
      </w:r>
      <w:r>
        <w:rPr>
          <w:rStyle w:val="FootnoteAnchor"/>
          <w:rtl w:val="true"/>
        </w:rPr>
        <w:footnoteReference w:id="523"/>
      </w:r>
      <w:r>
        <w:rPr>
          <w:rFonts w:ascii="IRNazanin" w:hAnsi="IRNazanin" w:eastAsia="IRNazanin"/>
          <w:color w:val="111111"/>
          <w:sz w:val="28"/>
          <w:sz w:val="28"/>
          <w:szCs w:val="28"/>
          <w:rtl w:val="true"/>
          <w:lang w:bidi="fa-IR"/>
        </w:rPr>
        <w:t xml:space="preserve">، فسألا عنه فإذا هو يتلقى غنمه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أنتما؟ وما اسمكما؟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ابن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فنزلا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مسلم ، فقلت لأبى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الآن سبّ النبى صلی اللّه علیه و آله أيقتل؟ قال </w:t>
      </w:r>
      <w:r>
        <w:rPr>
          <w:rFonts w:eastAsia="IRNazanin" w:cs="IRNazanin"/>
          <w:color w:val="111111"/>
          <w:sz w:val="28"/>
          <w:szCs w:val="28"/>
          <w:rtl w:val="true"/>
          <w:lang w:bidi="fa-IR"/>
        </w:rPr>
        <w:t xml:space="preserve">: </w:t>
      </w:r>
      <w:bookmarkStart w:id="254" w:name="pg19370_198246"/>
    </w:p>
    <w:p>
      <w:pPr>
        <w:pStyle w:val="BookText"/>
        <w:rPr/>
      </w:pPr>
      <w:bookmarkEnd w:id="254"/>
      <w:r>
        <w:rPr>
          <w:rFonts w:ascii="Amiri" w:hAnsi="Amiri" w:eastAsia="Amiri" w:cs="Amiri"/>
          <w:color w:val="111111"/>
          <w:sz w:val="28"/>
          <w:sz w:val="28"/>
          <w:szCs w:val="28"/>
          <w:rtl w:val="true"/>
          <w:lang w:bidi="ar-SA"/>
        </w:rPr>
        <w:t xml:space="preserve">إن لم‌تخف على نفسك فاقتله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وأما إلحاق البضعة الطاهرة وأولادها الأئمّة الطيبين الطاهرين علیهم السلام بالنبى صلی اللّه علیه و آله فهو لايحتاج الى دليل خاص بعد الضرورة الثابتة من الخارج على كون حكم الجميع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يستفاد المطلوب من صحيحة هشام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رجل سبّابة لعلى علیه السلام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الدم ، واللّه لولا أن تعمَّ به بريئا </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عدم خوف الضرر ، فهو مقتضى قاعدة نفى الضرر ، مضافاً الي التصريح بذلك فى صحيحة محمد بن مسلم المتقدمة فى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القذف يثبت بالبينة والاقرار مرة واحدة ، فلإطلاق دليل حجيتهما ، والخروج عنه يحتاج الى دليل وهو مفقود</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7391009_1280447820"/>
      <w:bookmarkStart w:id="256" w:name="_Toc81"/>
      <w:bookmarkEnd w:id="255"/>
      <w:r>
        <w:rPr>
          <w:rtl w:val="true"/>
        </w:rPr>
        <w:t xml:space="preserve">السادس </w:t>
      </w:r>
      <w:r>
        <w:rPr>
          <w:rtl w:val="true"/>
        </w:rPr>
        <w:t xml:space="preserve">: </w:t>
      </w:r>
      <w:r>
        <w:rPr>
          <w:rtl w:val="true"/>
        </w:rPr>
        <w:t>شرب المسكر</w:t>
      </w:r>
      <w:bookmarkEnd w:id="256"/>
    </w:p>
    <w:p>
      <w:pPr>
        <w:pStyle w:val="BookText"/>
        <w:rPr/>
      </w:pPr>
      <w:r>
        <w:rPr>
          <w:rFonts w:ascii="Amiri" w:hAnsi="Amiri" w:eastAsia="Amiri" w:cs="Amiri"/>
          <w:color w:val="111111"/>
          <w:sz w:val="28"/>
          <w:sz w:val="28"/>
          <w:szCs w:val="28"/>
          <w:rtl w:val="true"/>
          <w:lang w:bidi="ar-SA"/>
        </w:rPr>
        <w:t>الحدُّ فى شرب الخمر وبقية المسكرات ثمانون ، جلدة يضرب الشارب مجرداً عن الثياب بين الكتفين إن كان رجلاً ومن فوق الثياب إن كان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 مرّتين لشرب الخمر ، قتل فى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الشرب بشهادة عدلين أو الاقرار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حدَّ شرب الخمر ثمانون جلدة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w:t>
      </w:r>
      <w:bookmarkStart w:id="257" w:name="pg19370_198247"/>
    </w:p>
    <w:p>
      <w:pPr>
        <w:pStyle w:val="BookText"/>
        <w:rPr/>
      </w:pPr>
      <w:bookmarkEnd w:id="257"/>
      <w:r>
        <w:rPr>
          <w:rFonts w:ascii="IRNazanin" w:hAnsi="IRNazanin" w:eastAsia="IRNazanin"/>
          <w:color w:val="111111"/>
          <w:sz w:val="28"/>
          <w:sz w:val="28"/>
          <w:szCs w:val="28"/>
          <w:rtl w:val="true"/>
          <w:lang w:bidi="fa-IR"/>
        </w:rPr>
        <w:t xml:space="preserve">روايات كثيرة ، كصحيحة بريد بن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كتاب على علیه السلام يضرب شارب الخمر ثمانين ، وشارب النبيذ ثمانين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وأما أنّ ذلك حدُّ شرب بقية المسكرات أيضاً ، فلصحيحة الكنانى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من الأشربة يجب فيه كما يجب فى الخمر من الحد </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الشارب يضرب مجرداً عن الثياب بين الكتفين إن كان رجلاً ، فتدل عليه صحيحة أبيبصير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السكران والزاني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يجلدان بالسياط مجردين بين الكتفين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واضمارها لايضرّ بحجيتها بعد ما كان المضمر من أجلاّء الأصحاب الذين لايحتمل فى حقهم الرواية عن غير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 المرأة تضرب من وراء الثياب ، فيكفى لإثباته القصور فى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المرأة عورة ولايحتمل اعتبار تجريدها عن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حُدَّ على شرب الخمر مرتين قتل فى المرة الثالثة ، فقد تقدم وجهه فى حدِّ التفخيذ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شرب المسكر يثبت بشهادة عدلين أو بالاقرار مرة واحدة ، فقد تقدم وجهه فى حدَّ القذف</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7391011_1280447820"/>
      <w:bookmarkStart w:id="259" w:name="_Toc82"/>
      <w:bookmarkEnd w:id="258"/>
      <w:r>
        <w:rPr>
          <w:rtl w:val="true"/>
        </w:rPr>
        <w:t xml:space="preserve">السابع </w:t>
      </w:r>
      <w:r>
        <w:rPr>
          <w:rtl w:val="true"/>
        </w:rPr>
        <w:t xml:space="preserve">: </w:t>
      </w:r>
      <w:r>
        <w:rPr>
          <w:rtl w:val="true"/>
        </w:rPr>
        <w:t>السرقة</w:t>
      </w:r>
      <w:bookmarkEnd w:id="25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 فى السرقة قطع الأصابع الأربع من اليد اليمنى مع ترك الراحة والابهام ، فإن </w:t>
      </w:r>
    </w:p>
    <w:p>
      <w:pPr>
        <w:pStyle w:val="BookText"/>
        <w:rPr/>
      </w:pPr>
      <w:r>
        <w:rPr>
          <w:rFonts w:ascii="Amiri" w:hAnsi="Amiri" w:eastAsia="Amiri" w:cs="Amiri"/>
          <w:color w:val="111111"/>
          <w:sz w:val="28"/>
          <w:sz w:val="28"/>
          <w:szCs w:val="28"/>
          <w:rtl w:val="true"/>
          <w:lang w:bidi="ar-SA"/>
        </w:rPr>
        <w:t>تكررت منه قطعت رجله اليسرى من وسطها ، فإن تكررت منه ثالثة خُلِّد فى الحبس الى أن يموت ، وإن تكررت منه رابعة فى الحبس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ولايحدُّ السارق إلاّ اذا كانت قيمة المسروق بمقدار ربع مثقال ذهب بوزن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بكفاية كونه بمقدار خمس المثقال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لايحدّ إلاّ اذا كان المال فى مكان محرز لم‌يؤذن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السرقة لاتثبت إلاّ بشهادة عدلين أو الاقرار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الحدَّ فى السرقة ما ذكر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موثقة سماعة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اُخذ السارق قطعت يده من وسط الكف ، فإن عاد قطعت رجله من وسط القدم ، فإن عاد استودع السجن ، فإن سرق فى السجن قتل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والموثقة إذا كانت مقطوعة </w:t>
      </w:r>
      <w:r>
        <w:rPr>
          <w:rStyle w:val="FootnoteAnchor"/>
          <w:rtl w:val="true"/>
        </w:rPr>
        <w:footnoteReference w:id="530"/>
      </w:r>
      <w:r>
        <w:rPr>
          <w:rFonts w:ascii="IRNazanin" w:hAnsi="IRNazanin" w:eastAsia="IRNazanin"/>
          <w:color w:val="111111"/>
          <w:sz w:val="28"/>
          <w:sz w:val="28"/>
          <w:szCs w:val="28"/>
          <w:rtl w:val="true"/>
          <w:lang w:bidi="fa-IR"/>
        </w:rPr>
        <w:t>بطريق الشيخ الكليني ، فهى مسندة الى الإمام علیه السلام فى طريق الشيخ الطوسي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مجملة من حيث المقدار المقطوع ، فبملاحظة موثقة اسحاق بن عمار عن أبيابراهيم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تقطع يد السارق ويترك ابهامه وصدر راحته وتقطع رجله ويترك له عقبه يمشى عليها </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يرتفع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يجب القطع؟ فبسط </w:t>
      </w:r>
    </w:p>
    <w:p>
      <w:pPr>
        <w:pStyle w:val="BookText"/>
        <w:rPr/>
      </w:pPr>
      <w:r>
        <w:rPr>
          <w:rFonts w:ascii="Amiri" w:hAnsi="Amiri" w:eastAsia="Amiri" w:cs="Amiri"/>
          <w:color w:val="111111"/>
          <w:sz w:val="28"/>
          <w:sz w:val="28"/>
          <w:szCs w:val="28"/>
          <w:rtl w:val="true"/>
          <w:lang w:bidi="ar-SA"/>
        </w:rPr>
        <w:t xml:space="preserve">أصابعه وقال من ههنا ، يعنى من مفصل الكف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فهى ساقطة عن الاعتبار بعد هجران الأصحاب لمضمونها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كون المسروق بمقدار ربع مثقال ذهب ، فهو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كم يقطع السارق؟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ربع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درهمين؟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ربع دينار ، بلغ الدينار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من سرق أقل من ربع دينار هل يقع عليه حين سرق اسم السارق؟ وهل هو عند اللّه سارق؟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سرق من مسلم شيئاً قد حواه وأحرزه فهو يقع عليه اسم السارق ، وهو عند اللّه سارق ، ولكن لايقطع إلاّ فى ربع دينار أو أكثر ، ولو قطعت أيدي السرّاق فى ما أقل هو من ربع دينار ، لألفيت عامة الناس مقطعين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وهناك روايات تدلّ على التحديد بغير ذلك من قبيل صحيحة محمد بن مسلم الاُخرى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أدنى ما يقطع فيه يد السارق خمس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المناسب تقديم الثانية لموافقتها لإطلاق الكتاب ، فإنّ مقتضى اطلاق الآية الكريمة وجوب القطع فى السرقة مطلقاً ولكن علم من الخارج عدم ثبوت القطع فى الأقل من الخمس فترفع اليد عن الإطلاق بهذا المقدار ، وأمّا التقييد بمقدار أزيد فحيث انّه غير معلوم فيلزم الأخذ بالاطلاق بلحاظه ويكون حجّة ومرجّحاً للطائفة الثانية على الأولي</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اعتبار أن يكون المال فى مكان محرز لا اذن بالدخول فيه ، فهو ممّا لاخلاف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موثقة السكونى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مدخل يدخل فيه بغير إذن فسرق منه السارق فلا قطع فيه ، يعنى الحمامات والخانات والارحية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وهكذا موثقته الاُخري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لايقطع إلاّ من نقب بيتاً أو كسر قفلاً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ثبوت السرقة بشهادة عدلين ، فهو لإطلاق دليل حجية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اعتبار الاقرار مرّتين ، فلرواية جميل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لايقطع السارق حتى يقر بالسرقة مرتين </w:t>
      </w:r>
      <w:r>
        <w:rPr>
          <w:rFonts w:eastAsia="IRNazanin" w:cs="IRNazanin"/>
          <w:color w:val="111111"/>
          <w:sz w:val="28"/>
          <w:szCs w:val="28"/>
          <w:rtl w:val="true"/>
          <w:lang w:bidi="fa-IR"/>
        </w:rPr>
        <w:t xml:space="preserve">... » </w:t>
      </w:r>
      <w:r>
        <w:rPr>
          <w:rStyle w:val="FootnoteAnchor"/>
          <w:rtl w:val="true"/>
        </w:rPr>
        <w:footnoteReference w:id="53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ودلالة الرواية وإن كانت واضحة إلاّ أنّ فى سندها على بن السندى الذى قد يتأمل فى وثاقته باعتبار عدم النص عليها فى كتب الرجال ، وهكذا بقية الروايات ، فإنّ سندها ضعيف كما يتّضح من خلال 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التنزل فهى معارضة بصحيحة الفضيل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أقرَّ الرجل الحر على نفسه مرّة واحدة عند الإمام قطع </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وبعد التعارض يعود التمسك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حجية الاقرار مرة واحدة بلا مانع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كله بالنسبة الى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الغرم فلا خلاف فى لزومه بالاقرار مرة واحدة ، لإطلاق قاعدة الإقرار وعدم المقيد لها من هذه الناحية</w:t>
      </w:r>
      <w:r>
        <w:rPr>
          <w:rFonts w:eastAsia="Amiri" w:cs="Amiri" w:ascii="Amiri" w:hAnsi="Amiri"/>
          <w:color w:val="111111"/>
          <w:sz w:val="28"/>
          <w:szCs w:val="28"/>
          <w:rtl w:val="true"/>
          <w:lang w:bidi="ar-SA"/>
        </w:rPr>
        <w:t xml:space="preserve">. </w:t>
      </w:r>
      <w:bookmarkStart w:id="260" w:name="pg19370_198251"/>
    </w:p>
    <w:p>
      <w:pPr>
        <w:pStyle w:val="Heading4"/>
        <w:numPr>
          <w:ilvl w:val="3"/>
          <w:numId w:val="1"/>
        </w:numPr>
        <w:rPr/>
      </w:pPr>
      <w:bookmarkStart w:id="261" w:name="__RefHeading___Toc17391013_1280447820"/>
      <w:bookmarkStart w:id="262" w:name="_Toc83"/>
      <w:bookmarkEnd w:id="260"/>
      <w:bookmarkEnd w:id="261"/>
      <w:r>
        <w:rPr>
          <w:rtl w:val="true"/>
        </w:rPr>
        <w:t xml:space="preserve">الثامن </w:t>
      </w:r>
      <w:r>
        <w:rPr>
          <w:rtl w:val="true"/>
        </w:rPr>
        <w:t xml:space="preserve">: </w:t>
      </w:r>
      <w:r>
        <w:rPr>
          <w:rtl w:val="true"/>
        </w:rPr>
        <w:t>المحاربة والإفساد</w:t>
      </w:r>
      <w:bookmarkEnd w:id="262"/>
    </w:p>
    <w:p>
      <w:pPr>
        <w:pStyle w:val="BookText"/>
        <w:rPr/>
      </w:pP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شهر السلاح لإخافة الناس والإفساد فى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أو يصلب أو يقطع مخالفاً </w:t>
      </w:r>
      <w:r>
        <w:rPr>
          <w:rStyle w:val="FootnoteAnchor"/>
          <w:rtl w:val="true"/>
        </w:rPr>
        <w:footnoteReference w:id="539"/>
      </w:r>
      <w:r>
        <w:rPr>
          <w:rFonts w:ascii="Amiri" w:hAnsi="Amiri" w:eastAsia="Amiri" w:cs="Amiri"/>
          <w:color w:val="111111"/>
          <w:sz w:val="28"/>
          <w:sz w:val="28"/>
          <w:szCs w:val="28"/>
          <w:rtl w:val="true"/>
          <w:lang w:bidi="ar-SA"/>
        </w:rPr>
        <w:t>أو ينفى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حدَّ المحارب ما ذكر ، فواضح بعد دلالة صريح الاية الكريمة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وقد وقع الكلام فى أن الأنحاء الأربعة المذكورة هل هى ثابتة بنحو التخيير لوليّ الأمر أو هى بنحو الترتيب حسب اختلاف الجناية؟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خلينا نحن والآية الكريمة لاستفدنا منها التخيير ، خصوصاً بعد ملاحظة صحيحة حريز عن ابيعبداللّه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شيء فى القرآن أو فصاحبه بالخيار يختارما شاء </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 إلاّ أن فى المقابل روايات قد يستفاد منها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الفقهاء فى المقام مضطربة تبعاً لاضطراب الروايات</w:t>
      </w:r>
      <w:r>
        <w:rPr>
          <w:rFonts w:eastAsia="Amiri" w:cs="Amiri" w:ascii="Amiri" w:hAnsi="Amiri"/>
          <w:color w:val="111111"/>
          <w:sz w:val="28"/>
          <w:szCs w:val="28"/>
          <w:rtl w:val="true"/>
          <w:lang w:bidi="ar-SA"/>
        </w:rPr>
        <w:t xml:space="preserve">. </w:t>
      </w:r>
      <w:bookmarkStart w:id="263" w:name="pg19370_198252"/>
    </w:p>
    <w:p>
      <w:pPr>
        <w:pStyle w:val="Heading3"/>
        <w:numPr>
          <w:ilvl w:val="2"/>
          <w:numId w:val="1"/>
        </w:numPr>
        <w:rPr/>
      </w:pPr>
      <w:bookmarkStart w:id="264" w:name="__RefHeading___Toc17391015_1280447820"/>
      <w:bookmarkStart w:id="265" w:name="_Toc84"/>
      <w:bookmarkEnd w:id="263"/>
      <w:bookmarkEnd w:id="264"/>
      <w:r>
        <w:rPr>
          <w:rtl w:val="true"/>
        </w:rPr>
        <w:t>التعزير</w:t>
      </w:r>
      <w:bookmarkEnd w:id="265"/>
    </w:p>
    <w:p>
      <w:pPr>
        <w:pStyle w:val="BookText"/>
        <w:rPr/>
      </w:pPr>
      <w:r>
        <w:rPr>
          <w:rFonts w:ascii="Amiri" w:hAnsi="Amiri" w:eastAsia="Amiri" w:cs="Amiri"/>
          <w:color w:val="111111"/>
          <w:sz w:val="28"/>
          <w:sz w:val="28"/>
          <w:szCs w:val="28"/>
          <w:rtl w:val="true"/>
          <w:lang w:bidi="ar-SA"/>
        </w:rPr>
        <w:t>كل من خالف الشريعة بفعل محرم أو ترك واجب من دون عذر ولم‌يرد تحديد شرعي لمقدار عقوبته ، عاقبه الحاكم الشرعى بما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الروايات تحديد ذلك بما دون أربعين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المحافظة على النظام قضية لابدّ منها ، وقد اهتمّ بها الاسلام ، وهي لاتتحقق إلاّ بتشريع التعزير على مخالفة أى مقرر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منح هذا الحق لجميع الناس أمر غير محتمل ، لأنّه بدوره يوجب اختلال النظام ، فلابدّ من ثبوته لطائفة معينة ، وبما أنّ القدر المتيقن من ذلك هو الحاكم الشرعي ، فيتعين اختصاص الحق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ذلك فعل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يراقب الأسواق ويعزر كلّ من خالف المقررات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الخاصة الواردة فى الموارد المتفرقة ، كصحيحة أبيالعباس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للرجل يعاقب به مملوكة؟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قدر ذنبه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الواردة فى تأديب المملوك ، وموثقة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ضربت الغلام فى بعض ما يجرم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تضربه؟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ضربته مائة ، فقال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ذلك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فكم ينبغى لى أن أضربه؟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علم أني لا أضربه إلاّ واحداً ما ترك لى شيئاً إلاّ أفسده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فاثنين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هلاكي ، قال </w:t>
      </w:r>
      <w:r>
        <w:rPr>
          <w:rFonts w:eastAsia="IRNazanin" w:cs="IRNazanin"/>
          <w:color w:val="111111"/>
          <w:sz w:val="28"/>
          <w:szCs w:val="28"/>
          <w:rtl w:val="true"/>
          <w:lang w:bidi="fa-IR"/>
        </w:rPr>
        <w:t xml:space="preserve">: </w:t>
      </w:r>
      <w:bookmarkStart w:id="266" w:name="pg19370_198253"/>
    </w:p>
    <w:p>
      <w:pPr>
        <w:pStyle w:val="BookText"/>
        <w:rPr/>
      </w:pPr>
      <w:bookmarkEnd w:id="266"/>
      <w:r>
        <w:rPr>
          <w:rFonts w:ascii="Amiri" w:hAnsi="Amiri" w:eastAsia="Amiri" w:cs="Amiri"/>
          <w:color w:val="111111"/>
          <w:sz w:val="28"/>
          <w:sz w:val="28"/>
          <w:szCs w:val="28"/>
          <w:rtl w:val="true"/>
          <w:lang w:bidi="ar-SA"/>
        </w:rPr>
        <w:t xml:space="preserve">فلم أزل اُماكسه حتى بلغ خمسة ثم 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تدرى حدَّ ما أجرم فأقم الحدَّ فيه ولا تعدَّ حدود اللّه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الواردة فى تأديب الغلام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حماد بن عثمان عن ابى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التعزير؟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ثمانين؟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دون أربعين فإنّها حدُّ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قدر مايراه الوالى من ذنب الرجل وقوة بدنه </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وما كان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الصحيحة بطريق الشيخ الكلينى وإن كان قد يتأمّل ، فيه من ناحية المعلى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لم‌يوثق بل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بطريق الشيخ الصدوق لا خدشة فيه فلاحظ</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7391017_1280447820"/>
      <w:bookmarkStart w:id="268" w:name="_Toc85"/>
      <w:bookmarkEnd w:id="267"/>
      <w:r>
        <w:rPr>
          <w:rtl w:val="true"/>
        </w:rPr>
        <w:t>اقامة الحدود فى عصر الغيبة</w:t>
      </w:r>
      <w:bookmarkEnd w:id="268"/>
    </w:p>
    <w:p>
      <w:pPr>
        <w:pStyle w:val="BookText"/>
        <w:rPr/>
      </w:pPr>
      <w:r>
        <w:rPr>
          <w:rFonts w:ascii="Amiri" w:hAnsi="Amiri" w:eastAsia="Amiri" w:cs="Amiri"/>
          <w:color w:val="111111"/>
          <w:sz w:val="28"/>
          <w:sz w:val="28"/>
          <w:szCs w:val="28"/>
          <w:rtl w:val="true"/>
          <w:lang w:bidi="ar-SA"/>
        </w:rPr>
        <w:t>يجوز للحاكم الشرعى اقامة الحدود فى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الحكمة المقتضية لتشريع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الوقوف امام الفساد والفجور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لايحتمل اختصاصها بعصر الحضور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بإطلاق أدلة وجوب إقامة الحدود ،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يقتضى وجوب اقامة الحدود فى كل زمان ، وحيث لايحتمل جواز تصدّى أي شخص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محذور اختلال النظام فيلزم تصدى طائفة خاصة لذلك ، والقدر المتيقن منها هو المجتهدون 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رواية اسحاق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العمرى أن يوصل لى كتاباً قد سألت فيه عن مسائل أشكلت عليَّ ، فورد التوقيع بخط مولانا صاحب‌الزمان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سألت عنه أرشدك اللّه وثبّتك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الى رواة حديثنا ، فانهم حجتى عليكم وأنا حجة اللّه </w:t>
      </w:r>
      <w:r>
        <w:rPr>
          <w:rFonts w:eastAsia="IRNazanin" w:cs="IRNazanin"/>
          <w:color w:val="111111"/>
          <w:sz w:val="28"/>
          <w:szCs w:val="28"/>
          <w:rtl w:val="true"/>
          <w:lang w:bidi="fa-IR"/>
        </w:rPr>
        <w:t xml:space="preserve">... » </w:t>
      </w:r>
      <w:r>
        <w:rPr>
          <w:rStyle w:val="FootnoteAnchor"/>
          <w:rtl w:val="true"/>
        </w:rPr>
        <w:footnoteReference w:id="547"/>
      </w:r>
      <w:r>
        <w:rPr>
          <w:rFonts w:ascii="Amiri" w:hAnsi="Amiri" w:eastAsia="Amiri" w:cs="Amiri"/>
          <w:color w:val="111111"/>
          <w:sz w:val="28"/>
          <w:sz w:val="28"/>
          <w:szCs w:val="28"/>
          <w:rtl w:val="true"/>
          <w:lang w:bidi="ar-SA"/>
        </w:rPr>
        <w:t>، فانّ اسحاق وإن لم‌يذكر بتوثيق فى كتب الرجال إلاّ أن ذلك لايمنع من التمسك بها علي مستوى التأييد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التمسك بالوجهين المذكورين تام لو لم‌يقم دليل على حصر وظيفة اقامة الحدود بالإمام علیه السلام ، وذلك الدليل موجود ، وهو رواية دعائم‌الاسلام عن الإمام الصادق علیه السلام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لايصلح الحكم ولا الحدود ولا الجمعة إلاّ بإمام عدل </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وقريب منها رواية الجعفريات</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حمل الرواية المذكورة على كون المقصود أنّ ذلك لايصلح لغير الإمام علیه السلام مع افتراض حضور الإمام علیه السلام وعدم غيبته ، أى يلزم حملها على زمن الحضور وإلاّ فهل يحتمل عدم جواز الحكم لغير الإمام علیه السلام فى زمان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ذلك الفوضى وعدم استقرار النظام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لو قطعنا النظر عن سند الدعائم وإلاّ فالمناقشة أوضح ، باعتبار أنّ رواياته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9370_198256"/>
      <w:bookmarkStart w:id="270" w:name="pg19370_198256"/>
      <w:bookmarkEnd w:id="270"/>
    </w:p>
    <w:p>
      <w:pPr>
        <w:pStyle w:val="Heading2"/>
        <w:numPr>
          <w:ilvl w:val="1"/>
          <w:numId w:val="1"/>
        </w:numPr>
        <w:rPr/>
      </w:pPr>
      <w:bookmarkStart w:id="271" w:name="pg19370_198256"/>
      <w:bookmarkStart w:id="272" w:name="__RefHeading___Toc17391019_1280447820"/>
      <w:bookmarkStart w:id="273" w:name="_Toc86"/>
      <w:bookmarkEnd w:id="271"/>
      <w:bookmarkEnd w:id="272"/>
      <w:r>
        <w:rPr>
          <w:rtl w:val="true"/>
        </w:rPr>
        <w:t>كتاب القصاص</w:t>
      </w:r>
      <w:bookmarkEnd w:id="273"/>
    </w:p>
    <w:p>
      <w:pPr>
        <w:pStyle w:val="Heading3"/>
        <w:numPr>
          <w:ilvl w:val="2"/>
          <w:numId w:val="1"/>
        </w:numPr>
        <w:rPr/>
      </w:pPr>
      <w:bookmarkStart w:id="274" w:name="__RefHeading___Toc17391021_1280447820"/>
      <w:bookmarkStart w:id="275" w:name="_Toc87"/>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القصاص واقسامه</w:t>
      </w:r>
    </w:p>
    <w:p>
      <w:pPr>
        <w:pStyle w:val="BookText"/>
        <w:rPr/>
      </w:pPr>
      <w:r>
        <w:rPr>
          <w:rFonts w:ascii="IRNazanin" w:hAnsi="IRNazanin" w:eastAsia="IRNazanin"/>
          <w:color w:val="111111"/>
          <w:sz w:val="28"/>
          <w:sz w:val="28"/>
          <w:szCs w:val="28"/>
          <w:rtl w:val="true"/>
          <w:lang w:bidi="fa-IR"/>
        </w:rPr>
        <w:t>قصاص النفس</w:t>
      </w:r>
    </w:p>
    <w:p>
      <w:pPr>
        <w:pStyle w:val="BookText"/>
        <w:rPr/>
      </w:pPr>
      <w:r>
        <w:rPr>
          <w:rFonts w:ascii="IRNazanin" w:hAnsi="IRNazanin" w:eastAsia="IRNazanin"/>
          <w:color w:val="111111"/>
          <w:sz w:val="28"/>
          <w:sz w:val="28"/>
          <w:szCs w:val="28"/>
          <w:rtl w:val="true"/>
          <w:lang w:bidi="fa-IR"/>
        </w:rPr>
        <w:t>وسائل اثبات القتل عمداً</w:t>
      </w:r>
    </w:p>
    <w:p>
      <w:pPr>
        <w:pStyle w:val="BookText"/>
        <w:rPr/>
      </w:pPr>
      <w:r>
        <w:rPr>
          <w:rFonts w:ascii="Amiri" w:hAnsi="Amiri" w:eastAsia="Amiri" w:cs="Amiri"/>
          <w:color w:val="111111"/>
          <w:sz w:val="28"/>
          <w:sz w:val="28"/>
          <w:szCs w:val="28"/>
          <w:rtl w:val="true"/>
          <w:lang w:bidi="ar-SA"/>
        </w:rPr>
        <w:t>من احكام قصاص النفس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قصاص ما دون النفس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9370_198258"/>
      <w:bookmarkStart w:id="277" w:name="pg19370_198258"/>
      <w:bookmarkEnd w:id="277"/>
    </w:p>
    <w:p>
      <w:pPr>
        <w:pStyle w:val="Heading3"/>
        <w:numPr>
          <w:ilvl w:val="2"/>
          <w:numId w:val="1"/>
        </w:numPr>
        <w:rPr/>
      </w:pPr>
      <w:bookmarkStart w:id="278" w:name="pg19370_198258"/>
      <w:bookmarkStart w:id="279" w:name="__RefHeading___Toc17391023_1280447820"/>
      <w:bookmarkStart w:id="280" w:name="_Toc88"/>
      <w:bookmarkEnd w:id="278"/>
      <w:bookmarkEnd w:id="279"/>
      <w:r>
        <w:rPr>
          <w:rtl w:val="true"/>
        </w:rPr>
        <w:t>القصاص واقسامه</w:t>
      </w:r>
      <w:bookmarkEnd w:id="280"/>
    </w:p>
    <w:p>
      <w:pPr>
        <w:pStyle w:val="BookText"/>
        <w:rPr/>
      </w:pPr>
      <w:r>
        <w:rPr>
          <w:rFonts w:ascii="IRNazanin" w:hAnsi="IRNazanin" w:eastAsia="IRNazanin"/>
          <w:color w:val="111111"/>
          <w:sz w:val="28"/>
          <w:sz w:val="28"/>
          <w:szCs w:val="28"/>
          <w:rtl w:val="true"/>
          <w:lang w:bidi="fa-IR"/>
        </w:rPr>
        <w:t>القصاص</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الجزاء على الجناية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 بل حياة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يتعلّق بالنفس تارةً وبما دونها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القصاص ما ذكر ، فهو من واضحات اللغة والفقه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مشروع ، فهو من ضروريّات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على تشريعه بأنّه مخالف للانسانية والعاطفة ناشي‌ء عن الجهل أو التجاهل بفلسفته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الكتاب الكريم فى كثير من آياته الى تشريع القصاص ، وفى بعضها الاشارة الى فلسفته ،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w:t>
      </w:r>
    </w:p>
    <w:p>
      <w:pPr>
        <w:pStyle w:val="BookText"/>
        <w:rPr/>
      </w:pPr>
      <w:r>
        <w:rPr>
          <w:rFonts w:ascii="Amiri" w:hAnsi="Amiri" w:eastAsia="Amiri" w:cs="Amiri"/>
          <w:color w:val="111111"/>
          <w:sz w:val="28"/>
          <w:sz w:val="28"/>
          <w:szCs w:val="28"/>
          <w:rtl w:val="true"/>
          <w:lang w:bidi="ar-SA"/>
        </w:rPr>
        <w:t>الْقِصَاصُ فِي الْقَتْلَى الْحُرُّ بِالْحُرِّ وَالْعَبْدُ بِالْعَبْدِ وَالْأُنْثَى بِالْأُنْثَى</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وَكَتَبْنَا عَلَيْهِمْ فِيهَا أَنَّ النَّفْسَ بِالنَّفْسِ </w:t>
      </w:r>
      <w:r>
        <w:rPr>
          <w:rFonts w:eastAsia="Amiri" w:cs="Amiri" w:ascii="Amiri" w:hAnsi="Amiri"/>
          <w:color w:val="111111"/>
          <w:sz w:val="28"/>
          <w:szCs w:val="28"/>
          <w:rtl w:val="true"/>
          <w:lang w:bidi="ar-SA"/>
        </w:rPr>
        <w:t xml:space="preserve">... ) .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ويدلّ على ذلك بالعموم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ثم إنّ الآيات الكريمة المذكورة كما دلّت على شرعية القصاص دلّت أيضاً علي حرمة قتل المؤمن ظلماً ، بل إنّ ذلك من ضروريات الاسلام ، والنصوص الدالة علي ذلك كثيرة</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يحرم قتل الغير يحرم أيضاً قتل الانسان نفسه ، وذلك ممّا لاينبغى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ذلك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 وَمَنْ يَفْعَلْ ذَلِكَ عُدْوَانًا وَظُلْمًا فَسَوْفَ نُصْلِيهِ نَارًا</w:t>
      </w:r>
      <w:r>
        <w:rPr>
          <w:rFonts w:eastAsia="Amiri" w:cs="Amiri" w:ascii="Amiri" w:hAnsi="Amiri"/>
          <w:color w:val="111111"/>
          <w:sz w:val="28"/>
          <w:szCs w:val="28"/>
          <w:rtl w:val="true"/>
          <w:lang w:bidi="ar-SA"/>
        </w:rPr>
        <w:t xml:space="preserve">) . </w:t>
      </w:r>
      <w:r>
        <w:rPr>
          <w:rStyle w:val="FootnoteAnchor"/>
          <w:rtl w:val="true"/>
        </w:rPr>
        <w:footnoteReference w:id="562"/>
      </w:r>
      <w:r>
        <w:rPr>
          <w:rFonts w:ascii="Amiri" w:hAnsi="Amiri" w:eastAsia="Amiri" w:cs="Amiri"/>
          <w:color w:val="111111"/>
          <w:sz w:val="28"/>
          <w:sz w:val="28"/>
          <w:szCs w:val="28"/>
          <w:rtl w:val="true"/>
          <w:lang w:bidi="ar-SA"/>
        </w:rPr>
        <w:t xml:space="preserve">وقد روى أبو ولاد الحناط في </w:t>
      </w:r>
      <w:bookmarkStart w:id="281" w:name="pg19370_198260"/>
    </w:p>
    <w:p>
      <w:pPr>
        <w:pStyle w:val="BookText"/>
        <w:rPr/>
      </w:pPr>
      <w:bookmarkEnd w:id="281"/>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نفسه متعمداً فهو فى نار جهنم خالداً فيها </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ثم إنّ حرمة قتل الغير لاتختص بما اذا كان واجداً للروح ، بل تعمُّ الحمل الذي هو نطفة أو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موثقة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تخاف الحبل فتشرب الدواء فتلقى ما فى بطنها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نطفة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يخلق نطفة </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وبهذا اتّضح أنّ الحرمة تعمّ ما إذا كان الحمل من الزنا ، لإطلاق الموثقة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7391025_1280447820"/>
      <w:bookmarkStart w:id="283" w:name="_Toc89"/>
      <w:bookmarkEnd w:id="282"/>
      <w:r>
        <w:rPr>
          <w:rtl w:val="true"/>
        </w:rPr>
        <w:t>قصاص النفس</w:t>
      </w:r>
      <w:bookmarkEnd w:id="283"/>
    </w:p>
    <w:p>
      <w:pPr>
        <w:pStyle w:val="BookText"/>
        <w:rPr/>
      </w:pPr>
      <w:r>
        <w:rPr>
          <w:rFonts w:ascii="Amiri" w:hAnsi="Amiri" w:eastAsia="Amiri" w:cs="Amiri"/>
          <w:color w:val="111111"/>
          <w:sz w:val="28"/>
          <w:sz w:val="28"/>
          <w:szCs w:val="28"/>
          <w:rtl w:val="true"/>
          <w:lang w:bidi="ar-SA"/>
        </w:rPr>
        <w:t xml:space="preserve">لايثبت الحق لأولياء المقتول فى الاقتصاص من القاتل إلاّ إذا تمّت الشروط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القتل بنحو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التساوى فى الحرية والعبودية ، فيقتل الحر بالحر والعبد بالعبد ولايقتل الحر بالعبد ، بل يغرم قيمته يوم قتله مع تعزيره بالضرب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التساوى فى الدين ، فلايقتل المسلم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 تعزيره فيما اذا لم‌يكن القتل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يغرم ديته لو كان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القاتل أباً للمقتول ، فلايقتل الأب بقتله لابنه ، بل يعزر ويلزم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القاتل بالغاً عاقلاً وإلاّ فلايقتل وتلزم العاقلة بالدية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المقتول محقون الدم ، فلا قصاص فى القتل السائغ ، كقتل سابِّ النبى صلی اللّه علیه و آله أو أحد الأئمة علیهم السلام أو قتل المهاجم دفاعاً وما شاكل ذلك</w:t>
      </w:r>
      <w:r>
        <w:rPr>
          <w:rFonts w:eastAsia="IRNazanin" w:cs="IRNazanin"/>
          <w:color w:val="111111"/>
          <w:sz w:val="28"/>
          <w:szCs w:val="28"/>
          <w:rtl w:val="true"/>
          <w:lang w:bidi="fa-IR"/>
        </w:rPr>
        <w:t xml:space="preserve">. </w:t>
      </w:r>
      <w:bookmarkStart w:id="284" w:name="pg19370_198261"/>
    </w:p>
    <w:p>
      <w:pPr>
        <w:pStyle w:val="BookText"/>
        <w:rPr/>
      </w:pPr>
      <w:bookmarkEnd w:id="284"/>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حق القصاص لايثبت إلاّ إذا كان القتل بنحو العمد ، فهو 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مؤمناً متعمداً قيدَ منه إلاّ أن يرضى أولياء المقتول أن يقبلوا الدية ، فإن رضوا بالدية واحبَّ ذلك القاتل فالدية </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فى ظهور الصحيحة فى ثبوت حق القصاص فى موارد القتل العمدي ، وأما ظهورها فى نفيه فى غير ذلك ، فلو شكك فيه فبالامكان الاستعانة بالنصوص الدالة على ثبوت الدية ونفى القصاص فى موارد القتل خطأً والشبيه بالعمد ، كقوله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مؤمناً خطأً فتحرير رقبةٍ مؤمنةٍ ودية مسلّمة الي أهله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فإنّه بإطلاقه يدلّ على أنّ الخطأ بكلا قسميه تثبت فيه الدية دون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متسالم عليه بيننا وإن نسب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بلزوم القود فى الشبيه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صاحب الجواهر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الإجماع والسنّة بل والكتاب على خلافه ، ضرورة عدم صدق قتل المؤمن متعمّداً عليه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Heading3"/>
        <w:numPr>
          <w:ilvl w:val="2"/>
          <w:numId w:val="1"/>
        </w:numPr>
        <w:rPr/>
      </w:pPr>
      <w:bookmarkStart w:id="285" w:name="__RefHeading___Toc17391027_1280447820"/>
      <w:bookmarkStart w:id="286" w:name="_Toc90"/>
      <w:bookmarkEnd w:id="285"/>
      <w:r>
        <w:rPr>
          <w:rtl w:val="true"/>
        </w:rPr>
        <w:t>متى يصدق القتل متعمداً</w:t>
      </w:r>
      <w:bookmarkEnd w:id="28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فى صدق القتل متعمّداً فيما اذا قصد القاتل القتل بآلة يتحقق بها القتل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اذا قصده بآلة لايتحقق بها القتل إلاّ نادراً أو لم يقصده ولكن كانت الآلة يتحقق بها القتل غالباً فلايبعد صدقه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الحالة الاُولى فلفرض القصد </w:t>
      </w:r>
      <w:bookmarkStart w:id="287" w:name="pg19370_198262"/>
    </w:p>
    <w:p>
      <w:pPr>
        <w:pStyle w:val="BookText"/>
        <w:rPr/>
      </w:pPr>
      <w:bookmarkEnd w:id="287"/>
      <w:r>
        <w:rPr>
          <w:rFonts w:ascii="Amiri" w:hAnsi="Amiri" w:eastAsia="Amiri" w:cs="Amiri"/>
          <w:color w:val="111111"/>
          <w:sz w:val="28"/>
          <w:sz w:val="28"/>
          <w:szCs w:val="28"/>
          <w:rtl w:val="true"/>
          <w:lang w:bidi="ar-SA"/>
        </w:rPr>
        <w:t>الى القتل فيها ، وهو كافٍ عرفاً لصدق القتل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فى الحالة الثانية ، فلأن الاستعانة بالآلة التى يعلم بترتب القتل عليها عادة ، لاتنفك عن قصده بالتبع</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7391029_1280447820"/>
      <w:bookmarkStart w:id="289" w:name="_Toc91"/>
      <w:bookmarkEnd w:id="288"/>
      <w:r>
        <w:rPr>
          <w:rtl w:val="true"/>
        </w:rPr>
        <w:t>اقسام القتل</w:t>
      </w:r>
      <w:bookmarkEnd w:id="289"/>
    </w:p>
    <w:p>
      <w:pPr>
        <w:pStyle w:val="BookText"/>
        <w:rPr/>
      </w:pPr>
      <w:r>
        <w:rPr>
          <w:rFonts w:ascii="Amiri" w:hAnsi="Amiri" w:eastAsia="Amiri" w:cs="Amiri"/>
          <w:color w:val="111111"/>
          <w:sz w:val="28"/>
          <w:sz w:val="28"/>
          <w:szCs w:val="28"/>
          <w:rtl w:val="true"/>
          <w:lang w:bidi="ar-SA"/>
        </w:rPr>
        <w:t xml:space="preserve">ثم إنّ القتل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عمداً ، والقتل الشبيه بالعمد ، والقتل بنحو الخطأ المحض ، المعبّر عنه فى بعض الروايات بالقتل الذى لا شك فيه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والفارق بينها أنّ القاتل اذا كان قاصداً للقتل أو كانت الآلة التى استعان بها قاتلة غالباً فالقتل 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قاصداً لفعل معيّن من دون قصد القتل ولاترتب القتل عليه غالباً فالقتل شبيه بالعمد ، كالضرب تأديباً بالعصا فيتفق القتل ، وكاجراء الطبيب عملية جراحية لايترتب عليها الموت عادة ، فيتفق حصوله من دون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قاصد للفعل المعيّن فضلاً عن فرض قصد القتل أو كون الآلة قاتلة غالباً فالقتل بنحو الخطأ المحض ، كمن وجّه طلقة مسدّسة على حيوان فأصابت إنساناً ، أو كان يصلحه فانطلقت منه رصاصة فقتلت إنساناً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القتل العمدى القصاص إلاّ مع التراضى على الدية ، بينما حكم القتل في النحوين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الاشارة الى ذلك وتأتى ثانية أيضاً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الدية ، غايته فى القتل الشبيه بالعمد ، يتحملها القاتل بينما في القتل خطأً تتحملها عاقلة الجاني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الحر يقتل بالحر والعبد بالعبد ، فممّا لا إشكال فيه ، وهو القدر المتيقن من مورد تشريع القصاص وقد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وأما أنّ الحرَّ لايقتل بالعبد ، فلم يعرف فيه خلاف للروايات الكثيرة ، كصحيحة أبيبصير عن أحدهما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لايقتل حر بعبد ولكن يضرب ضرباً شديداً ويغرم ثمنه دية العبد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ورد فى بعض الروايات ما يدل على الخلاف ، كموثقة اسماعيل بن أبي زياد</w:t>
      </w:r>
      <w:r>
        <w:rPr>
          <w:rStyle w:val="FootnoteAnchor"/>
          <w:rtl w:val="true"/>
        </w:rPr>
        <w:footnoteReference w:id="571"/>
      </w:r>
      <w:r>
        <w:rPr>
          <w:rFonts w:ascii="IRNazanin" w:hAnsi="IRNazanin" w:eastAsia="IRNazanin"/>
          <w:color w:val="111111"/>
          <w:sz w:val="28"/>
          <w:sz w:val="28"/>
          <w:szCs w:val="28"/>
          <w:rtl w:val="true"/>
          <w:lang w:bidi="fa-IR"/>
        </w:rPr>
        <w:t xml:space="preserve">عن جعفر عن أبيه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قتل حرّاً بعبد قتله عمداً </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 وموثقة زيد بن على عن آبائه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الرجال والنساء قصاص إلاّ في النفس ، وليس بين الأحرار والمماليك قصاص إلاّ فى النفس </w:t>
      </w:r>
      <w:r>
        <w:rPr>
          <w:rFonts w:eastAsia="IRNazanin" w:cs="IRNazanin"/>
          <w:color w:val="111111"/>
          <w:sz w:val="28"/>
          <w:szCs w:val="28"/>
          <w:rtl w:val="true"/>
          <w:lang w:bidi="fa-IR"/>
        </w:rPr>
        <w:t xml:space="preserve">... » </w:t>
      </w:r>
      <w:r>
        <w:rPr>
          <w:rStyle w:val="FootnoteAnchor"/>
          <w:rtl w:val="true"/>
        </w:rPr>
        <w:footnoteReference w:id="573"/>
      </w:r>
      <w:r>
        <w:rPr>
          <w:rFonts w:ascii="IRNazanin" w:hAnsi="IRNazanin" w:eastAsia="IRNazanin"/>
          <w:color w:val="111111"/>
          <w:sz w:val="28"/>
          <w:sz w:val="28"/>
          <w:szCs w:val="28"/>
          <w:rtl w:val="true"/>
          <w:lang w:bidi="fa-IR"/>
        </w:rPr>
        <w:t xml:space="preserve">، وموثقة السكونى عن جعفر عن أبيه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العبيد والأحرار قصاص فيما دون النفس </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الروايات الثلاث المذكورة وإن كانت دلالة بعضها واضحة غير أنّها ساقطة عن الاعتبار ، إما لهجران الأصحاب لمضمونها ، أو لمخالفتها للكتاب الكريم حيث يستفاد من الآية المتقدمة أنّ الحر لايقتل بالعبد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المدار على قيمة العبد يوم قتله ، فلأنه اليوم الذى تشتغل فيه ذمة القاتل بالقيمة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التساوى فى الدين ، فلم يعرف فيه خلاف ، للنصوص المتعددة ، كصحيحة محمد بن قيس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يقاد مسلم بذمى فى القتل ولا في الجراحات ولكن يؤخذ من المسلم جنايته للذمى على قدر دية الذمى ثمانمائة درهم </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النصوص وإن كان هو الذمى إلاّ أنّه يتعدى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كالحربى والمستأمن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القطعية التى هى واضحة بلحاظ المستأمن أيضاً؛ لأنّ الذمي مستأمن وزيادة ، فاذا ثبت الحكم له ثبت لمن دونه بالأولوية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التعزير ، فلما تقدم فى البحث عن الحدود من ثبوته على ارتكاب ايّ محرم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دفع الدية لو كان المقتول ذمياً ، فلصحيحة محمد بن قيس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أن لايكون القاتل أباً للمقتول ، فهو ممّا لا خلاف فيه ، لصحيحة حمران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لايقاد والد بولده ويقتل الولد اذا قتل والده عمداً </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يعزر ، فلما تقدم من ثبوته على ارتكاب أى محرم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لزوم دفع الدية ، فلقاعدة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دم المسلم لايذهب هدراً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صحيحة عبداللّه بن سنان وعبداللّه بن بكير جميعاً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قضي </w:t>
      </w:r>
      <w:bookmarkStart w:id="290" w:name="pg19370_198265"/>
    </w:p>
    <w:p>
      <w:pPr>
        <w:pStyle w:val="BookText"/>
        <w:rPr/>
      </w:pPr>
      <w:bookmarkEnd w:id="290"/>
      <w:r>
        <w:rPr>
          <w:rFonts w:ascii="IRNazanin" w:hAnsi="IRNazanin" w:eastAsia="IRNazanin"/>
          <w:color w:val="111111"/>
          <w:sz w:val="28"/>
          <w:sz w:val="28"/>
          <w:szCs w:val="28"/>
          <w:rtl w:val="true"/>
          <w:lang w:bidi="fa-IR"/>
        </w:rPr>
        <w:t xml:space="preserve">أميرالمؤمنين علیه السلام فى رجل وجد مقتولاً لايدرى من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أولياء يطلبون ديته اُعطوا ديته من 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ولايبطل دم امرئ مسلم؛ لأنّ ميراثه للإمام فكذلك تكون ديته على الإمام </w:t>
      </w:r>
      <w:r>
        <w:rPr>
          <w:rFonts w:eastAsia="IRNazanin" w:cs="IRNazanin"/>
          <w:color w:val="111111"/>
          <w:sz w:val="28"/>
          <w:szCs w:val="28"/>
          <w:rtl w:val="true"/>
          <w:lang w:bidi="fa-IR"/>
        </w:rPr>
        <w:t xml:space="preserve">... » </w:t>
      </w:r>
      <w:r>
        <w:rPr>
          <w:rStyle w:val="FootnoteAnchor"/>
          <w:rtl w:val="true"/>
        </w:rPr>
        <w:footnoteReference w:id="57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صحيحة ظريف قد دلّت فى ذيلها على ذلك حيث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له الدية ولايقاد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يكون القاتل بالغاً عاقلاً ، فأمر لا خلاف فيه ، لحديث رفع القلم</w:t>
      </w:r>
      <w:r>
        <w:rPr>
          <w:rStyle w:val="FootnoteAnchor"/>
          <w:rtl w:val="true"/>
        </w:rPr>
        <w:footnoteReference w:id="579"/>
      </w:r>
      <w:r>
        <w:rPr>
          <w:rFonts w:ascii="IRNazanin" w:hAnsi="IRNazanin" w:eastAsia="IRNazanin"/>
          <w:color w:val="111111"/>
          <w:sz w:val="28"/>
          <w:sz w:val="28"/>
          <w:szCs w:val="28"/>
          <w:rtl w:val="true"/>
          <w:lang w:bidi="fa-IR"/>
        </w:rPr>
        <w:t>المشتهر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هو لايدل على لزوم تحمل العاقلة للدية ولابدَّ من الاستناد فى ذلك الى الروايات الخاصة ، كصحيحة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أميرالمؤمنين علیه السلام يجعل جناية المعتوه على عاقلته خطأً كان أو عمداً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 وموثقة اسحاق بن عمار عن جعفر عن أبيه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الصبيان خطأ يحمل على العاقلة </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أن يكون المقتول محقون الدم ، فواضح ، إذ بعد جواز القتل لا معنى للاقتصاص من القاتل ، بل لا مجال أيضاً لاحتمال ثبوت الدية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7391031_1280447820"/>
      <w:bookmarkStart w:id="292" w:name="_Toc92"/>
      <w:bookmarkEnd w:id="291"/>
      <w:r>
        <w:rPr>
          <w:rtl w:val="true"/>
        </w:rPr>
        <w:t>وسائل اثبات القتل عمداً</w:t>
      </w:r>
      <w:bookmarkEnd w:id="2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القتل عمداً بوسائل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ولو مرة واحدة ، والبيّنة بمعنى شهادة رجلين عدلين ، والقسامة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ثبوت القتل عمداً باقرار القاتل ، فلإطلاق دليل حجية الاقرار المتمثل في السيرة العقلائية على نفوذ اقرار كل عاقل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ذلك صحيحة 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أقرَّ على نفسه عند الامام بحقّ حدٍّ من حدود اللّه فى حقوق المسلمين ، فليس على الإمام أن يقيم عليه الحد الذى أقرّ به عنده حتى يحضر صاحب الحق أو وليّه فيطالبه بحقه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فما هذه الحدود التى اذا اقرّ بها عند الإمام مرة واحدة على نفسه اُقيم عليه الحدُّ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أقرَّ على نفسه عند الإمام بسرقة قطعه ، فهذا من حقوق اللّه ، وإذا أقرَّ على نفسه أنّه شرب خمراً حدّه فهذا من حقوق اللّه ، وإذا أقرَّ على نفسه بالزنا وهو غير محصن فهذا من حقوق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المسلمين فإذا أقرّ على نفسه عند الإمام بفرية لم يحدّه حتى يحضر صاحب الفرية أو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أقرَّ بقتل رجل لم‌يقتله حتى يحضر أولياء المقتول فيطالبوا بدم صاحبهم </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هذا والمنسوب الى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وابن ادريس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الاقرار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صاحب الجواهر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نعرف له وجهاً إلاّ الاحتياط فى الدماء الذى لا يعارض الأدلة ، مع أنّه معارض بمثله وعدم بطلان دم المسلم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يضاف اليه بأنّ ذلك لو تمّ ، فلازمه اعتبار الاقرار أربع مرات ، فإنّ ذلك معتبر فى الزنا ، والقتل ليس بأدون منه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ثبوت ذلك بالبينة ، فلإنصراف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علي من ادّعي </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أقضى بينكم بالبينات والأيمان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الى شهادة الرجلين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التشكيك فى الانصراف المذكور يمكن التمسك بالإطلاق المقامي ، فإنّ الوسيلة المعروفة للإثبات هى شهادة رجلين عدلين ، والسكوت عن تحديد البينة لابدَّ وأن يكون اعتماداً على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القَسامة </w:t>
      </w:r>
      <w:r>
        <w:rPr>
          <w:rStyle w:val="FootnoteAnchor"/>
          <w:rtl w:val="true"/>
        </w:rPr>
        <w:footnoteReference w:id="586"/>
      </w:r>
      <w:r>
        <w:rPr>
          <w:rFonts w:ascii="IRNazanin" w:hAnsi="IRNazanin" w:eastAsia="IRNazanin"/>
          <w:color w:val="111111"/>
          <w:sz w:val="28"/>
          <w:sz w:val="28"/>
          <w:szCs w:val="28"/>
          <w:rtl w:val="true"/>
          <w:lang w:bidi="fa-IR"/>
        </w:rPr>
        <w:t xml:space="preserve">، فالاتّكال عليها كوسيلة للإثبات مخالف للقاعدة الأولية ، إذ مقتضى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البينة على من ادّعى واليمين على من ادّعى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كل من ادّعي شيئاً فلاتثبت دعواه إلاّ إذا أقام البيّنة عليها ، ولكن شذَّ من ذلك مورد الدم ، فإنّ ولي المقتول اذا ادّعى أنّ القاتل فلان ، فإن كانت له بيّنة على ذلك حكم بصدق دعواه ، وإن لم‌تكن له بيّنة فالمناسب للقاعدة المتقدمة وصول النوبة الى يمين المدّعى عليه ، ولكن لأجل النصوص الخاصة انعكست القاعدة فى ذلك فالمدّعى عليه لايمكنه دفع الدعوى عن نفسه باليمين ، بل ينحصر دفعها بالبيّنة التى تشهد بنفى نسبة القتل اليه ، واذا لم‌تكن له بيّنة فبإمكان المدّعى اثبات دعواه من خلال حلف خمسين رجلاً من أقاربه أو غيرهم على صدق الدعوي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على ذلك عدة نصوص ، كصحيحة بريد بن معاوية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القسامة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كلّها </w:t>
      </w:r>
    </w:p>
    <w:p>
      <w:pPr>
        <w:pStyle w:val="BookText"/>
        <w:rPr/>
      </w:pPr>
      <w:r>
        <w:rPr>
          <w:rFonts w:ascii="IRNazanin" w:hAnsi="IRNazanin" w:eastAsia="IRNazanin"/>
          <w:color w:val="111111"/>
          <w:sz w:val="28"/>
          <w:sz w:val="28"/>
          <w:szCs w:val="28"/>
          <w:rtl w:val="true"/>
          <w:lang w:bidi="fa-IR"/>
        </w:rPr>
        <w:t xml:space="preserve">البيّنة على المدّعى واليمين على المدّعى عليه إلاّ فى الدم خاصة ، فإنّ رسول‌اللّه صلی اللّه علیه و آله بينما هو بخيبر إذ فقدت الأنصار رجلاً منهم فوجدوه قتيلاً ،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اليهودى قتل صاحبنا ، فقال رسول‌اللّه صلی اللّه علیه و آله للطالبين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رجلين عدلين من غيركم اقده برمته ،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والرُمة ـ بضم الراء ـ قطعة حبل يشدُّ بها القاتل عند أخذه الى محل القصاص لئلا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فى الأصل ولكنه قد تستعمل ـ لمناسبة أو بدونها ـ بمعنى جميع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الشيء برمته ، أى أخذته كله وجميعه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الروايات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لم‌تجدوا شاهدين فأقيموا قسامة خمسين رجلاً أقده برمته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ما عندنا شاهدان من غيرنا وإنّا لنكره أن نقسم علي ما لم‌نره فوداه رسول‌اللّه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حقن دماء المسلمين بالقسامة لكى اذا رأي الفاجر الفاسق فرصة من عدوه حجزه مخافة القسامة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أبى بصير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حكم فى دمائكم بغير ما حكم به فى أموالكم ، حكم فى أموالكم أن البيّنة على المدّعى واليمين على المدّعى عليه ، وحكم فى دمائكم أنّ البينة على المدّعى عليه واليمين على من ادّعي ، لئلاّ يبطل دم امرئ مسلم </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توجد عدة أسئلة ترتبط بالمقام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فى قبول القسامة اللوث؟</w:t>
      </w:r>
      <w:r>
        <w:rPr>
          <w:rStyle w:val="FootnoteAnchor"/>
          <w:rtl w:val="true"/>
        </w:rPr>
        <w:footnoteReference w:id="58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إطلاق النصوص عدم اعتبار ذلك إلاّ أنّه لابدَّ من رفع اليد عنه لتسالم </w:t>
      </w:r>
      <w:bookmarkStart w:id="293" w:name="pg19370_198269"/>
    </w:p>
    <w:p>
      <w:pPr>
        <w:pStyle w:val="BookText"/>
        <w:rPr/>
      </w:pPr>
      <w:bookmarkEnd w:id="293"/>
      <w:r>
        <w:rPr>
          <w:rFonts w:ascii="Amiri" w:hAnsi="Amiri" w:eastAsia="Amiri" w:cs="Amiri"/>
          <w:color w:val="111111"/>
          <w:sz w:val="28"/>
          <w:sz w:val="28"/>
          <w:szCs w:val="28"/>
          <w:rtl w:val="true"/>
          <w:lang w:bidi="ar-SA"/>
        </w:rPr>
        <w:t xml:space="preserve">الأصحاب على اعتبار ذلك ، فإنّه على ما قيل لم‌يعرف الخلاف إلاّ من المحقق الأردبيلى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لهم على ذلك إجماعاً أو نصّاً ما اطلعت عليه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المدّعى أحد الخمسين أو يلزم أن يكون خارجاً عنهم؟</w:t>
      </w:r>
    </w:p>
    <w:p>
      <w:pPr>
        <w:pStyle w:val="BookText"/>
        <w:rPr/>
      </w:pPr>
      <w:r>
        <w:rPr>
          <w:rFonts w:ascii="Amiri" w:hAnsi="Amiri" w:eastAsia="Amiri" w:cs="Amiri"/>
          <w:color w:val="111111"/>
          <w:sz w:val="28"/>
          <w:sz w:val="28"/>
          <w:szCs w:val="28"/>
          <w:rtl w:val="true"/>
          <w:lang w:bidi="ar-SA"/>
        </w:rPr>
        <w:t>يجوز أن يكون أحدهم كما هو مقتضى ظاهر صحيحة بريد المتقدمة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فى الأيمان الخمسين أن تكون من خمسين رجلاً ، أو يجوز تكرارها من الرجل الواحد اذا كان العدد أقلّ من ذلك؟</w:t>
      </w:r>
    </w:p>
    <w:p>
      <w:pPr>
        <w:pStyle w:val="BookText"/>
        <w:rPr/>
      </w:pPr>
      <w:r>
        <w:rPr>
          <w:rFonts w:ascii="Amiri" w:hAnsi="Amiri" w:eastAsia="Amiri" w:cs="Amiri"/>
          <w:color w:val="111111"/>
          <w:sz w:val="28"/>
          <w:sz w:val="28"/>
          <w:szCs w:val="28"/>
          <w:rtl w:val="true"/>
          <w:lang w:bidi="ar-SA"/>
        </w:rPr>
        <w:t>مقتضى صحيحة بريد المتقدمة هو الأول ، إلاّ أنّ المنسوب الى المشهور هو الثاني ، بل ادّعى تسالم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ويدعم ذلك أنّ بعض النصوص</w:t>
      </w:r>
      <w:r>
        <w:rPr>
          <w:rStyle w:val="FootnoteAnchor"/>
          <w:rtl w:val="true"/>
        </w:rPr>
        <w:footnoteReference w:id="591"/>
      </w:r>
      <w:r>
        <w:rPr>
          <w:rFonts w:ascii="Amiri" w:hAnsi="Amiri" w:eastAsia="Amiri" w:cs="Amiri"/>
          <w:color w:val="111111"/>
          <w:sz w:val="28"/>
          <w:sz w:val="28"/>
          <w:szCs w:val="28"/>
          <w:rtl w:val="true"/>
          <w:lang w:bidi="ar-SA"/>
        </w:rPr>
        <w:t>قد دل على أنّ العلة فى تشريع القسامة هو الاحتياط للدماء ، فإذا كان يعتبر أن يكون عدد الحالفين خمسين‌رجلاً يلزم عدم إمكان تحقق الاحتياط لندرة تحصيل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بصيغة أو روح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اعتبار خمسين رجلاً لَغوية تشريع القسامة ، لندرة حصول 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7391033_1280447820"/>
      <w:bookmarkStart w:id="295" w:name="_Toc93"/>
      <w:bookmarkEnd w:id="294"/>
      <w:r>
        <w:rPr>
          <w:rtl w:val="true"/>
        </w:rPr>
        <w:t>من احكام قصاص النفس</w:t>
      </w:r>
      <w:bookmarkEnd w:id="295"/>
    </w:p>
    <w:p>
      <w:pPr>
        <w:pStyle w:val="BookText"/>
        <w:rPr/>
      </w:pPr>
      <w:r>
        <w:rPr>
          <w:rFonts w:ascii="Amiri" w:hAnsi="Amiri" w:eastAsia="Amiri" w:cs="Amiri"/>
          <w:color w:val="111111"/>
          <w:sz w:val="28"/>
          <w:sz w:val="28"/>
          <w:szCs w:val="28"/>
          <w:rtl w:val="true"/>
          <w:lang w:bidi="ar-SA"/>
        </w:rPr>
        <w:t>إذا قتل الرجل المرأة عمداً اقتصّ منه بعد ردِّ نصف ديته الى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أكره شخص غيره على قتل ثالث وتوعده على المخالفة فلايجوز له قتله ، سواء كان ما توعد به ما دون القتل أو هو</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فى القتل العمدى هو القصاص دون التخيير بينه وبين المطالبة بالدية إلاّ اذا </w:t>
      </w:r>
    </w:p>
    <w:p>
      <w:pPr>
        <w:pStyle w:val="BookText"/>
        <w:rPr/>
      </w:pPr>
      <w:r>
        <w:rPr>
          <w:rFonts w:ascii="Amiri" w:hAnsi="Amiri" w:eastAsia="Amiri" w:cs="Amiri"/>
          <w:color w:val="111111"/>
          <w:sz w:val="28"/>
          <w:sz w:val="28"/>
          <w:szCs w:val="28"/>
          <w:rtl w:val="true"/>
          <w:lang w:bidi="ar-SA"/>
        </w:rPr>
        <w:t>فرض تراضى الطرفين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جواز المبادرة الى القصاص ، مشروط بالاستئذان من وليّ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تحديد من له حق القصاص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تعدد الأولياء فلايبعد القول بجواز اقتصاص كل واحد منهم مستقلاً ومن دون إذن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اقتصّ بعض الأولياء مع رضا البقية فلا إشكال ، وإلاّ ضمن المقتصّ حصّتهم من الدية إن طالبوا بها ، ويضمنها لورثة الجانى على تقدير العفو عن القصاص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لزوم كون الاقتصاص بالسيف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 الرجل لو قتل المرأة متعمداً اقتصّ منه بعد ردّ نصف ديته الى أوليائه ، فلم يعرف فيه خلاف لما يأتى فى باب الديات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دية المرأة نصف دية الرجل ، فإذا جاز الاقتصاص منه لزم ردُّ نصف الدية الى أوليائه ، كما دلّت على ذلك صحيحة الحلبى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يقتل المرأة متعمّداً فأراد أهل المرأة أن يقتلوه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لهم إذا أدّوا الى أهله نصف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قبلوا الدية فلهم نصف دية الرجل </w:t>
      </w:r>
      <w:r>
        <w:rPr>
          <w:rFonts w:eastAsia="IRNazanin" w:cs="IRNazanin"/>
          <w:color w:val="111111"/>
          <w:sz w:val="28"/>
          <w:szCs w:val="28"/>
          <w:rtl w:val="true"/>
          <w:lang w:bidi="fa-IR"/>
        </w:rPr>
        <w:t xml:space="preserve">... » </w:t>
      </w:r>
      <w:r>
        <w:rPr>
          <w:rStyle w:val="FootnoteAnchor"/>
          <w:rtl w:val="true"/>
        </w:rPr>
        <w:footnoteReference w:id="59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وفى مقابل ذلك رواية السكونى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أميرالمؤمنين علیه السلام قتل رجلاً بامرأة قتلها عمداً </w:t>
      </w:r>
      <w:r>
        <w:rPr>
          <w:rFonts w:eastAsia="IRNazanin" w:cs="IRNazanin"/>
          <w:color w:val="111111"/>
          <w:sz w:val="28"/>
          <w:szCs w:val="28"/>
          <w:rtl w:val="true"/>
          <w:lang w:bidi="fa-IR"/>
        </w:rPr>
        <w:t xml:space="preserve">... » </w:t>
      </w:r>
      <w:r>
        <w:rPr>
          <w:rStyle w:val="FootnoteAnchor"/>
          <w:rtl w:val="true"/>
        </w:rPr>
        <w:footnoteReference w:id="593"/>
      </w:r>
      <w:r>
        <w:rPr>
          <w:rFonts w:ascii="IRNazanin" w:hAnsi="IRNazanin" w:eastAsia="IRNazanin"/>
          <w:color w:val="111111"/>
          <w:sz w:val="28"/>
          <w:sz w:val="28"/>
          <w:szCs w:val="28"/>
          <w:rtl w:val="true"/>
          <w:lang w:bidi="fa-IR"/>
        </w:rPr>
        <w:t xml:space="preserve">وموثقة اسحاق بن عمّار عن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w:t>
      </w:r>
    </w:p>
    <w:p>
      <w:pPr>
        <w:pStyle w:val="BookText"/>
        <w:rPr/>
      </w:pPr>
      <w:r>
        <w:rPr>
          <w:rFonts w:ascii="IRNazanin" w:hAnsi="IRNazanin" w:eastAsia="IRNazanin"/>
          <w:color w:val="111111"/>
          <w:sz w:val="28"/>
          <w:sz w:val="28"/>
          <w:szCs w:val="28"/>
          <w:rtl w:val="true"/>
          <w:lang w:bidi="fa-IR"/>
        </w:rPr>
        <w:t xml:space="preserve">قتل امرأة فلم يجعل عليّ علیه السلام بينهما قصاصاً وألزمه الدية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الرواية الاُولي ، فبأنّها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سنداً ولم‌يناقش من ناحية النوفلى الذي لم‌يرد فى حقه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قابلة للتقييد بصحيحة الحلبى وغيرها الدالة علي لزوم دفع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الرواية الثانية ، فبأنّه لو أمكن حملها على كون المراد عدم جعل القصاص مجرداً عن ردّ نصف الدية فلا مشكلة ، وإلاّ فهى ساقطة عن الاعتبار ، لهجران الأصحاب لمضمونها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اُكره على قتل ثالثٍ فلا يجوز له قتله إن كان ما توعّد به دون القتل ، فالأمر فيه واضح ، إذ يحرم قتل المؤمن ظلماً ومن دون حق ، ولا ترتفع الحرمة بالإكراه على ما دون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داخل تحت باب التزاحم ، فيلزم تقديم الأهمّ جزماً أو احتمالاً ، وهو حرمة 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لاترتفع الحرمة بحديث رفع التسعة؟</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الحديث مسوق مساق الإمتنان على النوع ، فيلزم عدم شموله للموارد التى يلزم فيها خلاف ذلك ، كما هو المفروض فى المقام لو قيل بالشمول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أنّه لايجوز القتل حتى اذا كان المتوعد به هو القتل أيضاً ، فلما دلّ علي أنه لا تقية فى الدماء ، كصحيحة محمد بن مسلم عن أبيجعفر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جعلت </w:t>
      </w:r>
    </w:p>
    <w:p>
      <w:pPr>
        <w:pStyle w:val="BookText"/>
        <w:rPr/>
      </w:pPr>
      <w:r>
        <w:rPr>
          <w:rFonts w:ascii="Amiri" w:hAnsi="Amiri" w:eastAsia="Amiri" w:cs="Amiri"/>
          <w:color w:val="111111"/>
          <w:sz w:val="28"/>
          <w:sz w:val="28"/>
          <w:szCs w:val="28"/>
          <w:rtl w:val="true"/>
          <w:lang w:bidi="ar-SA"/>
        </w:rPr>
        <w:t xml:space="preserve">التقية ليحقن بها الدم ، فإذا بلغت الدم فليس تقية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لكان المناسب جواز القتل؛ لأنّ المورد داخل تحت باب التزاحم ، إذ الأمر يدور بين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لاترجيح فلابدَّ من الحكم بالتخيير ، إلاّ أنّ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تقية فى الدماء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علي شمولها لموارد الإكراه كما يظهر من الشيخ الأعظم فى مكاسبه</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الحكم فى القتل العمدى هو القصاص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ظاهر الكتاب الكريم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الْقِصَاصُ فِي الْقَتْلَى الْحُرُّ بِالْحُرِّ </w:t>
      </w:r>
      <w:r>
        <w:rPr>
          <w:rFonts w:eastAsia="Amiri" w:cs="Amiri" w:ascii="Amiri" w:hAnsi="Amiri"/>
          <w:color w:val="111111"/>
          <w:sz w:val="28"/>
          <w:szCs w:val="28"/>
          <w:rtl w:val="true"/>
          <w:lang w:bidi="ar-SA"/>
        </w:rPr>
        <w:t xml:space="preserve">... ) </w:t>
      </w:r>
      <w:r>
        <w:rPr>
          <w:rStyle w:val="FootnoteAnchor"/>
          <w:rtl w:val="true"/>
        </w:rPr>
        <w:footnoteReference w:id="598"/>
      </w:r>
      <w:r>
        <w:rPr>
          <w:rFonts w:ascii="IRNazanin" w:hAnsi="IRNazanin" w:eastAsia="IRNazanin"/>
          <w:color w:val="111111"/>
          <w:sz w:val="28"/>
          <w:sz w:val="28"/>
          <w:szCs w:val="28"/>
          <w:rtl w:val="true"/>
          <w:lang w:bidi="fa-IR"/>
        </w:rPr>
        <w:t xml:space="preserve">وغيره ، والنصوص الخاصة ، كصحيحة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مؤمناً متعمداً قِيدَ منه ، إلاّ أن يرضى أولياء المقتول أن يقبلوا الدية ، فإن رضوا بالدية وأحبّ ذلك القاتل فالدية </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هذا ولكن المنسوب الى الاسكافى والعمانى الحكم بتخيير أولياء المقتول بين القصاص والمطالبة بالدية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تراضى الطرفين على الدية يسقط القصاص ، فباعتبار أنّ الحق لايعدو الطرفين فاذا تراضيا على الدية بمقدارها الشرعى أو غيره جاز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صحيحة عبداللّه بن سنان السابقة واضحة فى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جواز المبادرة الى القصاص مشروط بالاستئذان من ولى المسلمين ، </w:t>
      </w:r>
    </w:p>
    <w:p>
      <w:pPr>
        <w:pStyle w:val="BookText"/>
        <w:rPr/>
      </w:pPr>
      <w:r>
        <w:rPr>
          <w:rFonts w:ascii="IRNazanin" w:hAnsi="IRNazanin" w:eastAsia="IRNazanin"/>
          <w:color w:val="111111"/>
          <w:sz w:val="28"/>
          <w:sz w:val="28"/>
          <w:szCs w:val="28"/>
          <w:rtl w:val="true"/>
          <w:lang w:bidi="fa-IR"/>
        </w:rPr>
        <w:t>فقد ادّعى عدم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والإستناد اليه وجيه لو فرض تحقق تسالم بين الكل بنحوٍ يكون كاشفاً عن وصول الحكم من الامام علیه السلام يداً بيد وإلاّ فالمناسب التمسك بإطلاق أدلة جواز القصاص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له حق القصاص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يرث المال عدا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هو كل من يرث المال ، فلعموم ادلة الارث من آية أوليالأرحام</w:t>
      </w:r>
      <w:r>
        <w:rPr>
          <w:rStyle w:val="FootnoteAnchor"/>
          <w:rtl w:val="true"/>
        </w:rPr>
        <w:footnoteReference w:id="601"/>
      </w:r>
      <w:r>
        <w:rPr>
          <w:rFonts w:ascii="Amiri" w:hAnsi="Amiri" w:eastAsia="Amiri" w:cs="Amiri"/>
          <w:color w:val="111111"/>
          <w:sz w:val="28"/>
          <w:sz w:val="28"/>
          <w:szCs w:val="28"/>
          <w:rtl w:val="true"/>
          <w:lang w:bidi="ar-SA"/>
        </w:rPr>
        <w:t xml:space="preserve">وغيرها ، وإطلاق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بناءً على كون المقصود من الولى مطلق الوارث لا حصّة خاصة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استثناء الزوج والزوجة ، فللتسالم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استفادته من موثقة البقباق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للنساء قود أو عفو؟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وذلك للعصبة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له حق القصاص هو كل وارث للمال غير النساء والزوج والزوجة ومن يتقرب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فى ذلك هو الموثقة المتقدمة ، فإنّها حصرت حق القصاص بالعصبة وهم بنوه وقرابته لأبيه</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الاقتصاص لكلّ واحد من الأولياء بلا حاجة الى كسب الإذن من البقية ، فهو رأى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ظاهر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الحكم ما دام مجعولاً لطبيعى الولى فيلزم انحلاله بعدد </w:t>
      </w:r>
    </w:p>
    <w:p>
      <w:pPr>
        <w:pStyle w:val="BookText"/>
        <w:rPr/>
      </w:pPr>
      <w:r>
        <w:rPr>
          <w:rFonts w:ascii="Amiri" w:hAnsi="Amiri" w:eastAsia="Amiri" w:cs="Amiri"/>
          <w:color w:val="111111"/>
          <w:sz w:val="28"/>
          <w:sz w:val="28"/>
          <w:szCs w:val="28"/>
          <w:rtl w:val="true"/>
          <w:lang w:bidi="ar-SA"/>
        </w:rPr>
        <w:t>أفراده ، كما فى سائر الموارد التى ينحلّ فيها الحكم بانحلال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الحق قائماً بالمجموع أو بالجامع بنحو صرف الوجود بعيد ، بل ظاهر الآية تعلقه بالجامع بنحو الانحلال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على تقدير اقتصاص بعض الأولياء من دون اذن البقية ، فعليه دفع مقدار حصته من الدية إن طالب بذلك ويدفع ذلك الى ورثة الجانى على تقدير العفو عن القصاص والدية فهو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أبى ولاّد الحناط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رجل قتل وله اُم وأب وابن ، فقال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اُريد أن أقتل قاتل أبي ، وقال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اُريد أن أعفو ، وقالت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اُريد أن آخذ الدية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فليعط الابن اُمَّ المقتول السدس من الدية ، ويعطى ورثةَ القاتل السدس من الدية حقّ الأب الذى عفا وليقتله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لزوم كون الاقتصاص بالسيف ، فتدل عليه صحيحة الحلبى وأبيالصباح الكنانى عن أبيعبداللّه علیه 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سألناه عن رجل ضرب رجلاً بعصا فلم يقلع عنه الضرب حتى مات ، أيدفع الى وليّ المقتول فيقتله؟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ولكن لايترك يعبث به ولكن يجيز عليه بالسيف </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يقال أنّ ذكر السيف هو من باب كونه آلة القتل المتداولة تلك الفترة ، ومعه فلا تدل على الحصر والاختصاص</w:t>
      </w:r>
      <w:r>
        <w:rPr>
          <w:rFonts w:eastAsia="Amiri" w:cs="Amiri" w:ascii="Amiri" w:hAnsi="Amiri"/>
          <w:color w:val="111111"/>
          <w:sz w:val="28"/>
          <w:szCs w:val="28"/>
          <w:rtl w:val="true"/>
          <w:lang w:bidi="ar-SA"/>
        </w:rPr>
        <w:t xml:space="preserve">. </w:t>
      </w:r>
      <w:bookmarkStart w:id="296" w:name="pg19370_198275"/>
    </w:p>
    <w:p>
      <w:pPr>
        <w:pStyle w:val="Heading3"/>
        <w:numPr>
          <w:ilvl w:val="2"/>
          <w:numId w:val="1"/>
        </w:numPr>
        <w:rPr/>
      </w:pPr>
      <w:bookmarkStart w:id="297" w:name="__RefHeading___Toc17391035_1280447820"/>
      <w:bookmarkStart w:id="298" w:name="_Toc94"/>
      <w:bookmarkEnd w:id="296"/>
      <w:bookmarkEnd w:id="297"/>
      <w:r>
        <w:rPr>
          <w:rtl w:val="true"/>
        </w:rPr>
        <w:t>قصاص ما دون النفس</w:t>
      </w:r>
      <w:bookmarkEnd w:id="298"/>
    </w:p>
    <w:p>
      <w:pPr>
        <w:pStyle w:val="BookText"/>
        <w:rPr/>
      </w:pPr>
      <w:r>
        <w:rPr>
          <w:rFonts w:ascii="Amiri" w:hAnsi="Amiri" w:eastAsia="Amiri" w:cs="Amiri"/>
          <w:color w:val="111111"/>
          <w:sz w:val="28"/>
          <w:sz w:val="28"/>
          <w:szCs w:val="28"/>
          <w:rtl w:val="true"/>
          <w:lang w:bidi="ar-SA"/>
        </w:rPr>
        <w:t>يجوز القصاص فى الأطراف اذا جُنى عليها عمداً متى ما تمّت الشروط السابقة في قصاص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التساوى فى الذكورة والاُنوثة ، فلو جنت المرأة على الرجل اقتصّ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لو جنى هو عليها اقتصت منه بعد ردِّ التفاوت اليه اذا بلغت دية الجناية الثلث وإلاّ فلا ردَّ ، فلو قطع الرجل اصبع امرأة جاز لها قطع اصبعه بدون ردِّ شيء اليه بينما لو قطع يدها جاز لها قطع يده بعد ردِّ نصف دية يده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القصاص أيضاً فى الجروح فيما اذا أمكن ضبطها ، بأن كان يمكن القصاص بمقدار الجرح ، وإلاّ تعيّنت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جواز القصاص فى الأطراف اذا جنى عليها عمداً ، فهو من ضروريات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والعمومات المذكورة عند البحث عن قصاص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فى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الاشارة الى بعضها ان شاء اللّه تعالي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شروط قصاص النفس فى المقام أيضاً ، فهو ممّا تسالم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الأدلة المتقدمة لشروط القصاص فى النفس فإنّها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فى بعضها قصور عن إثبات التعميم ، فالتسالم القطعى كافٍ لإثبات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جواز القصاص ليس مشروطاً بالتساوى فى الذكورة والاُنوثة ، فيدل عليه إطلاق الآية المتقدمة ، مضافاً الى قضاء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ستأتي الإشارة الى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وفى المقابل دلّت موثقة زيد بن على عن آبائه عن على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الرجال والنساء قصاص إلاّ فى النفس </w:t>
      </w:r>
      <w:r>
        <w:rPr>
          <w:rFonts w:eastAsia="IRNazanin" w:cs="IRNazanin"/>
          <w:color w:val="111111"/>
          <w:sz w:val="28"/>
          <w:szCs w:val="28"/>
          <w:rtl w:val="true"/>
          <w:lang w:bidi="fa-IR"/>
        </w:rPr>
        <w:t xml:space="preserve">... » </w:t>
      </w:r>
      <w:r>
        <w:rPr>
          <w:rStyle w:val="FootnoteAnchor"/>
          <w:rtl w:val="true"/>
        </w:rPr>
        <w:footnoteReference w:id="608"/>
      </w:r>
      <w:r>
        <w:rPr>
          <w:rFonts w:ascii="Amiri" w:hAnsi="Amiri" w:eastAsia="Amiri" w:cs="Amiri"/>
          <w:color w:val="111111"/>
          <w:sz w:val="28"/>
          <w:sz w:val="28"/>
          <w:szCs w:val="28"/>
          <w:rtl w:val="true"/>
          <w:lang w:bidi="ar-SA"/>
        </w:rPr>
        <w:t>على أنّ المرأة لاتقتص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مضمونها مهجور بين الأصحاب ، فتكون ساقطة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للروايات الآتية الدالة على أنّ للمرأة حق القصاص من الرجل ، وحيث إنّ المعارضة مستقرة فتقدم الروايات الدالة على جواز القصاص ، لموافقتها لإطلاق الكتاب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المرأة يجوز لها الاقتصاص من الرجل لو جنى عليها بشرط ردِّ التفاوت فيما إذا بلغت دية الجناية الثلث ، فهو يتضمّن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تساوى الرجل فى دية الأعضاء مادام لم‌يحصل تجاوز عن‌الثلث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يجوز لها القصاص من الرجل بشرط ردّ التفاوت إن حصل تجاوز عن الثلث وإلاّ جاز لها القصاص من دون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الي المطلب الأول ، فيأتى ما يدل عليه فى باب الديات إن شاءاللّه تعالي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الى المطلب الثاني ، فتدل عليه صحيحة الحلبى عن أبي عبداللّه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فقأ عين امرأة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أن يفقأوا عينه ويؤدّوا اليه ربع الدية ، وإن شاءت أن تأخذ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امرأة فقأت عين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شاء فقأ عينها وإلاّ أخذ دية عينه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جواز القصاص فى الجروح ، فيدل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وإطلاق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إمكان ضبط الجرح فواضح ، لعدم جواز القصاص من دون 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بل مع عدم المماثلة لايصدق عنوان القصاص</w:t>
      </w:r>
      <w:r>
        <w:rPr>
          <w:rFonts w:eastAsia="Amiri" w:cs="Amiri" w:ascii="Amiri" w:hAnsi="Amiri"/>
          <w:color w:val="111111"/>
          <w:sz w:val="28"/>
          <w:szCs w:val="28"/>
          <w:rtl w:val="true"/>
          <w:lang w:bidi="ar-SA"/>
        </w:rPr>
        <w:t xml:space="preserve">. </w:t>
      </w:r>
      <w:bookmarkStart w:id="299" w:name="pg19370_198278"/>
    </w:p>
    <w:p>
      <w:pPr>
        <w:pStyle w:val="Heading2"/>
        <w:numPr>
          <w:ilvl w:val="1"/>
          <w:numId w:val="1"/>
        </w:numPr>
        <w:rPr/>
      </w:pPr>
      <w:bookmarkStart w:id="300" w:name="__RefHeading___Toc17391037_1280447820"/>
      <w:bookmarkStart w:id="301" w:name="_Toc95"/>
      <w:bookmarkEnd w:id="299"/>
      <w:bookmarkEnd w:id="300"/>
      <w:r>
        <w:rPr>
          <w:rtl w:val="true"/>
        </w:rPr>
        <w:t>كتاب الديات</w:t>
      </w:r>
      <w:bookmarkEnd w:id="301"/>
    </w:p>
    <w:p>
      <w:pPr>
        <w:pStyle w:val="Heading3"/>
        <w:numPr>
          <w:ilvl w:val="2"/>
          <w:numId w:val="1"/>
        </w:numPr>
        <w:rPr/>
      </w:pPr>
      <w:bookmarkStart w:id="302" w:name="__RefHeading___Toc17391039_1280447820"/>
      <w:bookmarkStart w:id="303" w:name="_Toc96"/>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الدية واقسامها</w:t>
      </w:r>
    </w:p>
    <w:p>
      <w:pPr>
        <w:pStyle w:val="BookText"/>
        <w:rPr/>
      </w:pPr>
      <w:r>
        <w:rPr>
          <w:rFonts w:ascii="Amiri" w:hAnsi="Amiri" w:eastAsia="Amiri" w:cs="Amiri"/>
          <w:color w:val="111111"/>
          <w:sz w:val="28"/>
          <w:sz w:val="28"/>
          <w:szCs w:val="28"/>
          <w:rtl w:val="true"/>
          <w:lang w:bidi="ar-SA"/>
        </w:rPr>
        <w:t>مقادير الديات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القتل والديات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9370_198280"/>
      <w:bookmarkStart w:id="305" w:name="pg19370_198280"/>
      <w:bookmarkEnd w:id="305"/>
    </w:p>
    <w:p>
      <w:pPr>
        <w:pStyle w:val="Heading3"/>
        <w:numPr>
          <w:ilvl w:val="2"/>
          <w:numId w:val="1"/>
        </w:numPr>
        <w:rPr/>
      </w:pPr>
      <w:bookmarkStart w:id="306" w:name="pg19370_198280"/>
      <w:bookmarkStart w:id="307" w:name="__RefHeading___Toc17391041_1280447820"/>
      <w:bookmarkStart w:id="308" w:name="_Toc97"/>
      <w:bookmarkEnd w:id="306"/>
      <w:bookmarkEnd w:id="307"/>
      <w:r>
        <w:rPr>
          <w:rtl w:val="true"/>
        </w:rPr>
        <w:t>الدية واقسامها</w:t>
      </w:r>
      <w:bookmarkEnd w:id="308"/>
    </w:p>
    <w:p>
      <w:pPr>
        <w:pStyle w:val="BookText"/>
        <w:rPr/>
      </w:pPr>
      <w:r>
        <w:rPr>
          <w:rFonts w:ascii="Amiri" w:hAnsi="Amiri" w:eastAsia="Amiri" w:cs="Amiri"/>
          <w:color w:val="111111"/>
          <w:sz w:val="28"/>
          <w:sz w:val="28"/>
          <w:szCs w:val="28"/>
          <w:rtl w:val="true"/>
          <w:lang w:bidi="ar-SA"/>
        </w:rPr>
        <w:t xml:space="preserve">الدية </w:t>
      </w:r>
      <w:r>
        <w:rPr>
          <w:rStyle w:val="FootnoteAnchor"/>
          <w:rtl w:val="true"/>
        </w:rPr>
        <w:footnoteReference w:id="613"/>
      </w:r>
      <w:r>
        <w:rPr>
          <w:rFonts w:ascii="Amiri" w:hAnsi="Amiri" w:eastAsia="Amiri" w:cs="Amiri"/>
          <w:color w:val="111111"/>
          <w:sz w:val="28"/>
          <w:sz w:val="28"/>
          <w:szCs w:val="28"/>
          <w:rtl w:val="true"/>
          <w:lang w:bidi="ar-SA"/>
        </w:rPr>
        <w:t>غرامة مالية شرِّعت كجزاء على ارتكاب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مشروعة بالكتاب والسنّة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الى المقدَّرة شرعاً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ثابتة فى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تحديد الدية ما تقدم ، فهو من واضحات اللغة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مشروعة ، فهو من ضروريات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والروايات الكثيرة التى تأتى الاشارة الى بعضها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انقسامها الى المقدَّرة شرعاً وغيرها ، فباعتبار أنّ الجناية تارة يكون لها تقدير شرعى واُخرى لايكون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الأول بالدية وعلى الثاني بالأرش أو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ويتمّ تعيين الأرش وفق طريقة يأتى بيانها فى ما بعد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والدية بكلا قسميها تؤخذ من الجانى إن كانت الجناية عمدية أو شبه ذلك ، ومن العاقلة إن لم تكن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موارد ثبوتها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المحض والشبيه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الدية فيهما دون القود أمر متسالم عليه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فإنّه بإطلاقه يشمل الخطأ بكلا قسميه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استفادة ذلك من الروايات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الطابع العام عليها ضعف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الفضل بن عبدالملك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الخطأ الذى فيه الدية والكفارة ، هو الرجل يضرب الرجل ولايتعمد؟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Style w:val="FootnoteAnchor"/>
          <w:rtl w:val="true"/>
        </w:rPr>
        <w:footnoteReference w:id="61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تقدمت فيبداية البحث عن‌القصاص الإشارة الى خلاف مالك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التى لايثبت فيها القصاص بالرغم من كون القتل عمداً ، كقتل الأب ولده أو المسلم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الى وجه ثبوت الدية فى مثل ذلك في بداية البحث عن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التى لايمكن فيها القصاص ، كبعض الجروح التى لايمكن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الى ذلك فى نهاية البحث عن القصاص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القصاص فيما اذا تراضى الطرفان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وقدتقدّمت الإشارة الي ذلك فى مبحث القصاص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قصاص النفس </w:t>
      </w:r>
      <w:r>
        <w:rPr>
          <w:rFonts w:eastAsia="Amiri" w:cs="Amiri" w:ascii="Amiri" w:hAnsi="Amiri"/>
          <w:color w:val="111111"/>
          <w:sz w:val="28"/>
          <w:szCs w:val="28"/>
          <w:rtl w:val="true"/>
          <w:lang w:bidi="ar-SA"/>
        </w:rPr>
        <w:t xml:space="preserve">». </w:t>
      </w:r>
      <w:bookmarkStart w:id="309" w:name="pg19370_198282"/>
    </w:p>
    <w:p>
      <w:pPr>
        <w:pStyle w:val="Heading3"/>
        <w:numPr>
          <w:ilvl w:val="2"/>
          <w:numId w:val="1"/>
        </w:numPr>
        <w:rPr/>
      </w:pPr>
      <w:bookmarkStart w:id="310" w:name="__RefHeading___Toc17391043_1280447820"/>
      <w:bookmarkStart w:id="311" w:name="_Toc98"/>
      <w:bookmarkEnd w:id="309"/>
      <w:bookmarkEnd w:id="310"/>
      <w:r>
        <w:rPr>
          <w:rtl w:val="true"/>
        </w:rPr>
        <w:t>مقادير الديات</w:t>
      </w:r>
      <w:bookmarkEnd w:id="311"/>
    </w:p>
    <w:p>
      <w:pPr>
        <w:pStyle w:val="BookText"/>
        <w:rPr/>
      </w:pPr>
      <w:r>
        <w:rPr>
          <w:rFonts w:ascii="Amiri" w:hAnsi="Amiri" w:eastAsia="Amiri" w:cs="Amiri"/>
          <w:color w:val="111111"/>
          <w:sz w:val="28"/>
          <w:sz w:val="28"/>
          <w:szCs w:val="28"/>
          <w:rtl w:val="true"/>
          <w:lang w:bidi="ar-SA"/>
        </w:rPr>
        <w:t xml:space="preserve">الديات المقدَّرة شرعاً هى على أنحاء مختلفة نشير الى بعضها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Heading3"/>
        <w:numPr>
          <w:ilvl w:val="2"/>
          <w:numId w:val="1"/>
        </w:numPr>
        <w:rPr/>
      </w:pPr>
      <w:bookmarkStart w:id="312" w:name="__RefHeading___Toc17391045_1280447820"/>
      <w:bookmarkStart w:id="313" w:name="_Toc99"/>
      <w:bookmarkEnd w:id="312"/>
      <w:r>
        <w:rPr>
          <w:rtl w:val="true"/>
        </w:rPr>
        <w:t>دية القتل عمداً</w:t>
      </w:r>
      <w:bookmarkEnd w:id="313"/>
    </w:p>
    <w:p>
      <w:pPr>
        <w:pStyle w:val="BookText"/>
        <w:rPr/>
      </w:pPr>
      <w:r>
        <w:rPr>
          <w:rFonts w:ascii="Amiri" w:hAnsi="Amiri" w:eastAsia="Amiri" w:cs="Amiri"/>
          <w:color w:val="111111"/>
          <w:sz w:val="28"/>
          <w:sz w:val="28"/>
          <w:szCs w:val="28"/>
          <w:rtl w:val="true"/>
          <w:lang w:bidi="ar-SA"/>
        </w:rPr>
        <w:t xml:space="preserve">دية قتل المسلم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التراضى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اُمور ستة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 الإبل الفحولة المسنّة</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مائتا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ألف دينار ذهب</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عشرة آلاف درهم فضة</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ألف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مائتا حلّة </w:t>
      </w:r>
      <w:r>
        <w:rPr>
          <w:rStyle w:val="FootnoteAnchor"/>
          <w:rtl w:val="true"/>
        </w:rPr>
        <w:footnoteReference w:id="621"/>
      </w:r>
      <w:r>
        <w:rPr>
          <w:rFonts w:ascii="Amiri" w:hAnsi="Amiri" w:eastAsia="Amiri" w:cs="Amiri"/>
          <w:color w:val="111111"/>
          <w:sz w:val="28"/>
          <w:sz w:val="28"/>
          <w:szCs w:val="28"/>
          <w:rtl w:val="true"/>
          <w:lang w:bidi="ar-SA"/>
        </w:rPr>
        <w:t xml:space="preserve">، وكل حلّة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ازار ورداء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واستيفاؤها يكون ضمن فترة سنة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الاستيفاء بالأوراق النقدية المتداولة فى زماننا مع تعذر الستة أو تراضي الطرفين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دية القتل عمداً ما تقدم ، فممّا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عبدالرحمن بن الحجاج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ابن أبى ليلى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الدية فى الجاهلية مائة من الإبل فأقرّها رسول اللّه صلی اللّه علیه و آله ، ثم إنّه فرض على أهل البقر مائتى بقرة ، وفرض على أهل الشاة ثنية </w:t>
      </w:r>
      <w:r>
        <w:rPr>
          <w:rStyle w:val="FootnoteAnchor"/>
          <w:rtl w:val="true"/>
        </w:rPr>
        <w:footnoteReference w:id="622"/>
      </w:r>
      <w:r>
        <w:rPr>
          <w:rFonts w:ascii="IRNazanin" w:hAnsi="IRNazanin" w:eastAsia="IRNazanin"/>
          <w:color w:val="111111"/>
          <w:sz w:val="28"/>
          <w:sz w:val="28"/>
          <w:szCs w:val="28"/>
          <w:rtl w:val="true"/>
          <w:lang w:bidi="fa-IR"/>
        </w:rPr>
        <w:t>، وعلى أهل الذهب ألف دينار ، وعلى أهل الورق عشرة آلاف درهم ، وعلى أهل اليمن الحلل مائتى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أباعبداللّه علیه السلام عما روى ابن أبى ليلي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ألف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وقيمة الدينار عشرة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وعشرة آلاف لأهل الأمصار ، وعلى أهل البوادى مائة من الإبل ولأهل السواد مائتا </w:t>
      </w:r>
      <w:r>
        <w:rPr>
          <w:rStyle w:val="FootnoteAnchor"/>
          <w:rtl w:val="true"/>
        </w:rPr>
        <w:footnoteReference w:id="623"/>
      </w:r>
      <w:r>
        <w:rPr>
          <w:rFonts w:ascii="Amiri" w:hAnsi="Amiri" w:eastAsia="Amiri" w:cs="Amiri"/>
          <w:color w:val="111111"/>
          <w:sz w:val="28"/>
          <w:sz w:val="28"/>
          <w:szCs w:val="28"/>
          <w:rtl w:val="true"/>
          <w:lang w:bidi="ar-SA"/>
        </w:rPr>
        <w:t xml:space="preserve">بقرة أو ألف شاة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وموضع الاستشهاد نقل ابن الحجاج عن الإمام علیه السلام وإلاّ فما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صدر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أبى ليلى ليس حجة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يتضح أن مستند عدِّ مائتى حُلّة من جملة أفراد الدية ينحصر بالتسالم الفقهى على ذلك وإلاّ فكلام ابن أبيليلى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ذكر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فى الصحيحة أنّ على أهل السواد مائتى بقرة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ينبغى أن يفهم منه التعيين ، بل هو وارد مورد الارفاق والتسهيل كما هو واضح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وينبغى الالتفات الى أنّ المعروف بين الفقهاء بل ادّعى عدم الخلاف فيه أن التخيير بين الأفراد الستة ثابت للجانى دون أولياء المجنى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لم‌يستفد </w:t>
      </w:r>
    </w:p>
    <w:p>
      <w:pPr>
        <w:pStyle w:val="BookText"/>
        <w:rPr/>
      </w:pPr>
      <w:r>
        <w:rPr>
          <w:rFonts w:ascii="Amiri" w:hAnsi="Amiri" w:eastAsia="Amiri" w:cs="Amiri"/>
          <w:color w:val="111111"/>
          <w:sz w:val="28"/>
          <w:sz w:val="28"/>
          <w:szCs w:val="28"/>
          <w:rtl w:val="true"/>
          <w:lang w:bidi="ar-SA"/>
        </w:rPr>
        <w:t>من الصحيحة المتقدمة فيكفى لإثباته كونه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الالتفات أيضاً الى أنّ المسألة تشتمل على روايات اُخرى قد تدل علي مضامين اُخرى تغاير مضمون الصحيحة المتقدمة من بعض الجهات ، ولكن لأجل عدم القائل بذلك وهجران الأصحاب لها تكون ساقطة عن الحجية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يعتبر فى الإبل أن تكون فحولة مسنّة ، فهو رأى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معاوية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دية العمد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فحولة الإبل المسان </w:t>
      </w:r>
      <w:r>
        <w:rPr>
          <w:rFonts w:eastAsia="IRNazanin" w:cs="IRNazanin"/>
          <w:color w:val="111111"/>
          <w:sz w:val="28"/>
          <w:szCs w:val="28"/>
          <w:rtl w:val="true"/>
          <w:lang w:bidi="fa-IR"/>
        </w:rPr>
        <w:t xml:space="preserve">... » </w:t>
      </w:r>
      <w:r>
        <w:rPr>
          <w:rStyle w:val="FootnoteAnchor"/>
          <w:rtl w:val="true"/>
        </w:rPr>
        <w:footnoteReference w:id="62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استيفاء دية العمد يكون ضمن فترة سنة ، فممّا لا خلاف فيه ، وتدل عليه صحيحة أبيولاّد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على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تستأدى دية الخطأ فى ثلاث سنين ، وتستأدى دية العمد فى سنة </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الاستيفاء بالأوراق النقدية مع التعذر أو التراضى ، فواضح؛ لأنّه مع التعذر حيث لايحتمل سقوط الدية رأساً فيتعين الرجوع الى البدل الأقرب وهو الأوراق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مع التراضى يجوز ذلك ، فأوضح؛ لأنّ الحق لا يعدو الطرفين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فرض وجود بعض الأفراد الستة وعدم التراضى بالأوراق النقدية ، فهل يحقّ للجانى الالزام بها؟ المناسب هو العدم؛ لأنّ ظاهر الصحيحة الالزام بالأعيان نفسها فمع التمكن منها لا وجه للالزام بالبدل</w:t>
      </w:r>
      <w:r>
        <w:rPr>
          <w:rFonts w:eastAsia="Amiri" w:cs="Amiri" w:ascii="Amiri" w:hAnsi="Amiri"/>
          <w:color w:val="111111"/>
          <w:sz w:val="28"/>
          <w:szCs w:val="28"/>
          <w:rtl w:val="true"/>
          <w:lang w:bidi="ar-SA"/>
        </w:rPr>
        <w:t xml:space="preserve">. </w:t>
      </w:r>
      <w:bookmarkStart w:id="314" w:name="pg19370_198285"/>
    </w:p>
    <w:p>
      <w:pPr>
        <w:pStyle w:val="Heading3"/>
        <w:numPr>
          <w:ilvl w:val="2"/>
          <w:numId w:val="1"/>
        </w:numPr>
        <w:rPr/>
      </w:pPr>
      <w:bookmarkStart w:id="315" w:name="__RefHeading___Toc17391047_1280447820"/>
      <w:bookmarkStart w:id="316" w:name="_Toc100"/>
      <w:bookmarkEnd w:id="314"/>
      <w:bookmarkEnd w:id="315"/>
      <w:r>
        <w:rPr>
          <w:rtl w:val="true"/>
        </w:rPr>
        <w:t>دية الشبيه بالعمد</w:t>
      </w:r>
      <w:bookmarkEnd w:id="316"/>
    </w:p>
    <w:p>
      <w:pPr>
        <w:pStyle w:val="BookText"/>
        <w:rPr/>
      </w:pPr>
      <w:r>
        <w:rPr>
          <w:rFonts w:ascii="Amiri" w:hAnsi="Amiri" w:eastAsia="Amiri" w:cs="Amiri"/>
          <w:color w:val="111111"/>
          <w:sz w:val="28"/>
          <w:sz w:val="28"/>
          <w:szCs w:val="28"/>
          <w:rtl w:val="true"/>
          <w:lang w:bidi="ar-SA"/>
        </w:rPr>
        <w:t xml:space="preserve">دية القتل الشبيه بالعمد هى أحد الاُمور الستة المتقدّمة ، غير أنّه يعتبر فى الإبل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منها خَلِفة من بين ثنية الى بازل عامها ، وثلاثون حقة ، وثلاثون بنت لبون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والثنية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فى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والبازل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فى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بازل ، أى طلع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دخل فى العاشرة قيل هو بازل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المقصود أنه تجب أربعون من الابل الحامل التى عمرها بين ست الى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والحقة هى الناقة الداخلة فى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استحقت أن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وبنت اللبون هى الناقة الداخلة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أمّها قد وضعت وصار لها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وتستوفى من الجانى خلال سنوات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دية القتل الشبيه بالعمد هو أحد الأفراد الستة أيضاً ، فباعتبار إطلاق صحيحة عبدالرحمن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يعتبر فى الإبل ماذكر من الأوصاف ، فهو رأى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الخطأ شبه العمد أن يقتل بالسوط أو بالعصا أو بالحجر ، إنَّ دية ذلك تغلظ وهى مائة من الابل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أربعون خلفة من بين ثنية الى بازل عامها ، وثلاثون حقة ، وثلاثون بنت لبون </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وهى إذا كانت ضعيفة السند ببعض طرقها ، ففى بعضها الآخر كفاية فلاحظ</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تستوفى من الجانى دون العاقلة ، فهو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17" w:name="pg19370_198286"/>
    </w:p>
    <w:p>
      <w:pPr>
        <w:pStyle w:val="BookText"/>
        <w:rPr/>
      </w:pPr>
      <w:bookmarkEnd w:id="317"/>
      <w:r>
        <w:rPr>
          <w:rFonts w:ascii="Amiri" w:hAnsi="Amiri" w:eastAsia="Amiri" w:cs="Amiri"/>
          <w:color w:val="111111"/>
          <w:sz w:val="28"/>
          <w:sz w:val="28"/>
          <w:szCs w:val="28"/>
          <w:rtl w:val="true"/>
          <w:lang w:bidi="ar-SA"/>
        </w:rPr>
        <w:t xml:space="preserve">يدل عليه إطلاق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فَتَحْرِيرُ رَقَبَةٍ مُؤْمِنَةٍ وَدِيَةٌ مُسَلَّمَةٌ إِلَى أَهْلِهِ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فإنّها ظاهرة فى أنّ الدية ثابتة على الجاني ، وبإطلاقها تشمل كلا قسمى الخطأ ، غايته خرج الخطأ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تجب فيه 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تستوفى فى سنين ثلاث ، فلصحيحة أبيولاّد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المشهور أنّها تستوفى فى سنتين لا ثلاث ، إلاّ أنّه لا دليل على ذلك سوى الإجماع المدّعى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فالمناسب العمل بالصحيحة بناءً على أنّ إعراض المشهور عن روايةٍ لايوجب سقوطها عن الاعتبار</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7391049_1280447820"/>
      <w:bookmarkStart w:id="319" w:name="_Toc101"/>
      <w:bookmarkEnd w:id="318"/>
      <w:r>
        <w:rPr>
          <w:rtl w:val="true"/>
        </w:rPr>
        <w:t>دية الخطأ المحض</w:t>
      </w:r>
      <w:bookmarkEnd w:id="319"/>
    </w:p>
    <w:p>
      <w:pPr>
        <w:pStyle w:val="BookText"/>
        <w:rPr/>
      </w:pPr>
      <w:r>
        <w:rPr>
          <w:rFonts w:ascii="Amiri" w:hAnsi="Amiri" w:eastAsia="Amiri" w:cs="Amiri"/>
          <w:color w:val="111111"/>
          <w:sz w:val="28"/>
          <w:sz w:val="28"/>
          <w:szCs w:val="28"/>
          <w:rtl w:val="true"/>
          <w:lang w:bidi="ar-SA"/>
        </w:rPr>
        <w:t xml:space="preserve">دية الخطأ المحض أحد الاُمور الستة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يلزم فى الإبل أن تكون ثلاثون منها حقة ، وثلاثون بنت لبون ، وعشرون بنت مخاض</w:t>
      </w:r>
      <w:r>
        <w:rPr>
          <w:rStyle w:val="FootnoteAnchor"/>
          <w:rtl w:val="true"/>
        </w:rPr>
        <w:footnoteReference w:id="630"/>
      </w:r>
      <w:r>
        <w:rPr>
          <w:rFonts w:ascii="Amiri" w:hAnsi="Amiri" w:eastAsia="Amiri" w:cs="Amiri"/>
          <w:color w:val="111111"/>
          <w:sz w:val="28"/>
          <w:sz w:val="28"/>
          <w:szCs w:val="28"/>
          <w:rtl w:val="true"/>
          <w:lang w:bidi="ar-SA"/>
        </w:rPr>
        <w:t xml:space="preserve">، وعشرون ابن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وتستوفى من العاقلة خلال سنين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دية الخطأ المحض أحد الاُمور الستة السابقة أيضاً ، فلنفس ما تقدّم في القتل الشبيه بالعمد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 تلزم فى الإبل الاوصاف السابقة ، فهو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والخطأ يكون فيه </w:t>
      </w:r>
      <w:bookmarkStart w:id="320" w:name="pg19370_198287"/>
    </w:p>
    <w:p>
      <w:pPr>
        <w:pStyle w:val="BookText"/>
        <w:rPr/>
      </w:pPr>
      <w:bookmarkEnd w:id="320"/>
      <w:r>
        <w:rPr>
          <w:rFonts w:ascii="Amiri" w:hAnsi="Amiri" w:eastAsia="Amiri" w:cs="Amiri"/>
          <w:color w:val="111111"/>
          <w:sz w:val="28"/>
          <w:sz w:val="28"/>
          <w:szCs w:val="28"/>
          <w:rtl w:val="true"/>
          <w:lang w:bidi="ar-SA"/>
        </w:rPr>
        <w:t xml:space="preserve">ثلاثون حقة وثلاثون ابنة لبون وعشرون بنت مخاض وعشرون ابن لبون ذكر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أنّها تستوفى من العاقلة ، فأمر لا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والاعمى جنايته خطأ تلزم عاقلته يؤخذون بها في ثلاث سنين فى كلّ سنة نجماً </w:t>
      </w:r>
      <w:r>
        <w:rPr>
          <w:rFonts w:eastAsia="IRNazanin" w:cs="IRNazanin"/>
          <w:color w:val="111111"/>
          <w:sz w:val="28"/>
          <w:szCs w:val="28"/>
          <w:rtl w:val="true"/>
          <w:lang w:bidi="fa-IR"/>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وأما أنها تستوفى فى سنوات ثلاث ، فللصحيحة المذكورة وصحيحة أبى ولاّد المتقدمة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7391051_1280447820"/>
      <w:bookmarkStart w:id="322" w:name="_Toc102"/>
      <w:bookmarkEnd w:id="321"/>
      <w:r>
        <w:rPr>
          <w:rtl w:val="true"/>
        </w:rPr>
        <w:t>دية الجوارح</w:t>
      </w:r>
      <w:bookmarkEnd w:id="322"/>
    </w:p>
    <w:p>
      <w:pPr>
        <w:pStyle w:val="BookText"/>
        <w:rPr/>
      </w:pPr>
      <w:r>
        <w:rPr>
          <w:rFonts w:ascii="Amiri" w:hAnsi="Amiri" w:eastAsia="Amiri" w:cs="Amiri"/>
          <w:color w:val="111111"/>
          <w:sz w:val="28"/>
          <w:sz w:val="28"/>
          <w:szCs w:val="28"/>
          <w:rtl w:val="true"/>
          <w:lang w:bidi="ar-SA"/>
        </w:rPr>
        <w:t>فى الجناية على العين الواحدة نصف الدية وعلى كلتيهما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الجناية على الأذن الواحدة والأذنين ، والشفة الواحدة والشفتين ، واليد الواحدة واليدين ، والرجل الواحدة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استئصال اللسان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ذكر ممّا لا خلاف فيه وتقتضيه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كان منه فى الجسد واحد ففيه الدية كاملة ، وما كان فيه اثنان ففى كل واحد منهما نصف الدية ، وفيهما معاً الدية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صحيحة عبداللّه بن سنان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فى الجسد منه اثنان ففيه نصف الدية ، مثل اليدين والعينين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فقئت عينه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الدية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قطعت يده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نصف الدية </w:t>
      </w:r>
      <w:r>
        <w:rPr>
          <w:rFonts w:eastAsia="IRNazanin" w:cs="IRNazanin"/>
          <w:color w:val="111111"/>
          <w:sz w:val="28"/>
          <w:szCs w:val="28"/>
          <w:rtl w:val="true"/>
          <w:lang w:bidi="fa-IR"/>
        </w:rPr>
        <w:t xml:space="preserve">... » </w:t>
      </w:r>
      <w:r>
        <w:rPr>
          <w:rStyle w:val="FootnoteAnchor"/>
          <w:rtl w:val="true"/>
        </w:rPr>
        <w:footnoteReference w:id="633"/>
      </w:r>
      <w:r>
        <w:rPr>
          <w:rFonts w:ascii="Amiri" w:hAnsi="Amiri" w:eastAsia="Amiri" w:cs="Amiri"/>
          <w:color w:val="111111"/>
          <w:sz w:val="28"/>
          <w:sz w:val="28"/>
          <w:szCs w:val="28"/>
          <w:rtl w:val="true"/>
          <w:lang w:bidi="ar-SA"/>
        </w:rPr>
        <w:t>وغيرها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يتضح الوجه فى حكم البقية</w:t>
      </w:r>
      <w:r>
        <w:rPr>
          <w:rFonts w:eastAsia="Amiri" w:cs="Amiri" w:ascii="Amiri" w:hAnsi="Amiri"/>
          <w:color w:val="111111"/>
          <w:sz w:val="28"/>
          <w:szCs w:val="28"/>
          <w:rtl w:val="true"/>
          <w:lang w:bidi="ar-SA"/>
        </w:rPr>
        <w:t xml:space="preserve">. </w:t>
      </w:r>
      <w:bookmarkStart w:id="323" w:name="pg19370_198288"/>
    </w:p>
    <w:p>
      <w:pPr>
        <w:pStyle w:val="Heading3"/>
        <w:numPr>
          <w:ilvl w:val="2"/>
          <w:numId w:val="1"/>
        </w:numPr>
        <w:rPr/>
      </w:pPr>
      <w:bookmarkStart w:id="324" w:name="__RefHeading___Toc17391053_1280447820"/>
      <w:bookmarkStart w:id="325" w:name="_Toc103"/>
      <w:bookmarkEnd w:id="323"/>
      <w:bookmarkEnd w:id="324"/>
      <w:r>
        <w:rPr>
          <w:rtl w:val="true"/>
        </w:rPr>
        <w:t>دية الأصابع</w:t>
      </w:r>
      <w:bookmarkEnd w:id="325"/>
    </w:p>
    <w:p>
      <w:pPr>
        <w:pStyle w:val="BookText"/>
        <w:rPr/>
      </w:pPr>
      <w:r>
        <w:rPr>
          <w:rFonts w:ascii="Amiri" w:hAnsi="Amiri" w:eastAsia="Amiri" w:cs="Amiri"/>
          <w:color w:val="111111"/>
          <w:sz w:val="28"/>
          <w:sz w:val="28"/>
          <w:szCs w:val="28"/>
          <w:rtl w:val="true"/>
          <w:lang w:bidi="ar-SA"/>
        </w:rPr>
        <w:t>فى قطع كل واحد من أصابع اليد عُشر دية اليد ، وفى قطع كل إصبع من أصابع الرجل عُشر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كونه هو المشهور صحيحة عبداللّه بن سنان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أصابع اليدين والرجلين سواء فى الدية فى كلّ إصبع عشر من الإبل </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مقابل ذلك صحيحة ظريف عن أمير المؤمنين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ففى الإبهام اذا قطع ثلث دية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الأصابع فى كل إصبع سدس دية اليد </w:t>
      </w:r>
      <w:r>
        <w:rPr>
          <w:rFonts w:eastAsia="IRNazanin" w:cs="IRNazanin"/>
          <w:color w:val="111111"/>
          <w:sz w:val="28"/>
          <w:szCs w:val="28"/>
          <w:rtl w:val="true"/>
          <w:lang w:bidi="fa-IR"/>
        </w:rPr>
        <w:t xml:space="preserve">...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إلاّ أنّ الصحيحة المذكورة ، لإعراض المشهور عنها </w:t>
      </w:r>
      <w:r>
        <w:rPr>
          <w:rStyle w:val="FootnoteAnchor"/>
          <w:rtl w:val="true"/>
        </w:rPr>
        <w:footnoteReference w:id="636"/>
      </w:r>
      <w:r>
        <w:rPr>
          <w:rFonts w:ascii="Amiri" w:hAnsi="Amiri" w:eastAsia="Amiri" w:cs="Amiri"/>
          <w:color w:val="111111"/>
          <w:sz w:val="28"/>
          <w:sz w:val="28"/>
          <w:szCs w:val="28"/>
          <w:rtl w:val="true"/>
          <w:lang w:bidi="ar-SA"/>
        </w:rPr>
        <w:t>، ساقطة عن الاعتبار بناءً على تمامية كبرى سقوط الرواية عن الحجية باعراض المشهور عنها ، وتعود الصحيحة الاُولى بناءً على ذلك سالمة عن المعارض ويتمّ رأى المشهور</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7391055_1280447820"/>
      <w:bookmarkStart w:id="327" w:name="_Toc104"/>
      <w:bookmarkEnd w:id="326"/>
      <w:r>
        <w:rPr>
          <w:rtl w:val="true"/>
        </w:rPr>
        <w:t>دية الضرب</w:t>
      </w:r>
      <w:bookmarkEnd w:id="32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اللطمة على الوجه اذا احمرّ دينار ونصف ، وإذا اخضرّ فثلاثة دنانير واذا اسودّ فستة دنانير</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واذا كان ذلك فى البدن فالدية نصف ما فى الوجه</w:t>
      </w:r>
      <w:r>
        <w:rPr>
          <w:rFonts w:eastAsia="Amiri" w:cs="Amiri" w:ascii="Amiri" w:hAnsi="Amiri"/>
          <w:color w:val="111111"/>
          <w:sz w:val="28"/>
          <w:szCs w:val="28"/>
          <w:rtl w:val="true"/>
          <w:lang w:bidi="ar-SA"/>
        </w:rPr>
        <w:t xml:space="preserve">. </w:t>
      </w:r>
      <w:bookmarkStart w:id="328" w:name="pg19370_198289"/>
    </w:p>
    <w:p>
      <w:pPr>
        <w:pStyle w:val="BookText"/>
        <w:rPr/>
      </w:pPr>
      <w:bookmarkEnd w:id="328"/>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كونه هو المشهور بين الأصحاب موثقة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قضى أمير المؤمنين علیه السلام فى اللطمة يسود أثرها في الوجه أنّ أرشها ستة دنانير ، فإن لم‌تسود واخضرَّت فإنّ أرشها ثلاثة دنانير ، فإن احمارَّت ولم‌تخضرَّ فإنّ أرشها دينار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البدن نصف ذلك </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والوارد فى الموثقة وإن كان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فى الضرب باليد إلاّ أنّ‌المناسب هو التعدّى الى غير الضرب والى غير ماكان باليد للقطع بعدم الخصوصية لذلك</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7391057_1280447820"/>
      <w:bookmarkStart w:id="330" w:name="_Toc105"/>
      <w:bookmarkEnd w:id="329"/>
      <w:r>
        <w:rPr>
          <w:rtl w:val="true"/>
        </w:rPr>
        <w:t>دية الحمل</w:t>
      </w:r>
      <w:bookmarkEnd w:id="330"/>
    </w:p>
    <w:p>
      <w:pPr>
        <w:pStyle w:val="BookText"/>
        <w:rPr/>
      </w:pPr>
      <w:r>
        <w:rPr>
          <w:rFonts w:ascii="Amiri" w:hAnsi="Amiri" w:eastAsia="Amiri" w:cs="Amiri"/>
          <w:color w:val="111111"/>
          <w:sz w:val="28"/>
          <w:sz w:val="28"/>
          <w:szCs w:val="28"/>
          <w:rtl w:val="true"/>
          <w:lang w:bidi="ar-SA"/>
        </w:rPr>
        <w:t>فى اسقاط الحمل إذا كان نطفة عشرون ديناراً ، وإذا كان علقة فأربعون ديناراً ، وإذا كان مضغة فستوّن ديناراً ، وإذا كان فيه عظم فثمانون ديناراً ، وإذا كُسى لحماً فمائة دينار ، وإذا ولجته الروح فألف دينار إن كان ذكراً وخمسمائة إن كان اُنثي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المذكور يعمّ ما إذا زاولت الاُم نفسها عملية الاسقاط ولو بشرب دواء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دية الحمل ما ذكر ، فهو المعروف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ظريف عن أميرالمؤمنين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دية الجنين مائة دينار ، وجعل منى الرجل الى أن يكون جنيناً خمسة أجزاء ، فاذا كان جنيناً قبل أن تلجه الروح مائة دينار ، وذلك أنّ اللّه عزّوجل خلق الانسان من سلالة وهى النطفة فهذا جزء ، ثم علقة فهو جزآن ، ثمّ مضغة </w:t>
      </w:r>
      <w:bookmarkStart w:id="331" w:name="pg19370_198290"/>
    </w:p>
    <w:p>
      <w:pPr>
        <w:pStyle w:val="BookText"/>
        <w:rPr/>
      </w:pPr>
      <w:bookmarkEnd w:id="331"/>
      <w:r>
        <w:rPr>
          <w:rFonts w:ascii="Amiri" w:hAnsi="Amiri" w:eastAsia="Amiri" w:cs="Amiri"/>
          <w:color w:val="111111"/>
          <w:sz w:val="28"/>
          <w:sz w:val="28"/>
          <w:szCs w:val="28"/>
          <w:rtl w:val="true"/>
          <w:lang w:bidi="ar-SA"/>
        </w:rPr>
        <w:t xml:space="preserve">فهو ثلاثة أجزاء ، ثم عظماً فهو أربعة أجزاء ، ثمّ يكسا لحماً فحينئدٍ تمَّ جنيناً فكملت لخمسة أجزاء مائة دينار ، والمائة دينار خمسة أجزاء فجعل للنطفة خمس المائة عشرين ديناراً ، وللعلقة خمسى المائة أربعين ديناراً ، وللمضغة ثلاثة أخماس المائة ستين ديناراً ، وللعظم أربعة أخماس المائة ثمانين ديناراً ، فاذا كسا اللحم كانت له مائة كاملة ، فاذا نشأ فيه خلق آخر وهو الروح فهو حينئذ نفس بألف دينار كاملة إن كان ذكراً وإن كان اُنثى فخمسمائة دينار </w:t>
      </w:r>
      <w:r>
        <w:rPr>
          <w:rFonts w:eastAsia="Amiri" w:cs="Amiri" w:ascii="Amiri" w:hAnsi="Amiri"/>
          <w:color w:val="111111"/>
          <w:sz w:val="28"/>
          <w:szCs w:val="28"/>
          <w:rtl w:val="true"/>
          <w:lang w:bidi="ar-SA"/>
        </w:rPr>
        <w:t xml:space="preserve">... » </w:t>
      </w:r>
      <w:r>
        <w:rPr>
          <w:rStyle w:val="FootnoteAnchor"/>
          <w:rtl w:val="true"/>
        </w:rPr>
        <w:footnoteReference w:id="6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الحكم المذكور يعمُّ ما إذا زاولت الاُم نفسها عملية الاسقاط ، فباعتبار إطلاق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الأب</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7391059_1280447820"/>
      <w:bookmarkStart w:id="333" w:name="_Toc106"/>
      <w:bookmarkEnd w:id="332"/>
      <w:r>
        <w:rPr>
          <w:rtl w:val="true"/>
        </w:rPr>
        <w:t>من احكام القتل والديات</w:t>
      </w:r>
      <w:bookmarkEnd w:id="333"/>
    </w:p>
    <w:p>
      <w:pPr>
        <w:pStyle w:val="BookText"/>
        <w:rPr/>
      </w:pPr>
      <w:r>
        <w:rPr>
          <w:rFonts w:ascii="Amiri" w:hAnsi="Amiri" w:eastAsia="Amiri" w:cs="Amiri"/>
          <w:color w:val="111111"/>
          <w:sz w:val="28"/>
          <w:sz w:val="28"/>
          <w:szCs w:val="28"/>
          <w:rtl w:val="true"/>
          <w:lang w:bidi="ar-SA"/>
        </w:rPr>
        <w:t xml:space="preserve">تجب على القاتل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الدية لو تَمَّ التراضى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أيضاً فى القتل الشبيه بالعمد والخطأ المحض ولكنّها مرتّبة ، فيجب العتق ، فإن لم‌يمكن فصيام شهرين متتابعين ، فإن لم‌يمكن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والجناية تارة يكون لديتها مقدّر شرعى واُخرى لايكون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الأول بالدية وعلى الثانى بالأرش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تعيين الأرش بواسطة الحاكم الشرعى بعد استعانته بذوى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المرأة نصف دية الرجل فى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فى غيره فديتها تساوى دية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لها مقدرّ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لم‌تبلغ الثلث وإلاّ رجعت الى نصف دية الرجل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والعاقلة التى يلزمها تحمّل دية الجناية فى الخطا المحض هى عصبة الجاني ، اى الرجال </w:t>
      </w:r>
      <w:bookmarkStart w:id="334" w:name="pg19370_198291"/>
    </w:p>
    <w:p>
      <w:pPr>
        <w:pStyle w:val="BookText"/>
        <w:rPr/>
      </w:pPr>
      <w:bookmarkEnd w:id="334"/>
      <w:r>
        <w:rPr>
          <w:rFonts w:ascii="Amiri" w:hAnsi="Amiri" w:eastAsia="Amiri" w:cs="Amiri"/>
          <w:color w:val="111111"/>
          <w:sz w:val="28"/>
          <w:sz w:val="28"/>
          <w:szCs w:val="28"/>
          <w:rtl w:val="true"/>
          <w:lang w:bidi="ar-SA"/>
        </w:rPr>
        <w:t>المتقربون اليه بالاب ، كالاُخوة والاعمام واُولادهم وان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العاقلة الصبي والمجنون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والتقسيم على افراد العاقلة يتم بالتساوى من دون فرق بين الغنى والفقير والقريب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أنّه تجب على القاتل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الدية اذا تَمَّ التراضى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الجمع ، فهو ممّا لا خلاف فيه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عبداللّه‌بن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الدم إذا قتل الرجلُ المؤمنَ متعمّداً فعليه أن يمكّن نفسه من أوليائه ، فإن قتلوه فقد ادّى ما عليه إذا كان نادماً على ما كان منه عازماً على ترك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عفا عنه فعليه أن يعتق رقبة ويصوم شهرين متتابعين ويطعم ستّين مسكيناً ، وأن يندم على ما كان منه ويعزم على ترك العود </w:t>
      </w:r>
      <w:r>
        <w:rPr>
          <w:rFonts w:eastAsia="IRNazanin" w:cs="IRNazanin"/>
          <w:color w:val="111111"/>
          <w:sz w:val="28"/>
          <w:szCs w:val="28"/>
          <w:rtl w:val="true"/>
          <w:lang w:bidi="fa-IR"/>
        </w:rPr>
        <w:t xml:space="preserve">... » </w:t>
      </w:r>
      <w:r>
        <w:rPr>
          <w:rStyle w:val="FootnoteAnchor"/>
          <w:rtl w:val="true"/>
        </w:rPr>
        <w:footnoteReference w:id="64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الكفارة مرتبة فى قتل الخطأً بكلا قسميه ، فلصحيحة عبداللّه بن سنان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قتل خطأً أدّعى ديته الى أولياءه ثم أعتق رقبة ، فإن لم‌يجد صام شهرين متتابعين ، فإن لم‌يستطع أطعم ستّين مسكيناً مدّاً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إذا وهبت له دية المقتول فالكفارة عليه فيما بينه وبين ربّه لازمة </w:t>
      </w:r>
      <w:r>
        <w:rPr>
          <w:rFonts w:eastAsia="IRNazanin" w:cs="IRNazanin"/>
          <w:color w:val="111111"/>
          <w:sz w:val="28"/>
          <w:szCs w:val="28"/>
          <w:rtl w:val="true"/>
          <w:lang w:bidi="fa-IR"/>
        </w:rPr>
        <w:t xml:space="preserve">». </w:t>
      </w:r>
      <w:r>
        <w:rPr>
          <w:rStyle w:val="FootnoteAnchor"/>
          <w:rtl w:val="true"/>
        </w:rPr>
        <w:footnoteReference w:id="641"/>
      </w:r>
    </w:p>
    <w:p>
      <w:pPr>
        <w:pStyle w:val="Heading3"/>
        <w:numPr>
          <w:ilvl w:val="2"/>
          <w:numId w:val="1"/>
        </w:numPr>
        <w:rPr/>
      </w:pPr>
      <w:bookmarkStart w:id="335" w:name="__RefHeading___Toc17391061_1280447820"/>
      <w:bookmarkStart w:id="336" w:name="_Toc107"/>
      <w:bookmarkEnd w:id="335"/>
      <w:r>
        <w:rPr>
          <w:rtl w:val="true"/>
        </w:rPr>
        <w:t>الأرش والحكومة</w:t>
      </w:r>
      <w:bookmarkEnd w:id="33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الدية قد لايكون لها مقدّر شرعي ، فيجب دفع ما يصطلح عليه </w:t>
      </w:r>
    </w:p>
    <w:p>
      <w:pPr>
        <w:pStyle w:val="BookText"/>
        <w:rPr/>
      </w:pPr>
      <w:r>
        <w:rPr>
          <w:rFonts w:ascii="Amiri" w:hAnsi="Amiri" w:eastAsia="Amiri" w:cs="Amiri"/>
          <w:color w:val="111111"/>
          <w:sz w:val="28"/>
          <w:sz w:val="28"/>
          <w:szCs w:val="28"/>
          <w:rtl w:val="true"/>
          <w:lang w:bidi="ar-SA"/>
        </w:rPr>
        <w:t>بالأرش أو الحكومة ، فهو من المسلّمات فإنّه لايحتمل عدم ثبوت دية فى الموارد التى ليس فيها مقّدر شرعى وإلاّ يلزم إمّا ذهاب دم المسلم هدراً أو نقصان الاسلام فى تشريعه ، وكلاهما غير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استفادة ذلك من صحيحة عبداللّه بن سنان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دية اليد إذا قطعت خمسون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جروحاً دون الاصطلام </w:t>
      </w:r>
      <w:r>
        <w:rPr>
          <w:rStyle w:val="FootnoteAnchor"/>
          <w:rtl w:val="true"/>
        </w:rPr>
        <w:footnoteReference w:id="642"/>
      </w:r>
      <w:r>
        <w:rPr>
          <w:rFonts w:ascii="Amiri" w:hAnsi="Amiri" w:eastAsia="Amiri" w:cs="Amiri"/>
          <w:color w:val="111111"/>
          <w:sz w:val="28"/>
          <w:sz w:val="28"/>
          <w:szCs w:val="28"/>
          <w:rtl w:val="true"/>
          <w:lang w:bidi="ar-SA"/>
        </w:rPr>
        <w:t xml:space="preserve">فيحكم به ذوا عدل منكم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يتم تعيين الأرش بواسطة الحاكم الشرعى بعد الاستعانة بذوى عدل ، فيمكن استفادته من صحيحة ابن سنان المتقدمة ، فإنّها وإن لم‌تصرح بأنّ المتصدي لتعيين الأرش هو الحاكم إلاّ أنّ ذلك هو المقصود جزماً ، فإنّه لابدَّ من وجود شخص يتصدّى لتعيين العدول واتخاذ القرار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دون افتراض مثل الشخص المذكور يلزم ازدياد المشاكل تعقيداً ، والقدر المتيقن من ذلك الشخص هو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إطلاق فى الصحيحة من هذه الناحية ليمكن التمسك به لإثبات الاكتفاء بتصدّى أى شخص عادل لذلك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شيء ، وهو أنّ أى طريق يسلكه العدلان لتعيين الأرش؟ ان ذلك لم‌تتعرض له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فى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الشرائع</w:t>
      </w:r>
      <w:r>
        <w:rPr>
          <w:rStyle w:val="FootnoteAnchor"/>
          <w:rtl w:val="true"/>
        </w:rPr>
        <w:footnoteReference w:id="644"/>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المجروح يفترض مملوكاً ثم يقوّم صحيحاً تارةً ومعيباً بالجرح اُخري ، ويؤخذ من دية النفس بحساب التفاوت بين القيمتين</w:t>
      </w:r>
      <w:r>
        <w:rPr>
          <w:rFonts w:eastAsia="Amiri" w:cs="Amiri" w:ascii="Amiri" w:hAnsi="Amiri"/>
          <w:color w:val="111111"/>
          <w:sz w:val="28"/>
          <w:szCs w:val="28"/>
          <w:rtl w:val="true"/>
          <w:lang w:bidi="ar-SA"/>
        </w:rPr>
        <w:t xml:space="preserve">. </w:t>
      </w:r>
      <w:bookmarkStart w:id="337" w:name="pg19370_198293"/>
    </w:p>
    <w:p>
      <w:pPr>
        <w:pStyle w:val="Heading3"/>
        <w:numPr>
          <w:ilvl w:val="2"/>
          <w:numId w:val="1"/>
        </w:numPr>
        <w:rPr/>
      </w:pPr>
      <w:bookmarkStart w:id="338" w:name="__RefHeading___Toc17391063_1280447820"/>
      <w:bookmarkStart w:id="339" w:name="_Toc108"/>
      <w:bookmarkEnd w:id="337"/>
      <w:bookmarkEnd w:id="338"/>
      <w:r>
        <w:rPr>
          <w:rtl w:val="true"/>
        </w:rPr>
        <w:t>دية المرأة</w:t>
      </w:r>
      <w:bookmarkEnd w:id="33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 دية المرأة نصف دية الرجل فى القتل ، فلا خلاف فيه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عبداللّه بن مسكان عن 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قتلت المرأة رجلاً قتلت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 الرجل المرأة فإن أرادوا القود أدّوا فضل دية الرجل على دية المرأة وأقادوه بها ، وإن لم‌يفعلوا قبلوا الدية دية المرأة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المرأة نصف دية الرجل </w:t>
      </w:r>
      <w:r>
        <w:rPr>
          <w:rFonts w:eastAsia="IRNazanin" w:cs="IRNazanin"/>
          <w:color w:val="111111"/>
          <w:sz w:val="28"/>
          <w:szCs w:val="28"/>
          <w:rtl w:val="true"/>
          <w:lang w:bidi="fa-IR"/>
        </w:rPr>
        <w:t xml:space="preserve">» </w:t>
      </w:r>
      <w:r>
        <w:rPr>
          <w:rStyle w:val="FootnoteAnchor"/>
          <w:rtl w:val="true"/>
        </w:rPr>
        <w:footnoteReference w:id="6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 دية المرأة فى غير القتل تساوى دية الرجل ما لم‌تبلغ الثلث وإلاّ رجعت الى نصف دية الرجل ، فتدل عليه صحيحة أبان بن تغلب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رجل قطع إصبعاً من أصابع المرأة ، كم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اثنتين؟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أربعاً؟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يقطع ثلاثاً فيكون عليه ثلاثون ويقطع أربعاً فيكون عليه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كان يبلغنا ونحن بالعراق فنبرأ ممّن قاله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أبان هذا حكم رسول اللّه صلی اللّه علیه و آله ، إنّ المرأة تعاقل </w:t>
      </w:r>
      <w:r>
        <w:rPr>
          <w:rStyle w:val="FootnoteAnchor"/>
          <w:rtl w:val="true"/>
        </w:rPr>
        <w:footnoteReference w:id="646"/>
      </w:r>
      <w:r>
        <w:rPr>
          <w:rFonts w:ascii="Amiri" w:hAnsi="Amiri" w:eastAsia="Amiri" w:cs="Amiri"/>
          <w:color w:val="111111"/>
          <w:sz w:val="28"/>
          <w:sz w:val="28"/>
          <w:szCs w:val="28"/>
          <w:rtl w:val="true"/>
          <w:lang w:bidi="ar-SA"/>
        </w:rPr>
        <w:t>الرجل الى ثلث الدية ، فإذا بلغت الثلث رجعت الى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إنّك أخذتنى بالقياس ، والسنّة إذا قيست محق الدين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وغيرها من الروايات الكثيرة</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7391065_1280447820"/>
      <w:bookmarkStart w:id="341" w:name="_Toc109"/>
      <w:bookmarkEnd w:id="340"/>
      <w:r>
        <w:rPr>
          <w:rtl w:val="true"/>
        </w:rPr>
        <w:t>العاقلة</w:t>
      </w:r>
      <w:bookmarkEnd w:id="34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العاقلة تختص بالمتقربين بالأب ولاتشمل المتقرّبين بالاُم ، فهو </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معنى العصبة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الصبى والمجنون ليس من العاقلة ، فهو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حديث رفع القلم حتى بناءً على اختصاصه بقلم التكليف ، فإنّ ثبوت الدية علي العاقلة تكليف محض ومن البعيد أن يكون حكماً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المرأة ليست من العاقلة ، فباعتبار اختصاص العاقلة لغة بالذكور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التقسيم يتمّ بالتساوى ، فباعتبار أنّ ما دلَّ على كون الدية علي العاقلة يدل بنفسه على ذلك ، فإنّ التقسيط بشكل آخر يحتاج الى دليل ، وهو مفقود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التقسيم بيد الإمام علیه السلام أو نائبه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الغنى نصف دينار وعلى الفقير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الفرق بين الغنى والفقير ، فلعدم الدليل على الاختصاص بالغني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إذا كان الفقير عاجزاً عن الدفع اختصّ العقل بغيره؛ لأنّ ثبوت الدية علي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محض ، وهو لا يعمّ العاجز</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اختصاص العقل بالقريب ، فلأنّ لفظ العاقلة يشمل البعيد أيضاً ، ولا دليل على التقييد</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9370_198296"/>
      <w:bookmarkStart w:id="343" w:name="pg19370_198296"/>
      <w:bookmarkEnd w:id="343"/>
    </w:p>
    <w:p>
      <w:pPr>
        <w:pStyle w:val="Heading2"/>
        <w:numPr>
          <w:ilvl w:val="1"/>
          <w:numId w:val="1"/>
        </w:numPr>
        <w:rPr/>
      </w:pPr>
      <w:bookmarkStart w:id="344" w:name="pg19370_198296"/>
      <w:bookmarkStart w:id="345" w:name="__RefHeading___Toc17391067_1280447820"/>
      <w:bookmarkStart w:id="346" w:name="_Toc110"/>
      <w:bookmarkEnd w:id="344"/>
      <w:bookmarkEnd w:id="345"/>
      <w:r>
        <w:rPr>
          <w:rtl w:val="true"/>
        </w:rPr>
        <w:t>فهرس</w:t>
      </w:r>
      <w:bookmarkEnd w:id="346"/>
    </w:p>
    <w:p>
      <w:pPr>
        <w:pStyle w:val="BookText"/>
        <w:rPr/>
      </w:pPr>
      <w:r>
        <w:rPr>
          <w:rFonts w:ascii="Amiri" w:hAnsi="Amiri" w:eastAsia="Amiri" w:cs="Amiri"/>
          <w:color w:val="111111"/>
          <w:sz w:val="28"/>
          <w:sz w:val="28"/>
          <w:szCs w:val="28"/>
          <w:rtl w:val="true"/>
          <w:lang w:bidi="ar-SA"/>
        </w:rPr>
        <w:t>مقدمة المكتب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الأحكام</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القضاء فى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الشروط اللازمة فى القاضى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كيفية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شروط سماع الدعوى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وسائل الاثبات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أحكام عامة فى باب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شرائط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الحقوق فى الاثبات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أحكام عامة فى باب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حقيقة الإقرار ومدرك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من أحكام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كتاب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اللقطة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أحكام اللقطة بالمعنى الأخص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أحكام اللقيط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من أحكام مجهول المالك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كتاب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اسباب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الغصب والأحكام الثابتة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احكام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كتاب الاطعمة والاشربة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أفراد ما يحرم تناوله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حيوان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حيوان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 يحرم من الحيوان المذبوح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التحريم الطارئ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كتاب الصيد والذباحة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تحقق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الحيوان الوحشى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الاصطياد بالكلب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الاصطياد بالسلاح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السمك والجراد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 يقبل التذكية واثرها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كتاب الأنفال والمشتركات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ملكية الإمام علیه السلام أو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أنحاء الملكية ووسائل تحصيلها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أحكام 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كتاب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ما يوجب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فروض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الارث بالفرض وبالقرابة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العول والتعصيب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من تفاصيل إرث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إرث الطبقة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إرث الطبقة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موجبات الحدّ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شرائط ثبوت 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الوسائل المثبتة للزنا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كيفية اقامة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التفخيذ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والإفساد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اقامة الحدود فى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القصاص واقسامه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قصاص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متى يصدق القتل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اقسام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اثبات القتل عمداً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احكام قصاص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قصاص ما دون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الدية واقسامها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مقادير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دية القتل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دية الشبيه بالعمد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دية الخطأ المحض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دية الجوارح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دية الأصابع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دية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من احكام القتل والديات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الأرش والحكومة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دية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صفات القاضي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الحال راجع 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القاضي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الاجارة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للآشتياني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مذكورة فى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فى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بالدين مطلق المال الذى اشتغلت به الذمّة ، أعم من كونه بالقرض أو الغصب أو الاتلاف أو البيع وما شاكل 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البكارة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مجمع البحرين فى مادة مرر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من اخلاط البدن غير الدم ، والجمع مِرار بالكسر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دهداء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يقول الأصحاب بأن من أقرَّ بحدٍّ ثم تاب ، كان الإمام مخيراً فى إقامته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الأمرالشديد الغامس فى الشدّة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الاقرار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نقلاً عن عوالى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وفتح القاف أو اسكانها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الدرهم الشرعى هو الفضة التى تعادل قيمتها ثلاثة غرامات إلاّ ربع‌عشر الغرام تقريباً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الثانى من هذا الكتاب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الطواف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مكان المصلي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الخنثي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ايضاً فى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الدين والقرض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كتاب الغصب ،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البصرى المعروف بعدائه لأميرالمؤمنين علیه 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سمرة بن جندب صاحب القصة المعروفة فى حديث لاضرر الذى ضمن له النبى صلی اللّه علیه و آله عذقاً في الجنة اذا تنازل عن عذقه فى دار الأنصارى فأبي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كاحمد بن حنبل فى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فى مستدركه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فى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والبيهقى فى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وابى داود فى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العيوب والتدليس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فى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مقام التعليق على كلام العلامة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أمره بعمل له اجرة بالعادة فعليه الاجرة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الحكم مشهور ، ويحتمل ان يكون مجمعاً عليه ، ولعل سنده اقتضاء العرف ، فانه يقتضى ان يكون مثل هذا العمل بالاجرة ، فالعرف مع الأمر بمنزلة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 هذا ولك عليَّ الإجرة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مستند العروة الوثقى ، كتاب الاجارة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الوثقي ، كتاب الاجارة ، الفصل السادس ،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العشرة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الإطلاع على سائر التحديدات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الغصب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قدنقل الشيخ‌الاعظم‌خمسة اقوال فى مسألة ضمان المنافع غير المستوفاة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الحائر الحسيني ، زاده اللّه شرفاً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الطبع الجديد للوسائل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ونفق ، وهو انسب ، لان عطب ونفق بمعنيً واحد ، وهو الهلاك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 الفلس فى الروايات بالقشر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الضأن والمعز الجبليان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اليحمور حيوان شبيه بالابل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دابة وحشية لها قرنان طويلان كأنهما منشاران ، ينشر بهما الشجر ، يلقيهما كل سنة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 هو ما كان احد ابويه غير عربي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هو التركى من الخيل فى مقابل العِراب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المباحة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المباحة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هل يعدُّ أخذ الناس له نهباً وغصباً محرماً بعد فرض أن الرجل قد جرحه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حيوان 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حيوان له ظفر أو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والناب هو السن الذى يتم به الافتراس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صفيف الطائر بسطه لجناحيه حالة طيرانه ، كما هو الحال فى جوارح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ودفيفه تحريكه لجناحيه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للطير بمنزلة المصارين فى غيره ، وتجتمع فيها الاجسام الصلبة ، ويعبر عنها فى الفارسية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سنك دان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أجسام مدورة تشبه البندق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موضع الولد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حبة بقدر الحمصة موجودة فى وسط الدماغ</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خيط ابيض فى وسط فقار الظهر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عصبان ممتدان على الظهر من الرقبة الى الذنب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الحبة الناظرة منها لا جسم العين كله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الانفحة بكسر الهمزة وفتح الفاء وقد تكسر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وتشديد الحاء وتخفيفها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صغير يستخرج من بطن الجدى الراضع قبل أن يأكل فيعصر فى صوف فيغلظ ويستعمل كخمرة للجبن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في الفارسية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پنير مايه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البهائم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يحدُّ اقل من حدّ الزنا ، فان الزانى يحدّ بمائة بينما هذا بخمسة وعشرين سوطاً ربع حد الزاني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الائمة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كلام يونس أو سماعة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البهائم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التنفس، ومحله فوق المريء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والودجان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غليظان يجري فيهما الدم محيطان بالحلقوم ، وقيل بالمريء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الخيط الابيض الممتد وسط الفقار من الرقبة الى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والانخاع إصابة النخاع بالسكين لقطعه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المنخفض فى اعلى الصدر متصلاً بالعنق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تكبيرة الاحرام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مدرب على الاصطياد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مدربين للكلب على الاصطياد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الصيد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لايشتمل على حديدة فى طرفه ويكون دقيق الطرفين غليط الوسط يصيب بعرضه دون حدِّه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حوت وهى السمكة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المحرمة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الأرض التى لايمكن الانتفاع بها إلاّ بعد اصلاحها واعمارها ، كالصحاري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بمعنى الساحل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الأرض المملوءة بالقصب أو بالشجر الملتف بعضه ببعض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قطائع الملوك هى الأراضى التى اقتطعها الملوك لانفسهم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جمع 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الفاء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صلاة النافلة ، حيث إنّها زيادة علي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الليل فتهجد به نافلة 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زيادة لك ، ومنه أيضاً قوله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ووهبنا له اسحاق ويعقوب نافلة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اى زيادة على ما سأل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قطع أنف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يعنى فى هذه السورة قطع أنف الجاحدين لحقوقنا وارغامهم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يقابل العامر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فيما بعد إن شاء اللّه تعالى أنّ الأرض الميتة وإن كانت ملكاً للإمام علیه السلام ولكنه يجوز لأيّ فرد من الناس احياؤها ويثبت بذلك تملكها أو الحق فيها على احتمالين فى المسألة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فى الطبع القديم لوسائل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أخماس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ذكرناه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فى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الأنفال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ولاء ضمان الجريرة والامامة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الثروة الطبيعية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وما فيها وما عليها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وسكون النون ، بمعنى القهر والقوة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اُجرة الأرض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احياء الموات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يجب فيه الخمس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يوجد تفسيران للمعدن الباطن والمعدن الظاهر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المساجد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المساجد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نحو ولاية يترتب عليها 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تنشأ إما بسبب العتق أو التعاقد على ضمان الجريرة او الإمامة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تعاقد شخصين على أنّ أحدهما اذا تحققت منه جناية يقوم الآخر بدفع الدية عنه فى مقابل أن يرثه إذا مات ولم‌يكن له وارث ، فيقول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عاقدتك على أن تعقل عنى وترثني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فيقول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وتعقل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عنى دية جنايتي ، وهذا التعاقد قد يكون من كلا الطرفين وقد يكون من أحدهما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المذكور فى القرآن الكريم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الكلالة فى هذه الآية الكريمة والتى سبقتها فى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الإخوة والأخوات؛ غايته انّ المراد منها فى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الإخوة والأخوات من الاُم ، وفى الآية الاُخري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الإخوة والأخوات من الأبوين أو الأب ، كما دلت على ذلك صحيحة بكير بن أعين الواردة فى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الإخوة والاجداد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معنى العصبة إن شاء اللّه تعالى عند البحث عن العول والتعصيب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الازواج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أو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الاحاديث ، تحديد قيمتها بأربعين ديناراً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ولد الملاعنة وما اشبهه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ولد الملاعنة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البقباق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مجموع السهام على ستة اسداس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عالت الناقة ذنبها ، اذا 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الزيادة فى المقام عولاً ، لارتفاع مجموع السهام عن التركة التى هى ستة اسداس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وقرابته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سموا عصبة ، لانهم عَصَبوا ، أى احاطوا به ، فالأب طرف والابن طرف والعم جانب والأخ جانب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العم هو أخ الأب فيكون منتسباً بواسطة الأب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تعمم للانثى أو للمنتسب بواسطة الانثي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الابوين والاولاد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والاجداد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والاجداد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والاخوال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الحال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الاخوة والاجداد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والاخوال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والاخوال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والاخوال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تزوج ولم‌يدخل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ويأتى تفسيره فى صحيحة الحلبى بمن أملك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ولم‌يدخل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بفتح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الرازى عند تفسير قوله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كنتم جنباً فاطّهروا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ختان الرجل هو الموضع الذى تقطع فيه جلدة الغلفة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ختان المرأة فيتضح بعد الالتفات الى أن شفريها محيطان بثلاثة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ثقبة في أسفل الفرج هى مدخل الذكر ومخرج الحيض والولد ، وثقبة اُخرى فوق ذلك مثل احليل الذكر هى مخرج البول ، وهناك شيء ثالث فوق ثقبة البول هى موضع ختانها وفيه جلدة رقيقة تشبه عرف الديك ، وختانها يتحقق بقطع تلك الجلدة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والحشفة اذا غابت حاذى ختانها ختانه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تروك الاحرام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الحال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القذف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الزنا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الزنا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الزنا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الزنا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الزنا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الزنا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الحال لاحظ 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الإدخال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او دهداء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اللواط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اللواط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اللواط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اللواط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حد اللواط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 المرأة فرجها بفرج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كُنّى عنه فى بعض الروايات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اللواتى مع اللواتي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النكاح المحرم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السحق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القذف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كان بالقرب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هو الموضع المعروف فى عرفات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المسكر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المسكر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المسكر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المقطوعة هى الرواية التى ينقل الراوى فيها الحكم من دون استناد الى الامام علیه السلام ولا ذكر ضمير يحتمل رجوعه اليه ، بخلاف المضمرة فانه يفترض فيها ذكر ضمير يحتمل رجوعه الى الامام علیه السلام من قبيل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الارحية جمع رحي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تقطع يده اليمنى مع رجله اليسري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بقية كفارات الاحرام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بقية الحدود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الجمعة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الاول وما بعده من ابواب القصاص فى النفس من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بالسكوني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مقدمة العبادات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العاقلة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العاقلة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الأيمان التى يؤديها جماعة ، أو هى الجماعة التى تؤدى 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صدقها عليهما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إنّ القسامة كانت جاهلية وقد أقرها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بعض الأخبار أنّها سنّة شرَّعها الرسول صلی اللّه علیه و آله ، فلاحظ رواية أبيبصير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أباعبداللّه علیه السلام عن القسامة أين كان بدوها؟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قبل رسول‌اللّه لما كان بعد فتح خيبر تخلّف رجل من الأنصار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دعوى القتل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الاول وفتح الثاني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أقدت القاتل بالمقتول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قصاصاً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دعوى القتل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امارة توجب الظن بصدق المدّعي ، كما اذا وجد عند المقتول شخص قد شهر السلاح الملوث بالدم أو أخبر صبى بأنى رأيت فلاناً يزاول عملية القتل وما شاكل ذلك من الأمارات الموجبة للظن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عبداللّه بن سنان الواردة فى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دعوى القتل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والنهي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دارالحكمة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النفس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بنوه وقرابته لابيه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سموا عصبة لانهم عَصَبُوا ، أى أحاطوا به ، فالأب طرف ، والابن طرف ، والعم جانب والاخ جانب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وتخفيف الياء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الديات المقدّرة شرعاً كثيرة جداً ، واستيعابها يوجب التطويل ويورث الملل اقتصرنا على البعض المهم منها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ما دخلت فى السنة السادسة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الدينار الشرعى الذى مقداره مثقال ذهب بوزن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 الدينار الشرعى يعادل أربعة غرامات ذهب وربع تقريباً ، فالدية على هذا أربعة كيلوات من الذهب وربع الكيلو تقريباً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الدرهم الشرعى الذى هو من الفضة ويعادل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 الدرهم الشرعى يعادل ثلاثة غرامات إلاّ ربع عشر الغرام تقريباً ، فالدية على هذا ثلاثون كيلواً إلاّ ربع الكيلو من الفضة تقريباً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الثوب أو خصوص الثوب الساتر لجميع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والفقهاء فسّروها بالثوبين ،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هو معناها لغة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من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فى السنة الثالثة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فى الطبع القديم من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 فانّ الموجود فى المصادر الاصلية للصحيحة وهى الكتب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الحامل من النوق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المخاض هى الناقة التى دخلت فى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بذلك لأنّ اُمّها قد حملت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النفس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العاقلة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ذلك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المقصود من الدينار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دية القتل عمداً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الشجاج والجراح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الكفارات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الشجاج والجراح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مشتقة من العقل بمعنى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إما لأنّ من معانى العقل المنع ، والدية تمنع صاحبها من الجرأة على الجناية ، أو باعتبار أنّ الدية كانت إبلاً تعقل عند ولى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 المرأة تستحق العقل وهو الدية بمقدار دية الرجل وتساويه فى ذلك الى حدَّ الثلث</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ديات الاعضاء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59563</Words>
  <Characters>231898</Characters>
  <CharactersWithSpaces>289239</CharactersWithSpaces>
  <Paragraphs>3110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2026-08-25T20:32:34Z</dcterms:created>
  <dc:creator>ghaemiyeh.com</dc:creator>
  <dc:description/>
  <dc:language>en-US</dc:language>
  <cp:lastModifiedBy/>
  <dcterms:modified xsi:type="dcterms:W3CDTF">2026-08-26T00:02:43Z</dcterms:modified>
  <cp:revision>1</cp:revision>
  <dc:subject/>
  <dc:title>دروس تمهیدیة فی الفقه الإستدلالی جلد 4</dc:title>
</cp:coreProperties>
</file>

<file path=docProps/custom.xml><?xml version="1.0" encoding="utf-8"?>
<Properties xmlns="http://schemas.openxmlformats.org/officeDocument/2006/custom-properties" xmlns:vt="http://schemas.openxmlformats.org/officeDocument/2006/docPropsVTypes"/>
</file>