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المهر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230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6230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62309_1280447820">
            <w:r>
              <w:rPr>
                <w:webHidden/>
                <w:rStyle w:val="IndexLink"/>
                <w:rtl w:val="true"/>
              </w:rPr>
              <w:t>[</w:t>
            </w:r>
            <w:r>
              <w:rPr>
                <w:rStyle w:val="IndexLink"/>
                <w:rtl w:val="true"/>
              </w:rPr>
              <w:t>مقدمة التحقيق</w:t>
            </w:r>
            <w:r>
              <w:rPr>
                <w:rStyle w:val="IndexLink"/>
                <w:rtl w:val="true"/>
              </w:rPr>
              <w:t>]</w:t>
              <w:tab/>
            </w:r>
            <w:r>
              <w:rPr>
                <w:rStyle w:val="IndexLink"/>
              </w:rPr>
              <w:t>6</w:t>
            </w:r>
          </w:hyperlink>
        </w:p>
        <w:p>
          <w:pPr>
            <w:pStyle w:val="Contents2"/>
            <w:tabs>
              <w:tab w:val="clear" w:pos="8743"/>
              <w:tab w:val="right" w:pos="9026" w:leader="dot"/>
            </w:tabs>
            <w:rPr/>
          </w:pPr>
          <w:hyperlink w:anchor="__RefHeading___Toc16362311_1280447820">
            <w:r>
              <w:rPr>
                <w:webHidden/>
                <w:rStyle w:val="IndexLink"/>
                <w:rtl w:val="true"/>
              </w:rPr>
              <w:t>[</w:t>
            </w:r>
            <w:r>
              <w:rPr>
                <w:rStyle w:val="IndexLink"/>
                <w:rtl w:val="true"/>
              </w:rPr>
              <w:t>سؤال حول المهر و جوابه</w:t>
            </w:r>
            <w:r>
              <w:rPr>
                <w:rStyle w:val="IndexLink"/>
                <w:rtl w:val="true"/>
              </w:rPr>
              <w:t>]</w:t>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0_229617"/>
      <w:bookmarkStart w:id="1" w:name="pg18950_229617"/>
      <w:bookmarkEnd w:id="1"/>
    </w:p>
    <w:p>
      <w:pPr>
        <w:pStyle w:val="Heading2"/>
        <w:numPr>
          <w:ilvl w:val="1"/>
          <w:numId w:val="1"/>
        </w:numPr>
        <w:rPr/>
      </w:pPr>
      <w:bookmarkStart w:id="2" w:name="pg18950_229617"/>
      <w:bookmarkStart w:id="3" w:name="__RefHeading___Toc1636230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النعمان‌ابن المعلم ابی‌عبدالله العکبیری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الرد علی من حد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الرد علی من حد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الرد علی من حد المهر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230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رِسَالَةٌ فِي اَلْمَهْرِ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8950_229619"/>
    </w:p>
    <w:p>
      <w:pPr>
        <w:pStyle w:val="Heading2"/>
        <w:numPr>
          <w:ilvl w:val="1"/>
          <w:numId w:val="1"/>
        </w:numPr>
        <w:rPr/>
      </w:pPr>
      <w:bookmarkStart w:id="8" w:name="__RefHeading___Toc16362309_1280447820"/>
      <w:bookmarkStart w:id="9" w:name="_Toc3"/>
      <w:bookmarkEnd w:id="7"/>
      <w:bookmarkEnd w:id="8"/>
      <w:r>
        <w:rPr>
          <w:rtl w:val="true"/>
        </w:rPr>
        <w:t>[</w:t>
      </w:r>
      <w:r>
        <w:rPr>
          <w:rtl w:val="true"/>
        </w:rPr>
        <w:t>مقدمة التحقيق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يلتزم الزوج بأدائه إلى زوجته حين يتمّ عقد زواجه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سمّى لها مهرا،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تعيين المهر للزوجة سنّة بشريّة قديمة، لوحظ وجودها عند أكثر الأمم و الشعوب، و في أقدم الحضارات البائدة و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كانت أهداف الالتزام به عند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هو التعبير عن قدرة الزوج على إدارة الزوجة و إعاشتها، حيث يقدّم لها هذا المال، فيكشف عن امتلاكه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الدقّة و الحنكة و التدبير الأمور؟ كي يحصل على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هو إبراز لمشاعر الحبّ و الودّ و الغرام الصادق، بتقديم أثمن ما يمتلكه الإنسان، ليرمز الى تضحيته به على طريق مشاعره تلك؟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توفير ماليّ لمستقبل الزوجة حتّى تطمئنّ عليه، يقدّمه لها الزوج، لتعيش معه بهدوء خاطر و راحة بال، حيث تجده يرفع اليد من أجلها عن أنفس ما يتنافس عليه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ترفيع لحرمة الأعراض، أن لا يستهان بها، و لا تبتذل بأرخص الأهواء و الشهوات، بينما لها هذه العزّة و الكرامة؟</w:t>
      </w:r>
    </w:p>
    <w:p>
      <w:pPr>
        <w:pStyle w:val="BookText"/>
        <w:rPr/>
      </w:pPr>
      <w:r>
        <w:rPr>
          <w:rFonts w:ascii="Amiri" w:hAnsi="Amiri" w:eastAsia="Amiri" w:cs="Amiri"/>
          <w:color w:val="111111"/>
          <w:sz w:val="28"/>
          <w:sz w:val="28"/>
          <w:szCs w:val="28"/>
          <w:rtl w:val="true"/>
          <w:lang w:bidi="ar-SA"/>
        </w:rPr>
        <w:t>فمهما تكن من هذه الأسباب أو غيرها، فإنّ هذه العادة قد أصحبت من الملتزمات و الأعراف الطيّبة المحمودة عند كافّة الناس، سواء أصحاب الأديان و الشرائع، أم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الديانات السماوية أقرّتها، و لم تعارضها كذلك، إلّا أنّ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الحضارة و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نظّمها، و أضاف عليها عنصر الأهداف السامية التي يبثّها في كلّ تعاليمه و معاملاته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المهر ربما يكون في الشريعة من غير الأموال و لا الأعيان و البضائع، و إنّما مجرّد أمر معنوي و فكري و أدبيّ مثل تعليم القرآن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إطلاق لفظ المهر على مثل هذا خاصّا بالشريعة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تعليم معالم الدين، و المهارات و الحرف، و غير ذلك ممّا يمكن التراضي به، كما يمكن توفيق تلك الاهداف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الكميّة، فلم يحدّد الإسلام للمهر حدّا معيّنا من حيث الكثرة و القلّة، بل المدار فيه هو رضا الزوجين، فمتى تراضيا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هذه الحقيقة على لسان أئمة أهل البيت عليهم السلام،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المهر ما تراضى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النصّ مطلق في ظاهر لفظه، يشمل جميع أنواع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منه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بالمتعة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بالرغم من ظهوره في الإطلاق فإنّ بعض الفضلاء ممّن عاصر الشيخ </w:t>
      </w:r>
    </w:p>
    <w:p>
      <w:pPr>
        <w:pStyle w:val="BookText"/>
        <w:rPr/>
      </w:pPr>
      <w:r>
        <w:rPr>
          <w:rFonts w:ascii="Amiri" w:hAnsi="Amiri" w:eastAsia="Amiri" w:cs="Amiri"/>
          <w:color w:val="111111"/>
          <w:sz w:val="28"/>
          <w:sz w:val="28"/>
          <w:szCs w:val="28"/>
          <w:rtl w:val="true"/>
          <w:lang w:bidi="ar-SA"/>
        </w:rPr>
        <w:t>المفيد خصّ هذا النصّ بعقد المتعة، دون غيره من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كلام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 هذا الشيخ الفاضل، إلّا انّ الذي يظهر من كلام الشيخ المفيد هو مزيد العناية به،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عظيم من أمثاله، مع ما يرجع إليه من العلم و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تربّى في رياض العلم، و يشار إليه فيما يفتيه من غوامض المسائل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قوله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زلّة منه، فهذا يقع من العلماء، فقد قال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جواد عثرة و لكل عالم هفوة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أن يكون قد اشتبه عليه، و لو كان هذا من غيره ممّن يتزيّى بزيّ أهل العلم لظنّنا أنّ غرضه ممّا أجاب و أفتى به خلاف أهل العلم و الفقه،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جهة الاستنكاف من الرجوع فيما يشتبه عليه إلى أهل الفضل و الفقه، و حاشاه أن يكون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تصدّي الشيخ المفيد للاعتذار لذلك الفاضل بهذه العبارات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معترف بفضله، و يكنّ له التقدير و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المفيد لم يذكر في هذا الكتاب الوجه الذي دعا هذا الشيخ الفاضل إلى ذلك القول و تخصيصه ذلك الحديث بنكاح المتعة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الذي دعاه إلى ذلك ما وجده في بعض أحاديث الباب، من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الشيخ الطوسيّ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هذا الحديث أنّه خاصّ بالمتعة،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لذكره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مع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على ان كفاية ما يقع عليه التراضي في المهر خاصّ بعقد المتعة، و بهذا الحديث تقيّد الروايات المطلقة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ليس صحيحا، لأنّ التقييد بالمتعة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في سؤال الراوي، و لازم ذلك أن يكون إنّما خصّ سؤاله عن المهر في عقد المتعة؟ فلذا أجابه الإمام عليه السلام بذكر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التقييد إنّما يتحقّق إذا صبّ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المقيّد بحيث يكون بيانا للمطلق، و مخرجا له عن شيوعه، بأن يظهر منه عدم إرادة غير المقيّد من أفراد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مجرّد تطبيق الحكم على المقيّد كافيا في التقييد، لأن ذلك هو مقتضى الإطلاق أيضا، فلا ينافيه حتّى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المقام، من قبيل التطبيق، حيث أنّ الإمام عليه السلام إنّما طبق حكم المطلق، و هو كفاية ما وقع عليه التراضي، على مورد عقد المتعة الذي ورد في سؤال الراوي، و أضاف إليه ما هو لازمه من ذكر الأجل</w:t>
      </w:r>
    </w:p>
    <w:p>
      <w:pPr>
        <w:pStyle w:val="BookText"/>
        <w:rPr/>
      </w:pPr>
      <w:r>
        <w:rPr>
          <w:rFonts w:ascii="Amiri" w:hAnsi="Amiri" w:eastAsia="Amiri" w:cs="Amiri"/>
          <w:color w:val="111111"/>
          <w:sz w:val="28"/>
          <w:sz w:val="28"/>
          <w:szCs w:val="28"/>
          <w:rtl w:val="true"/>
          <w:lang w:bidi="ar-SA"/>
        </w:rPr>
        <w:t>و قد ذكر الشيخ المفيد إطلاق الحديث، و استند لإثباته الى رواية اخرى جاء فيها التصريح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كلّ ما تراضيا عليه في تمتّع أو تزويج غير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يرد في كلامه ذكر عن ما افترضناه من احتمال التقييد، و لا الجواب عنه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مضمون كلام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الفاضل المذكور قال بتحديد المهر بقدر معيّن من الدراهم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فتصدّى الشيخ المفيد لردّه، منتهجا الطرق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المهر ما تراضى عليه الزوجان، و هي مطلقة لجميع أنواع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بالمسلّمات الفقهيّة، الدالة على عدم تحديد كميّة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 النكاح بمهر من غير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كتعليم المرأة القرآن أو معالم الدين ممّا لا يقدّر بثمن محدّد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بالزوجيّة لمن عقد على امرأة، و لم يفرض لها مهرا معيّنا، و مات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بما وافق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أنّ عدم تحديد المهر هو الموافق 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بما يقع عند العرف، من الاكتفاء في خطبة النكاح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تحديد، و هو عرف ثابت منذ زمان النبيّ صلّى اللّه عليه و آله و سلّم، حيث حصل مثله في خطبة تزويجه صلّى اللّه عليه و آله و سلّم بخديجة عليها السلام، فيما رواه الأئمّة عليهم السلام فيكون هذا العرف حجّة باعتبار اتصاله بعصر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يعتذر الشيخ المفيد لذلك الفاضل، ذكر أحاديث أخلاقيّة عن الأئمّة عليهم السلام ترشد إلى نبذ الاستنكاف عن السؤال عمّا لا يعلمه الجاهل، و تحثّ على الطلب و التعلّم، مثبتا لبعض النصوص النادرة المتون في هذا الصدد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فالكتاب يعتبر جهدا فقهيا رائعا، و يلقى أضواء على قدرات الشيخ المفيد في محاولاته الفقهيّة، و يوقفنا على أدوات الاستنباط التي كانت تزاول في </w:t>
      </w:r>
    </w:p>
    <w:p>
      <w:pPr>
        <w:pStyle w:val="BookText"/>
        <w:rPr/>
      </w:pPr>
      <w:r>
        <w:rPr>
          <w:rFonts w:ascii="Amiri" w:hAnsi="Amiri" w:eastAsia="Amiri" w:cs="Amiri"/>
          <w:color w:val="111111"/>
          <w:sz w:val="28"/>
          <w:sz w:val="28"/>
          <w:szCs w:val="28"/>
          <w:rtl w:val="true"/>
          <w:lang w:bidi="ar-SA"/>
        </w:rPr>
        <w:t>طليعة عصر الاجتهاد عند الشيعة الإماميّة، على يد مجدّد المذهب الإمام الشيخ المفيد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نحمد اللّه على توفيقه، و نسأله الرضا عنا بفضله و إحسانه و أن يتقبل منّا بكرمه و جلاله، إنّه ذو الجلال و الإكرام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السيّد محمّد رضا الحسيني الجلاليّ </w:t>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رِسَالَةٌ فِي اَلْمَهْرِ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50_229633"/>
      <w:bookmarkStart w:id="11" w:name="pg18950_229633"/>
      <w:bookmarkEnd w:id="11"/>
    </w:p>
    <w:p>
      <w:pPr>
        <w:pStyle w:val="Heading2"/>
        <w:numPr>
          <w:ilvl w:val="1"/>
          <w:numId w:val="1"/>
        </w:numPr>
        <w:rPr/>
      </w:pPr>
      <w:bookmarkStart w:id="12" w:name="pg18950_229633"/>
      <w:bookmarkStart w:id="13" w:name="__RefHeading___Toc16362311_1280447820"/>
      <w:bookmarkStart w:id="14" w:name="_Toc4"/>
      <w:bookmarkEnd w:id="12"/>
      <w:bookmarkEnd w:id="13"/>
      <w:r>
        <w:rPr>
          <w:rtl w:val="true"/>
        </w:rPr>
        <w:t>[</w:t>
      </w:r>
      <w:r>
        <w:rPr>
          <w:rtl w:val="true"/>
        </w:rPr>
        <w:t>سؤال حول المهر و جوابه</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ذكرت إعجابك أيها الأخ الفاضل بجواب ذلك الشيخ الفاضل حين سئل عن معنى</w:t>
      </w:r>
    </w:p>
    <w:p>
      <w:p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المهر ما تراضى عليه الناس</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ورد في حديث المتعة و وجوب المهر فيها من درهم إلى عشرة دراهم دون مهر النكاح و هذا غلط عظيم من أمثاله مع ما يرجع إليه من العلم و الفهم إذ كان هذا القدر لا يشتبه على الجاهل الغوي و الغافل الغبي فكيف على من تربى في رياض العلم و يشار إليه فيما يفتيه من غوامض المسائل في الحلال و الحرام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هذا الخبر من لفظة غريبة أو معنى بديع يحتاج معه إلى تفسير إذ كان ظاهر الخبر يدل على كلا المعنيين فليس لأحد أن يحمله </w:t>
      </w:r>
    </w:p>
    <w:p>
      <w:pPr>
        <w:pStyle w:val="BookText"/>
        <w:rPr/>
      </w:pPr>
      <w:r>
        <w:rPr>
          <w:rFonts w:ascii="Amiri" w:hAnsi="Amiri" w:eastAsia="Amiri" w:cs="Amiri"/>
          <w:color w:val="111111"/>
          <w:sz w:val="28"/>
          <w:sz w:val="28"/>
          <w:szCs w:val="28"/>
          <w:rtl w:val="true"/>
          <w:lang w:bidi="ar-SA"/>
        </w:rPr>
        <w:t>على معنى واحد بلا حجة و يخطئ من حمله على المعنيين جميعا مع ورود الأثر به و هو مستغن عن إيراد الحجج و الشواهد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به الشريف الزاهد أبو محمد الحسن بن حمزة العلوي</w:t>
      </w:r>
      <w:r>
        <w:rPr>
          <w:rStyle w:val="FootnoteAnchor"/>
          <w:rtl w:val="true"/>
        </w:rPr>
        <w:footnoteReference w:id="3"/>
      </w:r>
      <w:r>
        <w:rPr>
          <w:rFonts w:ascii="Amiri" w:hAnsi="Amiri" w:eastAsia="Amiri" w:cs="Amiri"/>
          <w:color w:val="111111"/>
          <w:sz w:val="28"/>
          <w:sz w:val="28"/>
          <w:szCs w:val="28"/>
          <w:rtl w:val="true"/>
          <w:lang w:bidi="ar-SA"/>
        </w:rPr>
        <w:t>قال حدثنا أحمد بن محمد الدينوري</w:t>
      </w:r>
      <w:r>
        <w:rPr>
          <w:rStyle w:val="FootnoteAnchor"/>
          <w:rtl w:val="true"/>
        </w:rPr>
        <w:footnoteReference w:id="4"/>
      </w:r>
      <w:r>
        <w:rPr>
          <w:rFonts w:ascii="Amiri" w:hAnsi="Amiri" w:eastAsia="Amiri" w:cs="Amiri"/>
          <w:color w:val="111111"/>
          <w:sz w:val="28"/>
          <w:sz w:val="28"/>
          <w:szCs w:val="28"/>
          <w:rtl w:val="true"/>
          <w:lang w:bidi="ar-SA"/>
        </w:rPr>
        <w:t>عن الحسين بن سعيد</w:t>
      </w:r>
      <w:r>
        <w:rPr>
          <w:rStyle w:val="FootnoteAnchor"/>
          <w:rtl w:val="true"/>
        </w:rPr>
        <w:footnoteReference w:id="5"/>
      </w:r>
      <w:r>
        <w:rPr>
          <w:rFonts w:ascii="Amiri" w:hAnsi="Amiri" w:eastAsia="Amiri" w:cs="Amiri"/>
          <w:color w:val="111111"/>
          <w:sz w:val="28"/>
          <w:sz w:val="28"/>
          <w:szCs w:val="28"/>
          <w:rtl w:val="true"/>
          <w:lang w:bidi="ar-SA"/>
        </w:rPr>
        <w:t>عن النضر بن سويد</w:t>
      </w:r>
      <w:r>
        <w:rPr>
          <w:rStyle w:val="FootnoteAnchor"/>
          <w:rtl w:val="true"/>
        </w:rPr>
        <w:footnoteReference w:id="6"/>
      </w:r>
      <w:r>
        <w:rPr>
          <w:rFonts w:ascii="Amiri" w:hAnsi="Amiri" w:eastAsia="Amiri" w:cs="Amiri"/>
          <w:color w:val="111111"/>
          <w:sz w:val="28"/>
          <w:sz w:val="28"/>
          <w:szCs w:val="28"/>
          <w:rtl w:val="true"/>
          <w:lang w:bidi="ar-SA"/>
        </w:rPr>
        <w:t>عن موسى بن بكر</w:t>
      </w:r>
      <w:r>
        <w:rPr>
          <w:rStyle w:val="FootnoteAnchor"/>
          <w:rtl w:val="true"/>
        </w:rPr>
        <w:footnoteReference w:id="7"/>
      </w:r>
      <w:r>
        <w:rPr>
          <w:rFonts w:ascii="Amiri" w:hAnsi="Amiri" w:eastAsia="Amiri" w:cs="Amiri"/>
          <w:color w:val="111111"/>
          <w:sz w:val="28"/>
          <w:sz w:val="28"/>
          <w:szCs w:val="28"/>
          <w:rtl w:val="true"/>
          <w:lang w:bidi="ar-SA"/>
        </w:rPr>
        <w:t>عن زرارة</w:t>
      </w:r>
      <w:r>
        <w:rPr>
          <w:rStyle w:val="FootnoteAnchor"/>
          <w:rtl w:val="true"/>
        </w:rPr>
        <w:footnoteReference w:id="8"/>
      </w:r>
      <w:r>
        <w:rPr>
          <w:rFonts w:ascii="Amiri" w:hAnsi="Amiri" w:eastAsia="Amiri" w:cs="Amiri"/>
          <w:color w:val="111111"/>
          <w:sz w:val="28"/>
          <w:sz w:val="28"/>
          <w:szCs w:val="28"/>
          <w:rtl w:val="true"/>
          <w:lang w:bidi="ar-SA"/>
        </w:rPr>
        <w:t xml:space="preserve">عن أبي جعفر </w:t>
      </w:r>
    </w:p>
    <w:p>
      <w:pPr>
        <w:pStyle w:val="BookText"/>
        <w:rPr/>
      </w:pP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الصداق كل شيء تراضيا عليه في تمتع أو تزويج غير متعة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الحسين</w:t>
      </w:r>
      <w:r>
        <w:rPr>
          <w:rStyle w:val="FootnoteAnchor"/>
          <w:rtl w:val="true"/>
        </w:rPr>
        <w:footnoteReference w:id="10"/>
      </w:r>
      <w:r>
        <w:rPr>
          <w:rFonts w:ascii="Amiri" w:hAnsi="Amiri" w:eastAsia="Amiri" w:cs="Amiri"/>
          <w:color w:val="111111"/>
          <w:sz w:val="28"/>
          <w:sz w:val="28"/>
          <w:szCs w:val="28"/>
          <w:rtl w:val="true"/>
          <w:lang w:bidi="ar-SA"/>
        </w:rPr>
        <w:t>عن فضالة</w:t>
      </w:r>
      <w:r>
        <w:rPr>
          <w:rStyle w:val="FootnoteAnchor"/>
          <w:rtl w:val="true"/>
        </w:rPr>
        <w:footnoteReference w:id="11"/>
      </w:r>
      <w:r>
        <w:rPr>
          <w:rFonts w:ascii="IRNazanin" w:hAnsi="IRNazanin" w:eastAsia="IRNazanin"/>
          <w:color w:val="111111"/>
          <w:sz w:val="28"/>
          <w:sz w:val="28"/>
          <w:szCs w:val="28"/>
          <w:rtl w:val="true"/>
          <w:lang w:bidi="fa-IR"/>
        </w:rPr>
        <w:t>عن محمد بن مسلم</w:t>
      </w:r>
      <w:r>
        <w:rPr>
          <w:rStyle w:val="FootnoteAnchor"/>
          <w:rtl w:val="true"/>
        </w:rPr>
        <w:footnoteReference w:id="12"/>
      </w:r>
      <w:r>
        <w:rPr>
          <w:rFonts w:ascii="Amiri" w:hAnsi="Amiri" w:eastAsia="Amiri" w:cs="Amiri"/>
          <w:color w:val="111111"/>
          <w:sz w:val="28"/>
          <w:sz w:val="28"/>
          <w:szCs w:val="28"/>
          <w:rtl w:val="true"/>
          <w:lang w:bidi="ar-SA"/>
        </w:rPr>
        <w:t>عن أحدهما أنهما سئلا عن المهر ما هو قال ما تراضى عليه الناس</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الصداق ما تراضى عليه الناس من قليل أو كثير فهو الصداق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الأخبار تنطق بأن كل ما تراضى عليه الزوجان من قليل أو كثير فهو المهر لأن كمية المهر تتعلق برضاهما كائنا ما كان و لأن الله تعالى فرض الصداق و لم يحد فيه حدا بقليل و لا كثير فما وقع عليه رضاهما كان ذلك يسمى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القليل منه فهو معروف عندنا و عند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المخالفين فعند مالك بن أنس</w:t>
      </w:r>
      <w:r>
        <w:rPr>
          <w:rStyle w:val="FootnoteAnchor"/>
          <w:rtl w:val="true"/>
        </w:rPr>
        <w:footnoteReference w:id="15"/>
      </w:r>
      <w:r>
        <w:rPr>
          <w:rFonts w:ascii="Amiri" w:hAnsi="Amiri" w:eastAsia="Amiri" w:cs="Amiri"/>
          <w:color w:val="111111"/>
          <w:sz w:val="28"/>
          <w:sz w:val="28"/>
          <w:szCs w:val="28"/>
          <w:rtl w:val="true"/>
          <w:lang w:bidi="ar-SA"/>
        </w:rPr>
        <w:t>قال لا أرى أن تنكح المرأة بأقل من ربع دينار لأن ربع دينار</w:t>
      </w:r>
      <w:r>
        <w:rPr>
          <w:rStyle w:val="FootnoteAnchor"/>
          <w:rtl w:val="true"/>
        </w:rPr>
        <w:footnoteReference w:id="16"/>
      </w:r>
      <w:r>
        <w:rPr>
          <w:rFonts w:ascii="Amiri" w:hAnsi="Amiri" w:eastAsia="Amiri" w:cs="Amiri"/>
          <w:color w:val="111111"/>
          <w:sz w:val="28"/>
          <w:sz w:val="28"/>
          <w:szCs w:val="28"/>
          <w:rtl w:val="true"/>
          <w:lang w:bidi="ar-SA"/>
        </w:rPr>
        <w:t>يجب فيه القطع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غيره مثل الثوري</w:t>
      </w:r>
      <w:r>
        <w:rPr>
          <w:rStyle w:val="FootnoteAnchor"/>
          <w:rtl w:val="true"/>
        </w:rPr>
        <w:footnoteReference w:id="17"/>
      </w:r>
      <w:r>
        <w:rPr>
          <w:rFonts w:ascii="Amiri" w:hAnsi="Amiri" w:eastAsia="Amiri" w:cs="Amiri"/>
          <w:color w:val="111111"/>
          <w:sz w:val="28"/>
          <w:sz w:val="28"/>
          <w:szCs w:val="28"/>
          <w:rtl w:val="true"/>
          <w:lang w:bidi="ar-SA"/>
        </w:rPr>
        <w:t>و أبي حنيفة</w:t>
      </w:r>
      <w:r>
        <w:rPr>
          <w:rStyle w:val="FootnoteAnchor"/>
          <w:rtl w:val="true"/>
        </w:rPr>
        <w:footnoteReference w:id="18"/>
      </w:r>
      <w:r>
        <w:rPr>
          <w:rFonts w:ascii="Amiri" w:hAnsi="Amiri" w:eastAsia="Amiri" w:cs="Amiri"/>
          <w:color w:val="111111"/>
          <w:sz w:val="28"/>
          <w:sz w:val="28"/>
          <w:szCs w:val="28"/>
          <w:rtl w:val="true"/>
          <w:lang w:bidi="ar-SA"/>
        </w:rPr>
        <w:t>و أصحابه أنهم قالوا لا يكون المهر أقل من عشرة دراهم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أشبه بالحق لموافقة</w:t>
      </w:r>
    </w:p>
    <w:p>
      <w:pPr>
        <w:pStyle w:val="BookText"/>
        <w:rPr/>
      </w:pPr>
      <w:r>
        <w:rPr>
          <w:rFonts w:ascii="IRNazanin" w:hAnsi="IRNazanin" w:eastAsia="IRNazanin"/>
          <w:color w:val="111111"/>
          <w:sz w:val="28"/>
          <w:sz w:val="28"/>
          <w:szCs w:val="28"/>
          <w:rtl w:val="true"/>
          <w:lang w:bidi="fa-IR"/>
        </w:rPr>
        <w:t xml:space="preserve">قول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يكون المهر أقل من عشرة دراهم لكي لا يشبه مهر البغي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 عند مخالفينا أيضا أن المهر يكون من ثلاثة دراهم إلى عشرة دراهم</w:t>
      </w:r>
      <w:r>
        <w:rPr>
          <w:rStyle w:val="FootnoteAnchor"/>
          <w:rtl w:val="true"/>
        </w:rPr>
        <w:footnoteReference w:id="21"/>
      </w:r>
      <w:r>
        <w:rPr>
          <w:rFonts w:ascii="Amiri" w:hAnsi="Amiri" w:eastAsia="Amiri" w:cs="Amiri"/>
          <w:color w:val="111111"/>
          <w:sz w:val="28"/>
          <w:sz w:val="28"/>
          <w:szCs w:val="28"/>
          <w:rtl w:val="true"/>
          <w:lang w:bidi="ar-SA"/>
        </w:rPr>
        <w:t>و هو مهر التزويج لا مهر المتعة لأنهم لا يرون المتعة دينا فكيف يثبتون مهر نكاح لا يرونه فإذا كان الأمر هكذا فلا يبقى إلا ما قلناه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أن المهر يتعلق برضاهما كائنا ما كان لا على كمية المال و مبلغه و لا على كثرته دون قلته أنه يقع على غير أجناس المال الذهب و الفضة و الحلي مثل أن تعلم المرأة القرآن و معالم الدين أو تزوجها بخاتم أو ثوب أو سوط أو عبد أو أمة أو حيوان أو بيت أو جهاز بيت و ما أشبه ذلك مما هو مجهول القيمة إذا رضيت المرأة بذلك فقد ثبت لها مهر النكاح و يسمى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ماحدثنا به عن بريد</w:t>
      </w:r>
      <w:r>
        <w:rPr>
          <w:rStyle w:val="FootnoteAnchor"/>
          <w:rtl w:val="true"/>
        </w:rPr>
        <w:footnoteReference w:id="22"/>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سألته عن رجل تزوج امرأة على أن يعلمها سورة من كتاب الله فقال ما أحب أن يدخل بها حتى يعلمها السورة و يعطيها شيئا قلت أ يجوز أن يعطيها تمرا أو زبيبا فقال لا بأس بذلك إذا رضيت به كائنا ما كان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رجل تزوج امرأة على سورة من كتاب الله ثم طلقها قبل أن يدخل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يرجع عليها</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قال يرجع عليها بنصف ما يعلم به مثل تلك السورة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العلاء بن رزين</w:t>
      </w:r>
      <w:r>
        <w:rPr>
          <w:rStyle w:val="FootnoteAnchor"/>
          <w:rtl w:val="true"/>
        </w:rPr>
        <w:footnoteReference w:id="26"/>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جاءت امرأة إلى رسول الله صلی الله علیه و آله وسلم فقالت زوجني فقال رسول الله صلی الله علیه و آله وسلم من لهذه المرأة فقال رجل أنا يا رسول الله زوجنيها فقال ما تعطيها فقال ما لي شيء فقال لا فأعادت فأعاد رسول الله صلی الله علیه و آله وسلم الكلام فلم يقم غير الرجل أحد ثم أعادت فقال رسول الله صلی الله علیه و آله وسلم في المرة الثالثة أ تحسن من القرآن شيئا فقال نعم قال قد زوجتكها على ما تحسن من القرآن أن تعلمها إياه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خبر آخر فقال له رسول الله صلی الله علیه و آله وسلم أ تحسن </w:t>
      </w:r>
    </w:p>
    <w:p>
      <w:pPr>
        <w:pStyle w:val="BookText"/>
        <w:rPr/>
      </w:pPr>
      <w:r>
        <w:rPr>
          <w:rFonts w:ascii="IRNazanin" w:hAnsi="IRNazanin" w:eastAsia="IRNazanin"/>
          <w:color w:val="111111"/>
          <w:sz w:val="28"/>
          <w:sz w:val="28"/>
          <w:szCs w:val="28"/>
          <w:rtl w:val="true"/>
          <w:lang w:bidi="fa-IR"/>
        </w:rPr>
        <w:t xml:space="preserve">القرآن قال نعم سورة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عشرين آية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عن سهل بن سعد أن النبي صلی الله علیه و آله وسلم قال لرجل تزوجها و لو بخاتم من حديد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الفضيل بن يسار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بألف درهم فأعطاها عبدا له آبقا و برد حبرة بالألف التي أصدقها فقال إن رضيت بالعبد و كانت قد عرفته فلا بأس إذا هي قبضت الثوب و رضيت بالعبد قلت فإن طلقها قبل أن يدخل بها قال لا مهر لها و ترد عليه خمسمائة درهم و يكون العبد لها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معلى بن خنيس</w:t>
      </w:r>
      <w:r>
        <w:rPr>
          <w:rStyle w:val="FootnoteAnchor"/>
          <w:rtl w:val="true"/>
        </w:rPr>
        <w:footnoteReference w:id="31"/>
      </w:r>
      <w:r>
        <w:rPr>
          <w:rFonts w:ascii="IRNazanin" w:hAnsi="IRNazanin" w:eastAsia="IRNazanin"/>
          <w:color w:val="111111"/>
          <w:sz w:val="28"/>
          <w:sz w:val="28"/>
          <w:szCs w:val="28"/>
          <w:rtl w:val="true"/>
          <w:lang w:bidi="fa-IR"/>
        </w:rPr>
        <w:t xml:space="preserve">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 عن رجل تزوج امرأة على جارية له مدبرة</w:t>
      </w:r>
      <w:r>
        <w:rPr>
          <w:rStyle w:val="FootnoteAnchor"/>
          <w:rtl w:val="true"/>
        </w:rPr>
        <w:footnoteReference w:id="32"/>
      </w:r>
      <w:r>
        <w:rPr>
          <w:rFonts w:ascii="Amiri" w:hAnsi="Amiri" w:eastAsia="Amiri" w:cs="Amiri"/>
          <w:color w:val="111111"/>
          <w:sz w:val="28"/>
          <w:sz w:val="28"/>
          <w:szCs w:val="28"/>
          <w:rtl w:val="true"/>
          <w:lang w:bidi="ar-SA"/>
        </w:rPr>
        <w:t xml:space="preserve">قد عرفتها المرأة و تقدمت على ذلك فطلقها قبل أن يدخل بها قال أرى أن للمرأة نصف خدمة المدبرة يكون للمرأة منها يوم و للمولى يوم في الخدمة فإذا مات الذي دبرها يكون للمرأة يوم في الخدمة و للمدبرة يوم فإذا ماتت المرأة فقد صارت المدبرة حرة قلت فإن ماتت المدبرة قبل الحرة لمن </w:t>
      </w:r>
    </w:p>
    <w:p>
      <w:pPr>
        <w:pStyle w:val="BookText"/>
        <w:rPr/>
      </w:pPr>
      <w:r>
        <w:rPr>
          <w:rFonts w:ascii="Amiri" w:hAnsi="Amiri" w:eastAsia="Amiri" w:cs="Amiri"/>
          <w:color w:val="111111"/>
          <w:sz w:val="28"/>
          <w:sz w:val="28"/>
          <w:szCs w:val="28"/>
          <w:rtl w:val="true"/>
          <w:lang w:bidi="ar-SA"/>
        </w:rPr>
        <w:t>يكون ميراثها قال يكون نصف ما تركت المدبرة للمرأة لأنها ماتت و نصفها مملوكة لها و يكون لورثة مولاها الذي دبرها النصف الباقي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السكوني</w:t>
      </w:r>
      <w:r>
        <w:rPr>
          <w:rStyle w:val="FootnoteAnchor"/>
          <w:rtl w:val="true"/>
        </w:rPr>
        <w:footnoteReference w:id="34"/>
      </w:r>
      <w:r>
        <w:rPr>
          <w:rFonts w:ascii="IRNazanin" w:hAnsi="IRNazanin" w:eastAsia="IRNazanin"/>
          <w:color w:val="111111"/>
          <w:sz w:val="28"/>
          <w:sz w:val="28"/>
          <w:szCs w:val="28"/>
          <w:rtl w:val="true"/>
          <w:lang w:bidi="fa-IR"/>
        </w:rPr>
        <w:t xml:space="preserve">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المرأة على وصيفة قال لا وكس و لا شطط</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رفاعة بن موسى</w:t>
      </w:r>
      <w:r>
        <w:rPr>
          <w:rStyle w:val="FootnoteAnchor"/>
          <w:rtl w:val="true"/>
        </w:rPr>
        <w:footnoteReference w:id="37"/>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على الجارية أو الغنم فإن أعطاها الغنم و هي حوامل أو الجارية و هي حبلى فتولد الذي عندها</w:t>
      </w:r>
      <w:r>
        <w:rPr>
          <w:rStyle w:val="FootnoteAnchor"/>
          <w:rtl w:val="true"/>
        </w:rPr>
        <w:footnoteReference w:id="38"/>
      </w:r>
      <w:r>
        <w:rPr>
          <w:rFonts w:ascii="Amiri" w:hAnsi="Amiri" w:eastAsia="Amiri" w:cs="Amiri"/>
          <w:color w:val="111111"/>
          <w:sz w:val="28"/>
          <w:sz w:val="28"/>
          <w:szCs w:val="28"/>
          <w:rtl w:val="true"/>
          <w:lang w:bidi="ar-SA"/>
        </w:rPr>
        <w:t xml:space="preserve">ثم طلقها قبل أن يدخلها فله نصف الغنم و الأولاد و له نصف قيمة الجارية و نصف قيمة ولدها فإن كان دفع إليها الغنم و ليس بحوامل فحملن عندها و توالدن فإنما له </w:t>
      </w:r>
    </w:p>
    <w:p>
      <w:pPr>
        <w:pStyle w:val="BookText"/>
        <w:rPr/>
      </w:pP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الغنم و ليس له من الأولاد شيء و إن كان دفع إليها الجارية و ليس بها حمل و حملت عندها فولدت فإنما له قيمة نصف الجارية و لا شيء له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عبيد بن زرارة</w:t>
      </w:r>
      <w:r>
        <w:rPr>
          <w:rStyle w:val="FootnoteAnchor"/>
          <w:rtl w:val="true"/>
        </w:rPr>
        <w:footnoteReference w:id="40"/>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على رقيق أو غنم و ساقهن إليها فولدت الرقيق و الغنم عندها ثم طلقها قبل أن يدخلها قال فقال إن ساقهن إليها حين ساقهن و هن حوامل فله نصف الأمهات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بصير</w:t>
      </w:r>
      <w:r>
        <w:rPr>
          <w:rStyle w:val="FootnoteAnchor"/>
          <w:rtl w:val="true"/>
        </w:rPr>
        <w:footnoteReference w:id="42"/>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تزوج امرأة على بيت في دار له و له في تلك الدار شركاء قال جائز له و لها و لا شفعة لأحد من الشركاء عليها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أكثر من أن يحصى و فيما ذكرناه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دليل آخر على أن ليس للمهر حد يعقد عليه النكاح إذا جاوزوا ذلك الحد لا ينعقد المهر أو عقد النكاح على شيء دون بلوغ ذلك الحد لا ينعقد النكاح و المهر بخلاف السنة إلا برضا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الرجل إذا تزوج امرأة و لم يفرض لها مهرا فطلقها أو مات عنها قبل أن يدخل بها فلا مهر لها و هي امرأته ترثه و يرثها إن ماتت هي حدثنا به عن الصادق 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للمهر حد معروف لوجب على هذا الذي لم يفرض المهر عند عقدة النكاح توفير المهر المتعارف بين الناس و إن لم يسمه عند النكاح كما يلزم المتمتعين شروط المتعة إذا نسوا ذكر بعضها عند عقد النكاح لأن شروط المتعة معروفة متعارفة بيننا و هذا دليل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الحديث الذي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تزوج رسول الله صلی الله علیه و آله وسلم واحدة من نسائه و لا زوج واحدة من بناته على أكثر من اثنتي عشرة أوقية و نش الأوقية أربعون درهما و النش نصف الأوقية عشرون درهما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ذلك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فهو صحيح و اعتقادنا على هذا</w:t>
      </w:r>
      <w:r>
        <w:rPr>
          <w:rStyle w:val="FootnoteAnchor"/>
          <w:rtl w:val="true"/>
        </w:rPr>
        <w:footnoteReference w:id="46"/>
      </w:r>
      <w:r>
        <w:rPr>
          <w:rFonts w:ascii="IRNazanin" w:hAnsi="IRNazanin" w:eastAsia="IRNazanin"/>
          <w:color w:val="111111"/>
          <w:sz w:val="28"/>
          <w:sz w:val="28"/>
          <w:szCs w:val="28"/>
          <w:rtl w:val="true"/>
          <w:lang w:bidi="fa-IR"/>
        </w:rPr>
        <w:t>و به نأخذ</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الحديث لا ينقض ما ذكرناه لأن رسول الله صلی الله علیه و آله وسلم فعله استحبابا بل تواضعا لله تعالى و رحمة على أمته ليؤجر </w:t>
      </w:r>
    </w:p>
    <w:p>
      <w:pPr>
        <w:pStyle w:val="BookText"/>
        <w:rPr/>
      </w:pPr>
      <w:r>
        <w:rPr>
          <w:rFonts w:ascii="Amiri" w:hAnsi="Amiri" w:eastAsia="Amiri" w:cs="Amiri"/>
          <w:color w:val="111111"/>
          <w:sz w:val="28"/>
          <w:sz w:val="28"/>
          <w:szCs w:val="28"/>
          <w:rtl w:val="true"/>
          <w:lang w:bidi="ar-SA"/>
        </w:rPr>
        <w:t>المقتدي به متبعا له على سبيل الفضل و الثواب لا على سبيل الفرض و الوجوب و لو كان ذلك واجبا لما جاز المهر دون 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ما ترى لو أن رجلا تزوج امرأة على صداق مائة درهم يلزمه أكثر منه و أنه تزوجها على السنة و لو كان ما فعله صلی الله علیه و آله وسلم واجبا لما تزوجها هذا الذي أمهرها دون الخمسمائة على السنة و للزمه الخمسمائة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صح أن فوقه و دونه و بدله جائز كله علمنا أنه هو على سبيل الفضل و الثواب لا على سبيل الفرض 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شرحناه و بيناه من إثبات المهر قليلا كان أو كثيرا و من أي صنف كان بعد رضا المرأة فهو جائز و يسمى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ترض المرأة إلا بمهر كثير معدود بالغ ما بلغ بعد رضا الزوج و إلزامه نفسه فلها ذلك و للزوج أن يفعل في حاله ما شاء فقد أباح الله له ذلك في محكم كتابه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مجالد</w:t>
      </w:r>
      <w:r>
        <w:rPr>
          <w:rStyle w:val="FootnoteAnchor"/>
          <w:rtl w:val="true"/>
        </w:rPr>
        <w:footnoteReference w:id="47"/>
      </w:r>
      <w:r>
        <w:rPr>
          <w:rFonts w:ascii="IRNazanin" w:hAnsi="IRNazanin" w:eastAsia="IRNazanin"/>
          <w:color w:val="111111"/>
          <w:sz w:val="28"/>
          <w:sz w:val="28"/>
          <w:szCs w:val="28"/>
          <w:rtl w:val="true"/>
          <w:lang w:bidi="fa-IR"/>
        </w:rPr>
        <w:t>أن عمر بن الخطاب</w:t>
      </w:r>
      <w:r>
        <w:rPr>
          <w:rStyle w:val="FootnoteAnchor"/>
          <w:rtl w:val="true"/>
        </w:rPr>
        <w:footnoteReference w:id="48"/>
      </w:r>
      <w:r>
        <w:rPr>
          <w:rFonts w:ascii="IRNazanin" w:hAnsi="IRNazanin" w:eastAsia="IRNazanin"/>
          <w:color w:val="111111"/>
          <w:sz w:val="28"/>
          <w:sz w:val="28"/>
          <w:szCs w:val="28"/>
          <w:rtl w:val="true"/>
          <w:lang w:bidi="fa-IR"/>
        </w:rPr>
        <w:t xml:space="preserve">خطب الناس فقال لا تغالوا في صداق النساء فإنه لا يبلغني أحد ساق أكثر مما ساق رسول الله صلی الله علیه و آله وسلم إلا جعلت فضل ذلك في بيت المال فلما </w:t>
      </w:r>
    </w:p>
    <w:p>
      <w:pPr>
        <w:pStyle w:val="BookText"/>
        <w:rPr/>
      </w:pPr>
      <w:r>
        <w:rPr>
          <w:rFonts w:ascii="Amiri" w:hAnsi="Amiri" w:eastAsia="Amiri" w:cs="Amiri"/>
          <w:color w:val="111111"/>
          <w:sz w:val="28"/>
          <w:sz w:val="28"/>
          <w:szCs w:val="28"/>
          <w:rtl w:val="true"/>
          <w:lang w:bidi="ar-SA"/>
        </w:rPr>
        <w:t>نزل عرضت له امرأة من قريش فقالت كتاب الله أحق أن يتبع أو قولك قال بل كتاب الله قالت فإن الله يقول وَ آتَيْتُمْ إِحْداهُنَّ قِنْطاراً فَلا تَأْخُذُوا مِنْهُ شَيْئاً أَ تَأْخُذُونَهُ بُهْتاناً وَ إِثْماً مُبِيناً</w:t>
      </w:r>
      <w:r>
        <w:rPr>
          <w:rStyle w:val="FootnoteAnchor"/>
          <w:rtl w:val="true"/>
        </w:rPr>
        <w:footnoteReference w:id="49"/>
      </w:r>
      <w:r>
        <w:rPr>
          <w:rFonts w:ascii="Amiri" w:hAnsi="Amiri" w:eastAsia="Amiri" w:cs="Amiri"/>
          <w:color w:val="111111"/>
          <w:sz w:val="28"/>
          <w:sz w:val="28"/>
          <w:szCs w:val="28"/>
          <w:rtl w:val="true"/>
          <w:lang w:bidi="ar-SA"/>
        </w:rPr>
        <w:t>فجعل عمر يقول كل أحد أفقه من عمر ألا فليفعل الرجل في ماله ما بدا 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يوافق القرآن و ما يوافق القرآن فهو أولى بالاتباع</w:t>
      </w:r>
    </w:p>
    <w:p>
      <w:pPr>
        <w:pStyle w:val="BookText"/>
        <w:rPr/>
      </w:pPr>
      <w:r>
        <w:rPr>
          <w:rFonts w:ascii="IRNazanin" w:hAnsi="IRNazanin" w:eastAsia="IRNazanin"/>
          <w:color w:val="111111"/>
          <w:sz w:val="28"/>
          <w:sz w:val="28"/>
          <w:szCs w:val="28"/>
          <w:rtl w:val="true"/>
          <w:lang w:bidi="fa-IR"/>
        </w:rPr>
        <w:t xml:space="preserve">لقول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 الكذابة علينا فأي حديث ذكر مخالف لكتاب الله فلا تأخذوا به فليس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به عن أبي عبد الله 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أتاكم عنا من حديث لا يصدقه كتاب الله فهو باطل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أدري كيف نسي المسئول قول الخطباء عند عقدة النكاح في آخر الخطبة أن المهر ما تراضيا عليه و لا يظهرون كميته و مبلغه و هو عادة أكثر </w:t>
      </w:r>
    </w:p>
    <w:p>
      <w:pPr>
        <w:pStyle w:val="BookText"/>
        <w:rPr/>
      </w:pPr>
      <w:r>
        <w:rPr>
          <w:rFonts w:ascii="Amiri" w:hAnsi="Amiri" w:eastAsia="Amiri" w:cs="Amiri"/>
          <w:color w:val="111111"/>
          <w:sz w:val="28"/>
          <w:sz w:val="28"/>
          <w:szCs w:val="28"/>
          <w:rtl w:val="true"/>
          <w:lang w:bidi="ar-SA"/>
        </w:rPr>
        <w:t>الناس و لو كان ما قاله صحيحا لأوضحوا ذلك و بينوه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قرع سمعه ما فعله أبو طالب حين خطب ،لما تزوج النبي صلی الله علیه و آله وسلم بخديجة بنت خويلد بعد أن خطبها إلى أبيها و من الناس من يقول إلى عمها فأخذ بعضادتي الباب و من شاهده من قريش حضور،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جعلنا من زرع إبراهيم و من ذرية إسماعيل و جعل لنا بيتا محجوبا و حَرَماً آمِناً يُجْبى إِلَيْهِ ثَمَراتُ كُلِّ شَيْءٍ و جعلنا الحكام على الناس في بلدنا الذي نحن فيه ثم إن ابن أخي محمد بن عبد الله بن عبد المطلب لا يوزن برجل من قريش إلا رجح و لا يقاس بأحد منهم إلا عظم عنه و إن كان في المال قل فإن المال رزق حائل و ظل زائل و له في خديجة رغبة و لها فيه رغبة و الصداق ما سألتم عاجله و آجله من مالي و له خطر عظيم و شأن رفيع و لسان شافع جسيم فزوجه و دخل بها من الغد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كذلك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و عمومته و مشايخ آل أبي طالب حضروهم يريدون أن يزوجوا مولى لهم قال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المحمود الله و المصطفى محمد و أحق ما بدئ به كتاب الله يقول الله وَ أَنْكِحُوا الْأَيامى مِنْكُمْ وَ الصَّالِحِينَ مِنْ عِبادِكُمْ وَ إِمائِكُمْ إلى قوله واسِعٌ عَلِيمٌ</w:t>
      </w:r>
      <w:r>
        <w:rPr>
          <w:rStyle w:val="FootnoteAnchor"/>
          <w:rtl w:val="true"/>
        </w:rPr>
        <w:footnoteReference w:id="54"/>
      </w:r>
      <w:r>
        <w:rPr>
          <w:rFonts w:ascii="Amiri" w:hAnsi="Amiri" w:eastAsia="Amiri" w:cs="Amiri"/>
          <w:color w:val="111111"/>
          <w:sz w:val="28"/>
          <w:sz w:val="28"/>
          <w:szCs w:val="28"/>
          <w:rtl w:val="true"/>
          <w:lang w:bidi="ar-SA"/>
        </w:rPr>
        <w:t xml:space="preserve">ثم إن فلان بن فلان ذكر فلانة بنت فلان بذل من الصداق ما تراضيا به و قد زوجناه على ما أمر الله به فَإِمْساكٌ بِمَعْرُوفٍ </w:t>
      </w:r>
    </w:p>
    <w:p>
      <w:pPr>
        <w:pStyle w:val="BookText"/>
        <w:rPr/>
      </w:pPr>
      <w:r>
        <w:rPr>
          <w:rFonts w:ascii="Amiri" w:hAnsi="Amiri" w:eastAsia="Amiri" w:cs="Amiri"/>
          <w:color w:val="111111"/>
          <w:sz w:val="28"/>
          <w:sz w:val="28"/>
          <w:szCs w:val="28"/>
          <w:rtl w:val="true"/>
          <w:lang w:bidi="ar-SA"/>
        </w:rPr>
        <w:t>أَوْ تَسْرِيحٌ بِإِحْسانٍ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قوله من وجهين اثنين</w:t>
      </w:r>
    </w:p>
    <w:p>
      <w:pPr>
        <w:pStyle w:val="BookText"/>
        <w:rPr/>
      </w:pPr>
      <w:r>
        <w:rPr>
          <w:rFonts w:ascii="Amiri" w:hAnsi="Amiri" w:eastAsia="Amiri" w:cs="Amiri"/>
          <w:color w:val="111111"/>
          <w:sz w:val="28"/>
          <w:sz w:val="28"/>
          <w:szCs w:val="28"/>
          <w:rtl w:val="true"/>
          <w:lang w:bidi="ar-SA"/>
        </w:rPr>
        <w:t>إما أن يكون زلة منه فهذا يقع من العلماء فقد قال الحكيم لكل جواد عثرة و لكل عالم هفوة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قد اشتبه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فالأولى أن يقف عند الشبهة فيما لا يتحققه، فقدقال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و تركك حديثا لم تروه خير من روايتك حديثا لم تحصه إن على كل حق حقيقة و على كل صواب نورا فما وافق كتاب الله فخذوا به و ما خالف كتاب الله فدعوه حدثنا به عن السكوني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كان هذا من غيره ممن يتزيا بزي أهل العلم لظننا أن غرضه منه فيما أجاب و أفتى به خلاف أهل العلم و الفقه أ و لم يتجه له في الوقت ما يوافق جواب هذا الخبر و نعوذ بالله من زلة اللسان بما لا يسوغ في الشرع و لم يرد به الأثر عن المصطفى صلی الله علیه و آله وسلم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إن مثل هذا أكثره يقع من جهة الاستنكاف و الرجوع فيما </w:t>
      </w:r>
    </w:p>
    <w:p>
      <w:pPr>
        <w:pStyle w:val="BookText"/>
        <w:rPr/>
      </w:pPr>
      <w:r>
        <w:rPr>
          <w:rFonts w:ascii="Amiri" w:hAnsi="Amiri" w:eastAsia="Amiri" w:cs="Amiri"/>
          <w:color w:val="111111"/>
          <w:sz w:val="28"/>
          <w:sz w:val="28"/>
          <w:szCs w:val="28"/>
          <w:rtl w:val="true"/>
          <w:lang w:bidi="ar-SA"/>
        </w:rPr>
        <w:t>يشتبه عليه إلى أهل الفضل و الفقه فإن الله تعالى قال في كتابه وَ فَوْقَ كُلِّ ذِي عِلْمٍ عَلِيمٌ</w:t>
      </w:r>
      <w:r>
        <w:rPr>
          <w:rStyle w:val="FootnoteAnchor"/>
          <w:rtl w:val="true"/>
        </w:rPr>
        <w:footnoteReference w:id="57"/>
      </w:r>
      <w:r>
        <w:rPr>
          <w:rFonts w:ascii="Amiri" w:hAnsi="Amiri" w:eastAsia="Amiri" w:cs="Amiri"/>
          <w:color w:val="111111"/>
          <w:sz w:val="28"/>
          <w:sz w:val="28"/>
          <w:szCs w:val="28"/>
          <w:rtl w:val="true"/>
          <w:lang w:bidi="ar-SA"/>
        </w:rPr>
        <w:t>و حاشاه أن يكون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لنا أن نستنكف بالرجوع إلى من هو أعلم منا فيما اشتبه علينا شريفا أو وضيعا فإنه لا يعدله شيء إلا أربعة أشياء و هذا خامسه فقد</w:t>
      </w:r>
    </w:p>
    <w:p>
      <w:pPr>
        <w:pStyle w:val="BookText"/>
        <w:rPr/>
      </w:pPr>
      <w:r>
        <w:rPr>
          <w:rFonts w:ascii="IRNazanin" w:hAnsi="IRNazanin" w:eastAsia="IRNazanin"/>
          <w:color w:val="111111"/>
          <w:sz w:val="28"/>
          <w:sz w:val="28"/>
          <w:szCs w:val="28"/>
          <w:rtl w:val="true"/>
          <w:lang w:bidi="fa-IR"/>
        </w:rPr>
        <w:t xml:space="preserve">قال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لو رحلتم في طلبهن بالإبل لأنضيتموها و لن تصيبوا بمثلهن لا يخاف العبد إلا ذنبه و لا يرجو العبد إلا ربه و لا يستحي العالم إذا سئل عما لا يعلم أن يقول لا أدري و لا يستنكف الجاهل أن يتعلم و الصبر من الإيمان بمنزلة الرأس من الجسد و لا إيمان لمن لا صبر له حدثنا به عن علي بن موسى الرضا عن أبيه عن علي 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الدنيا بأربعة بعالم مستعمل لعلمه و جواد لا يبخل بمعروفه و فقير لا يبيع آخرته بدنياه و جاهل لا يستنكف أن يتعلم فإذا ضيع العالم علمه و بخل الغني بمعروفه و باع الفقير آخرته بدنياه و استنكف الجاهل أن يتعلم فالويل لهم و الثبور إلى سبعين مرة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الرجل عالما حتى يضيف علم الناس </w:t>
      </w:r>
    </w:p>
    <w:p>
      <w:pPr>
        <w:pStyle w:val="BookText"/>
        <w:rPr/>
      </w:pPr>
      <w:r>
        <w:rPr>
          <w:rFonts w:ascii="IRNazanin" w:hAnsi="IRNazanin" w:eastAsia="IRNazanin"/>
          <w:color w:val="111111"/>
          <w:sz w:val="28"/>
          <w:sz w:val="28"/>
          <w:szCs w:val="28"/>
          <w:rtl w:val="true"/>
          <w:lang w:bidi="fa-IR"/>
        </w:rPr>
        <w:t>إلى علمه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العالم عالما حتى لا يحسد من فوقه و لا يستحقر من دونه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بيناه و شرحناه كفاية لمن ترك الهوى و أنصف من نفسه تم الكتاب بحمد الله و منه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بن عليّ بن عبد اللّه بن محمّد بن الحسن بن الحسين بن عليّ بن الحسين بن عليّ بن أبي طالب عليهم السلام، أبو محمّد الطبريّ، و يعرف المرعش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أجلاء هذه الطائفة و فقهائها، قدم بغداد و لقيه شيوخنا في سنة ست و خمسين و ثلاثمائة، و مات في سنة ثماني و خمسين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إسحاق الدينوري، أبو العباس، روى عن الحسين بن سعيد الأهوازي و غيره، و عنه ابن عقدة أحمد بن محمّد بن سعيد، و الحسن بن حمزة العلوي،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حيا سنة ثلاثمائة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الأهوازي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بن مهران مولى عليّ بن الحسين عليه السلام، الأهوازي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سويد الصيرفي، كوفي، وثّقه كلّ من ترجم له، صحيح الحديث، انتقل الى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في رجاله من أصحاب الإمام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 الواسطي، ممن روى عن الإمام أبي عبد اللّه الصادق و أبي الحسن موسى عليهما السلام، له كتاب يرويه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أصله كوفي،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بن سنسن، أبو الحسن الشيباني، شيخ أصحابنا في زمانه و متقدمهم،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قارئا، فقيها، متكلما، شاعرا، أديبا، قد اجتمعت فيه خلال الفضل و الدين، صادقا فيما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كل شيء تراضى عليه الناس قل أو كثر في متعة أو تزويج غير متعة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سعيد الأهوازي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النجاشيّ في رجاله في ترجمة فضالة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الحسن البغداديّ السورائي البزاز قال لنا الحسين بن يزيد السورائي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تراه الحسين بن سعيد عن فضالة فهو غلط، إنّما هو الحسين عن اخيه الحسن عن فضالة، و كان يقول ان الحسين بن سعيد لم يلق فضالة، و ان أخاه الحسن تفرد بفضالة دون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الجماعة تروي بأسانيد مختلفة الطرق الحسين ابن سعيد عن فضالة و اللّه أعلم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فضالة بن أيوب الأزدي، عربي صميم، سكن الأهواز، روى عن الإمام موسى بن جعفر عليه السلام، و كان ثقة في حديثه، مستقيما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رباح، أبو جعفر الأوقص الطّحان، مولى ثقيف الأعور، وجه أصحابنا بالكوفة، فقيه ورع، صحب أبا جعفر و أبا عبد اللّه عليهما السلام و روى عنهما، و كان من أوثق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عاصم بن حميد،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كم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تراضيا عليه الى ما شاء من الأجل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فضيل بن يسار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الطوسيّ أيضا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ما تراضى عليه الناس قليلا كان أو كثيرا فهو الصداق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بن مالك بن أبي عامر بن عمرو بن الحارث، أبو عبد اللّه الأصبحي، الحميري، المدني، امام دار الهجرة روى عن عامر بن عبد اللّه بن الزبير و نعيم بن عبد اللّه و زيد بن أسلم و غيرهم، و روى عنه الزهري و يحيى بن سعيد الأنصاري و يزيد بن عبد اللّه و جماعة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حجر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 المجلد الثاني،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سفيان بن سعيد بن مسروق الثوري، الكوفيّ، روى عن أبيه و أبي إسحاق الشيباني، و أبي إسحاق السبيعي و عبد الملك بن عمير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جمع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برقان، و خصيف بن عبد الرحمن و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النعمان بن ثابت الكوفيّ، التيمي، مولى بنى تيم اللّه بن ثعلبة، و قيل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النتف في الفتاوي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الجصاص في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الفقهاء في مقدار المهر، فروي عن علي رضي اللّه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مهر أقل من عشرة دراهم و هو قول الشعبي و إبراهيم في آخرين من التابعين، و قول أبي حنيفة و أبي يوسف و محمّد و زفر و الحسن بن زياد، و قال أبو سعيد الخدري و الحسن و سعيد بن المسيب و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النكاح على قليل المهر و كثيره، و تزوج عبد الرحمن بن عوف على وزن نواة من ذهب، فقال بعض الرواة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بريد بن معاوية العجليّ، عربي، روى عن أبي عبد اللّه و أبي جعفر عليهما السلام، و مات في حياة أبي عبد اللّه عليه السلام، وجه من وجوه أصحابنا، و فقيه أيضا، له محلّ عند الأئمة، و عن عليّ بن الحسن بن فضال،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بريد بن معاوية سنة مائة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يعطيها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التهذيب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رزين القلاء، ثقفي، مولى، قاله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عبدة الناسب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يقلّي السويق، روى عن أبي عبد اللّه عليه السلام، و صحب محمّد بن مسلم وفقه عليه، و كان ثقة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قريبة 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نحوه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الصداق و جواز كونه تعليم قرآن و خاتم حديد و غير ذلك من قليل و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و سنن الدار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أصحاب السنن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معلّى بن خنيس، مولى الإمام الصّادق جعفر بن محمّد عليه السلام، و من قبله كان مولى بني أسد، كوفي،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يعلّق عتقها بموت سيدها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مسلم، يعرف بالسكوني الشعيري، روى عنه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ذكره ابن إدريس الحلي في السرائر في فصل ميراث المجوسي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بفتح السين منسوب الى قبيلة من عرب اليمن و هو عامي المذهب بلا خلاف، و شيخنا أبو جعفر موافق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بعاميته العلامة في الخلاصة 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 و البعد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 و 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مسعود عن النبيّ أيضا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إسماعيل بن موسى بن جعفر، عن أبيه، عن جده، عن أمير المؤمنين عليهم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موسى الأسدي النخاس، روى عن أبي عبد اللّه و أبي الحسن عليهما السلام، كان ثقة في حديثه، مسكونا الى روايته، لا يعترض عليه بشيء من الغمز، حسن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مبوب في الفرائض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فتوالدت عندها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المعتمدة خالية منها، و لكن سياق الخبر يدلّ على سقوطها، إضافة الى ذلك ما عليه علماؤنا الأعلام من فتوى فلاحظ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زرارة بن أعين بن سنسن الشيباني، روى عن أبي عبد اللّه عليه السلام، ثقة ثقة، عين، لا لبس فيه و لا شك، له كتاب يرويه جماعة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في رجاله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يحيى بن القاسم الأسدي،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ثقة، وجيه، روى عن أبي جعفر و أبي عبد اللّه عليهما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القاسم، و اسم أبي القاسم إسحاق و روى عن أبي الحسن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بصير سنة خمسين و مائة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حماد بن عيسى، عن أبي عبد اللّه عليه السلام، و الشيخ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الحميري في قرب الإسناد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بوزننا بدل هذا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 بن عمير بن بسطام بن ذي مران بن شرحبيل، أبو عمرو،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 روى عن الشعبي و قيس بن أبي حازم و جبر بن نوف و غيرهم، و عنه روى ابنه إسماعيل، و إسماعيل بن أبي خالد، و جرير بن حازم 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بن نفيل بن عبد العزى بن رياح، روى عن النبيّ صلّى اللّه عليه و آله و عن أبي بكر و ابي بن كعب، و روى عنه أولاده و عثمان و سعد بن أبي وقاص و طلحة بن عبيد اللّه و عبد الرحمن بن عوف و غيرهم، قتل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عدّ الشيخ الأميني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الخبر طرقا و الفاظا عديدة جاوزت حدّ التواتر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الزمخشري في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عبد الرزاق في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بسند آخر و بألفاظ قريبة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لفظ الحديث في المصادر المتوفرة، و هناك أحاديث بالفاظ قريبة منها ما رواه البرقي في المحاسن و العيّاشيّ في التفسير و الكليني في الكافي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عن ابي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خطبة بمنى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محاسنه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بألفاظ قريبة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رواه 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الشيخ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روى الشيخ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بسنده عن السكوني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ذكر الحديث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بن عامر الطائي في صحيفة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الصدوق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أخرجه في نهج البلاغة باب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قريبة 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كذا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بألفاظ قريبة 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هذين الحديثين في الكتب المتوفرة، لكن روى البرقي في محاسنه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علي بن سيف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امير المؤمنين عليه السلام من أعلم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جمع علم الناس الى علمه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هذين الحديثين في الكتب المتوفرة، لكن روى البرقي في محاسنه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علي بن سيف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امير المؤمنين عليه السلام من أعلم 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جمع علم الناس الى علمه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33.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5484</Words>
  <Characters>21187</Characters>
  <CharactersWithSpaces>26495</CharactersWithSpaces>
  <Paragraphs>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2026-08-25T19:51:23Z</dcterms:created>
  <dc:creator>ghaemiyeh.com</dc:creator>
  <dc:description/>
  <dc:language>en-US</dc:language>
  <cp:lastModifiedBy/>
  <dcterms:modified xsi:type="dcterms:W3CDTF">2026-08-25T23:21:51Z</dcterms:modified>
  <cp:revision>1</cp:revision>
  <dc:subject/>
  <dc:title>رساله فی المهر</dc:title>
</cp:coreProperties>
</file>

<file path=docProps/custom.xml><?xml version="1.0" encoding="utf-8"?>
<Properties xmlns="http://schemas.openxmlformats.org/officeDocument/2006/custom-properties" xmlns:vt="http://schemas.openxmlformats.org/officeDocument/2006/docPropsVTypes"/>
</file>