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الحضارة فی ضوء فتاوى سماحة آیة الله العظمى السید علی الحسینی السیستانی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22556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592255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922560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5922562_1280447820">
            <w:r>
              <w:rPr>
                <w:webHidden/>
                <w:rStyle w:val="IndexLink"/>
                <w:rtl w:val="true"/>
              </w:rPr>
              <w:t xml:space="preserve">الفصل الأول </w:t>
            </w:r>
            <w:r>
              <w:rPr>
                <w:rStyle w:val="IndexLink"/>
                <w:rtl w:val="true"/>
              </w:rPr>
              <w:t xml:space="preserve">: </w:t>
            </w:r>
            <w:r>
              <w:rPr>
                <w:rStyle w:val="IndexLink"/>
                <w:rtl w:val="true"/>
              </w:rPr>
              <w:t>الطبُّ الحديث وظواهر الاكتشاف المختبري</w:t>
            </w:r>
            <w:r>
              <w:rPr>
                <w:rStyle w:val="IndexLink"/>
                <w:rtl w:val="true"/>
              </w:rPr>
              <w:tab/>
            </w:r>
            <w:r>
              <w:rPr>
                <w:rStyle w:val="IndexLink"/>
              </w:rPr>
              <w:t>15</w:t>
            </w:r>
          </w:hyperlink>
        </w:p>
        <w:p>
          <w:pPr>
            <w:pStyle w:val="Contents3"/>
            <w:tabs>
              <w:tab w:val="clear" w:pos="8459"/>
              <w:tab w:val="right" w:pos="9026" w:leader="dot"/>
            </w:tabs>
            <w:rPr/>
          </w:pPr>
          <w:hyperlink w:anchor="__RefHeading___Toc15922564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5922566_1280447820">
            <w:r>
              <w:rPr>
                <w:webHidden/>
                <w:rStyle w:val="IndexLink"/>
                <w:rtl w:val="true"/>
              </w:rPr>
              <w:t>(</w:t>
            </w:r>
            <w:r>
              <w:rPr>
                <w:rStyle w:val="IndexLink"/>
              </w:rPr>
              <w:t>1</w:t>
            </w:r>
            <w:r>
              <w:rPr>
                <w:rStyle w:val="IndexLink"/>
                <w:rtl w:val="true"/>
              </w:rPr>
              <w:t xml:space="preserve">) </w:t>
            </w:r>
            <w:r>
              <w:rPr>
                <w:rStyle w:val="IndexLink"/>
                <w:rtl w:val="true"/>
              </w:rPr>
              <w:t>أحكام التشريح في منظور عصري</w:t>
            </w:r>
            <w:r>
              <w:rPr>
                <w:rStyle w:val="IndexLink"/>
                <w:rtl w:val="true"/>
              </w:rPr>
              <w:tab/>
            </w:r>
            <w:r>
              <w:rPr>
                <w:rStyle w:val="IndexLink"/>
              </w:rPr>
              <w:t>17</w:t>
            </w:r>
          </w:hyperlink>
        </w:p>
        <w:p>
          <w:pPr>
            <w:pStyle w:val="Contents3"/>
            <w:tabs>
              <w:tab w:val="clear" w:pos="8459"/>
              <w:tab w:val="right" w:pos="9026" w:leader="dot"/>
            </w:tabs>
            <w:rPr/>
          </w:pPr>
          <w:hyperlink w:anchor="__RefHeading___Toc15922568_1280447820">
            <w:r>
              <w:rPr>
                <w:webHidden/>
                <w:rStyle w:val="IndexLink"/>
                <w:rtl w:val="true"/>
              </w:rPr>
              <w:t>(</w:t>
            </w:r>
            <w:r>
              <w:rPr>
                <w:rStyle w:val="IndexLink"/>
              </w:rPr>
              <w:t>2</w:t>
            </w:r>
            <w:r>
              <w:rPr>
                <w:rStyle w:val="IndexLink"/>
                <w:rtl w:val="true"/>
              </w:rPr>
              <w:t xml:space="preserve">) </w:t>
            </w:r>
            <w:r>
              <w:rPr>
                <w:rStyle w:val="IndexLink"/>
                <w:rtl w:val="true"/>
              </w:rPr>
              <w:t>الترقيع بالأعضاء والواقع الطبِّي</w:t>
            </w:r>
            <w:r>
              <w:rPr>
                <w:rStyle w:val="IndexLink"/>
                <w:rtl w:val="true"/>
              </w:rPr>
              <w:tab/>
            </w:r>
            <w:r>
              <w:rPr>
                <w:rStyle w:val="IndexLink"/>
              </w:rPr>
              <w:t>20</w:t>
            </w:r>
          </w:hyperlink>
        </w:p>
        <w:p>
          <w:pPr>
            <w:pStyle w:val="Contents3"/>
            <w:tabs>
              <w:tab w:val="clear" w:pos="8459"/>
              <w:tab w:val="right" w:pos="9026" w:leader="dot"/>
            </w:tabs>
            <w:rPr/>
          </w:pPr>
          <w:hyperlink w:anchor="__RefHeading___Toc15922570_1280447820">
            <w:r>
              <w:rPr>
                <w:webHidden/>
                <w:rStyle w:val="IndexLink"/>
                <w:rtl w:val="true"/>
              </w:rPr>
              <w:t>(</w:t>
            </w:r>
            <w:r>
              <w:rPr>
                <w:rStyle w:val="IndexLink"/>
              </w:rPr>
              <w:t>3</w:t>
            </w:r>
            <w:r>
              <w:rPr>
                <w:rStyle w:val="IndexLink"/>
                <w:rtl w:val="true"/>
              </w:rPr>
              <w:t xml:space="preserve">) </w:t>
            </w:r>
            <w:r>
              <w:rPr>
                <w:rStyle w:val="IndexLink"/>
                <w:rtl w:val="true"/>
              </w:rPr>
              <w:t>التلقيح الصناعي والتخصيب</w:t>
            </w:r>
            <w:r>
              <w:rPr>
                <w:rStyle w:val="IndexLink"/>
                <w:rtl w:val="true"/>
              </w:rPr>
              <w:tab/>
            </w:r>
            <w:r>
              <w:rPr>
                <w:rStyle w:val="IndexLink"/>
              </w:rPr>
              <w:t>23</w:t>
            </w:r>
          </w:hyperlink>
        </w:p>
        <w:p>
          <w:pPr>
            <w:pStyle w:val="Contents3"/>
            <w:tabs>
              <w:tab w:val="clear" w:pos="8459"/>
              <w:tab w:val="right" w:pos="9026" w:leader="dot"/>
            </w:tabs>
            <w:rPr/>
          </w:pPr>
          <w:hyperlink w:anchor="__RefHeading___Toc15922572_1280447820">
            <w:r>
              <w:rPr>
                <w:webHidden/>
                <w:rStyle w:val="IndexLink"/>
                <w:rtl w:val="true"/>
              </w:rPr>
              <w:t>(</w:t>
            </w:r>
            <w:r>
              <w:rPr>
                <w:rStyle w:val="IndexLink"/>
              </w:rPr>
              <w:t>4</w:t>
            </w:r>
            <w:r>
              <w:rPr>
                <w:rStyle w:val="IndexLink"/>
                <w:rtl w:val="true"/>
              </w:rPr>
              <w:t xml:space="preserve">) </w:t>
            </w:r>
            <w:r>
              <w:rPr>
                <w:rStyle w:val="IndexLink"/>
                <w:rtl w:val="true"/>
              </w:rPr>
              <w:t>أطفال الأنابيب وعملية الاستنساخ</w:t>
            </w:r>
            <w:r>
              <w:rPr>
                <w:rStyle w:val="IndexLink"/>
                <w:rtl w:val="true"/>
              </w:rPr>
              <w:tab/>
            </w:r>
            <w:r>
              <w:rPr>
                <w:rStyle w:val="IndexLink"/>
              </w:rPr>
              <w:t>28</w:t>
            </w:r>
          </w:hyperlink>
        </w:p>
        <w:p>
          <w:pPr>
            <w:pStyle w:val="Contents3"/>
            <w:tabs>
              <w:tab w:val="clear" w:pos="8459"/>
              <w:tab w:val="right" w:pos="9026" w:leader="dot"/>
            </w:tabs>
            <w:rPr/>
          </w:pPr>
          <w:hyperlink w:anchor="__RefHeading___Toc15922574_1280447820">
            <w:r>
              <w:rPr>
                <w:webHidden/>
                <w:rStyle w:val="IndexLink"/>
                <w:rtl w:val="true"/>
              </w:rPr>
              <w:t>(</w:t>
            </w:r>
            <w:r>
              <w:rPr>
                <w:rStyle w:val="IndexLink"/>
              </w:rPr>
              <w:t>5</w:t>
            </w:r>
            <w:r>
              <w:rPr>
                <w:rStyle w:val="IndexLink"/>
                <w:rtl w:val="true"/>
              </w:rPr>
              <w:t xml:space="preserve">) </w:t>
            </w:r>
            <w:r>
              <w:rPr>
                <w:rStyle w:val="IndexLink"/>
                <w:rtl w:val="true"/>
              </w:rPr>
              <w:t>تحديد النسل وموانع الحمل</w:t>
            </w:r>
            <w:r>
              <w:rPr>
                <w:rStyle w:val="IndexLink"/>
                <w:rtl w:val="true"/>
              </w:rPr>
              <w:tab/>
            </w:r>
            <w:r>
              <w:rPr>
                <w:rStyle w:val="IndexLink"/>
              </w:rPr>
              <w:t>31</w:t>
            </w:r>
          </w:hyperlink>
        </w:p>
        <w:p>
          <w:pPr>
            <w:pStyle w:val="Contents3"/>
            <w:tabs>
              <w:tab w:val="clear" w:pos="8459"/>
              <w:tab w:val="right" w:pos="9026" w:leader="dot"/>
            </w:tabs>
            <w:rPr/>
          </w:pPr>
          <w:hyperlink w:anchor="__RefHeading___Toc15922576_1280447820">
            <w:r>
              <w:rPr>
                <w:webHidden/>
                <w:rStyle w:val="IndexLink"/>
                <w:rtl w:val="true"/>
              </w:rPr>
              <w:t>(</w:t>
            </w:r>
            <w:r>
              <w:rPr>
                <w:rStyle w:val="IndexLink"/>
              </w:rPr>
              <w:t>6</w:t>
            </w:r>
            <w:r>
              <w:rPr>
                <w:rStyle w:val="IndexLink"/>
                <w:rtl w:val="true"/>
              </w:rPr>
              <w:t xml:space="preserve">) </w:t>
            </w:r>
            <w:r>
              <w:rPr>
                <w:rStyle w:val="IndexLink"/>
                <w:rtl w:val="true"/>
              </w:rPr>
              <w:t>مرض الإيدز أو فقدان المناعة المكتسبة</w:t>
            </w:r>
            <w:r>
              <w:rPr>
                <w:rStyle w:val="IndexLink"/>
                <w:rtl w:val="true"/>
              </w:rPr>
              <w:tab/>
            </w:r>
            <w:r>
              <w:rPr>
                <w:rStyle w:val="IndexLink"/>
              </w:rPr>
              <w:t>35</w:t>
            </w:r>
          </w:hyperlink>
        </w:p>
        <w:p>
          <w:pPr>
            <w:pStyle w:val="Contents3"/>
            <w:tabs>
              <w:tab w:val="clear" w:pos="8459"/>
              <w:tab w:val="right" w:pos="9026" w:leader="dot"/>
            </w:tabs>
            <w:rPr/>
          </w:pPr>
          <w:hyperlink w:anchor="__RefHeading___Toc15922578_1280447820">
            <w:r>
              <w:rPr>
                <w:webHidden/>
                <w:rStyle w:val="IndexLink"/>
                <w:rtl w:val="true"/>
              </w:rPr>
              <w:t>(</w:t>
            </w:r>
            <w:r>
              <w:rPr>
                <w:rStyle w:val="IndexLink"/>
              </w:rPr>
              <w:t>7</w:t>
            </w:r>
            <w:r>
              <w:rPr>
                <w:rStyle w:val="IndexLink"/>
                <w:rtl w:val="true"/>
              </w:rPr>
              <w:t xml:space="preserve">) </w:t>
            </w:r>
            <w:r>
              <w:rPr>
                <w:rStyle w:val="IndexLink"/>
                <w:rtl w:val="true"/>
              </w:rPr>
              <w:t>أخطار التدخين ونوادر علمائنا الأعلام</w:t>
            </w:r>
            <w:r>
              <w:rPr>
                <w:rStyle w:val="IndexLink"/>
                <w:rtl w:val="true"/>
              </w:rPr>
              <w:tab/>
            </w:r>
            <w:r>
              <w:rPr>
                <w:rStyle w:val="IndexLink"/>
              </w:rPr>
              <w:t>41</w:t>
            </w:r>
          </w:hyperlink>
        </w:p>
        <w:p>
          <w:pPr>
            <w:pStyle w:val="Contents3"/>
            <w:tabs>
              <w:tab w:val="clear" w:pos="8459"/>
              <w:tab w:val="right" w:pos="9026" w:leader="dot"/>
            </w:tabs>
            <w:rPr/>
          </w:pPr>
          <w:hyperlink w:anchor="__RefHeading___Toc15922580_1280447820">
            <w:r>
              <w:rPr>
                <w:webHidden/>
                <w:rStyle w:val="IndexLink"/>
                <w:rtl w:val="true"/>
              </w:rPr>
              <w:t>(</w:t>
            </w:r>
            <w:r>
              <w:rPr>
                <w:rStyle w:val="IndexLink"/>
              </w:rPr>
              <w:t>8</w:t>
            </w:r>
            <w:r>
              <w:rPr>
                <w:rStyle w:val="IndexLink"/>
                <w:rtl w:val="true"/>
              </w:rPr>
              <w:t xml:space="preserve">) </w:t>
            </w:r>
            <w:r>
              <w:rPr>
                <w:rStyle w:val="IndexLink"/>
                <w:rtl w:val="true"/>
              </w:rPr>
              <w:t>وباء المخدّرات وأضرار الخمور</w:t>
            </w:r>
            <w:r>
              <w:rPr>
                <w:rStyle w:val="IndexLink"/>
                <w:rtl w:val="true"/>
              </w:rPr>
              <w:tab/>
            </w:r>
            <w:r>
              <w:rPr>
                <w:rStyle w:val="IndexLink"/>
              </w:rPr>
              <w:t>49</w:t>
            </w:r>
          </w:hyperlink>
        </w:p>
        <w:p>
          <w:pPr>
            <w:pStyle w:val="Contents3"/>
            <w:tabs>
              <w:tab w:val="clear" w:pos="8459"/>
              <w:tab w:val="right" w:pos="9026" w:leader="dot"/>
            </w:tabs>
            <w:rPr/>
          </w:pPr>
          <w:hyperlink w:anchor="__RefHeading___Toc15922582_1280447820">
            <w:r>
              <w:rPr>
                <w:webHidden/>
                <w:rStyle w:val="IndexLink"/>
                <w:rtl w:val="true"/>
              </w:rPr>
              <w:t>(</w:t>
            </w:r>
            <w:r>
              <w:rPr>
                <w:rStyle w:val="IndexLink"/>
              </w:rPr>
              <w:t>9</w:t>
            </w:r>
            <w:r>
              <w:rPr>
                <w:rStyle w:val="IndexLink"/>
                <w:rtl w:val="true"/>
              </w:rPr>
              <w:t xml:space="preserve">) </w:t>
            </w:r>
            <w:r>
              <w:rPr>
                <w:rStyle w:val="IndexLink"/>
                <w:rtl w:val="true"/>
              </w:rPr>
              <w:t>فتاوى فقهية ذات أبعاد طبية</w:t>
            </w:r>
            <w:r>
              <w:rPr>
                <w:rStyle w:val="IndexLink"/>
                <w:rtl w:val="true"/>
              </w:rPr>
              <w:tab/>
            </w:r>
            <w:r>
              <w:rPr>
                <w:rStyle w:val="IndexLink"/>
              </w:rPr>
              <w:t>54</w:t>
            </w:r>
          </w:hyperlink>
        </w:p>
        <w:p>
          <w:pPr>
            <w:pStyle w:val="Contents2"/>
            <w:tabs>
              <w:tab w:val="clear" w:pos="8743"/>
              <w:tab w:val="right" w:pos="9026" w:leader="dot"/>
            </w:tabs>
            <w:rPr/>
          </w:pPr>
          <w:hyperlink w:anchor="__RefHeading___Toc15922584_1280447820">
            <w:r>
              <w:rPr>
                <w:webHidden/>
                <w:rStyle w:val="IndexLink"/>
                <w:rtl w:val="true"/>
              </w:rPr>
              <w:t>الفصل الثاني</w:t>
            </w:r>
            <w:r>
              <w:rPr>
                <w:rStyle w:val="IndexLink"/>
                <w:rtl w:val="true"/>
              </w:rPr>
              <w:t xml:space="preserve">: </w:t>
            </w:r>
            <w:r>
              <w:rPr>
                <w:rStyle w:val="IndexLink"/>
                <w:rtl w:val="true"/>
              </w:rPr>
              <w:t>الاقتصاد الوطني والشؤون المالية</w:t>
            </w:r>
            <w:r>
              <w:rPr>
                <w:rStyle w:val="IndexLink"/>
                <w:rtl w:val="true"/>
              </w:rPr>
              <w:tab/>
            </w:r>
            <w:r>
              <w:rPr>
                <w:rStyle w:val="IndexLink"/>
              </w:rPr>
              <w:t>59</w:t>
            </w:r>
          </w:hyperlink>
        </w:p>
        <w:p>
          <w:pPr>
            <w:pStyle w:val="Contents3"/>
            <w:tabs>
              <w:tab w:val="clear" w:pos="8459"/>
              <w:tab w:val="right" w:pos="9026" w:leader="dot"/>
            </w:tabs>
            <w:rPr/>
          </w:pPr>
          <w:hyperlink w:anchor="__RefHeading___Toc15922586_128044782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5922588_1280447820">
            <w:r>
              <w:rPr>
                <w:webHidden/>
                <w:rStyle w:val="IndexLink"/>
                <w:rtl w:val="true"/>
              </w:rPr>
              <w:t xml:space="preserve">أولاً </w:t>
            </w:r>
            <w:r>
              <w:rPr>
                <w:rStyle w:val="IndexLink"/>
                <w:rtl w:val="true"/>
              </w:rPr>
              <w:t xml:space="preserve">: </w:t>
            </w:r>
            <w:r>
              <w:rPr>
                <w:rStyle w:val="IndexLink"/>
                <w:rtl w:val="true"/>
              </w:rPr>
              <w:t>أعمال المصارف والبنوك</w:t>
            </w:r>
            <w:r>
              <w:rPr>
                <w:rStyle w:val="IndexLink"/>
                <w:rtl w:val="true"/>
              </w:rPr>
              <w:tab/>
            </w:r>
            <w:r>
              <w:rPr>
                <w:rStyle w:val="IndexLink"/>
              </w:rPr>
              <w:t>61</w:t>
            </w:r>
          </w:hyperlink>
        </w:p>
        <w:p>
          <w:pPr>
            <w:pStyle w:val="Contents4"/>
            <w:tabs>
              <w:tab w:val="clear" w:pos="8176"/>
              <w:tab w:val="right" w:pos="9026" w:leader="dot"/>
            </w:tabs>
            <w:rPr/>
          </w:pPr>
          <w:hyperlink w:anchor="__RefHeading___Toc15922590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5922592_1280447820">
            <w:r>
              <w:rPr>
                <w:webHidden/>
                <w:rStyle w:val="IndexLink"/>
                <w:rtl w:val="true"/>
              </w:rPr>
              <w:t>(</w:t>
            </w:r>
            <w:r>
              <w:rPr>
                <w:rStyle w:val="IndexLink"/>
              </w:rPr>
              <w:t>1</w:t>
            </w:r>
            <w:r>
              <w:rPr>
                <w:rStyle w:val="IndexLink"/>
                <w:rtl w:val="true"/>
              </w:rPr>
              <w:t xml:space="preserve">) </w:t>
            </w:r>
            <w:r>
              <w:rPr>
                <w:rStyle w:val="IndexLink"/>
                <w:rtl w:val="true"/>
              </w:rPr>
              <w:t xml:space="preserve">الاقتراض </w:t>
            </w:r>
            <w:r>
              <w:rPr>
                <w:rStyle w:val="IndexLink"/>
                <w:rtl w:val="true"/>
              </w:rPr>
              <w:t xml:space="preserve">- </w:t>
            </w:r>
            <w:r>
              <w:rPr>
                <w:rStyle w:val="IndexLink"/>
                <w:rtl w:val="true"/>
              </w:rPr>
              <w:t>الإيداع</w:t>
            </w:r>
            <w:r>
              <w:rPr>
                <w:rStyle w:val="IndexLink"/>
                <w:rtl w:val="true"/>
              </w:rPr>
              <w:tab/>
            </w:r>
            <w:r>
              <w:rPr>
                <w:rStyle w:val="IndexLink"/>
              </w:rPr>
              <w:t>63</w:t>
            </w:r>
          </w:hyperlink>
        </w:p>
        <w:p>
          <w:pPr>
            <w:pStyle w:val="Contents4"/>
            <w:tabs>
              <w:tab w:val="clear" w:pos="8176"/>
              <w:tab w:val="right" w:pos="9026" w:leader="dot"/>
            </w:tabs>
            <w:rPr/>
          </w:pPr>
          <w:hyperlink w:anchor="__RefHeading___Toc15922594_1280447820">
            <w:r>
              <w:rPr>
                <w:webHidden/>
                <w:rStyle w:val="IndexLink"/>
                <w:rtl w:val="true"/>
              </w:rPr>
              <w:t>(</w:t>
            </w:r>
            <w:r>
              <w:rPr>
                <w:rStyle w:val="IndexLink"/>
              </w:rPr>
              <w:t>2</w:t>
            </w:r>
            <w:r>
              <w:rPr>
                <w:rStyle w:val="IndexLink"/>
                <w:rtl w:val="true"/>
              </w:rPr>
              <w:t xml:space="preserve">) </w:t>
            </w:r>
            <w:r>
              <w:rPr>
                <w:rStyle w:val="IndexLink"/>
                <w:rtl w:val="true"/>
              </w:rPr>
              <w:t>الاعتمادات</w:t>
            </w:r>
            <w:r>
              <w:rPr>
                <w:rStyle w:val="IndexLink"/>
                <w:rtl w:val="true"/>
              </w:rPr>
              <w:tab/>
            </w:r>
            <w:r>
              <w:rPr>
                <w:rStyle w:val="IndexLink"/>
              </w:rPr>
              <w:t>68</w:t>
            </w:r>
          </w:hyperlink>
        </w:p>
        <w:p>
          <w:pPr>
            <w:pStyle w:val="Contents4"/>
            <w:tabs>
              <w:tab w:val="clear" w:pos="8176"/>
              <w:tab w:val="right" w:pos="9026" w:leader="dot"/>
            </w:tabs>
            <w:rPr/>
          </w:pPr>
          <w:hyperlink w:anchor="__RefHeading___Toc15922596_1280447820">
            <w:r>
              <w:rPr>
                <w:webHidden/>
                <w:rStyle w:val="IndexLink"/>
                <w:rtl w:val="true"/>
              </w:rPr>
              <w:t>(</w:t>
            </w:r>
            <w:r>
              <w:rPr>
                <w:rStyle w:val="IndexLink"/>
              </w:rPr>
              <w:t>3</w:t>
            </w:r>
            <w:r>
              <w:rPr>
                <w:rStyle w:val="IndexLink"/>
                <w:rtl w:val="true"/>
              </w:rPr>
              <w:t xml:space="preserve">) </w:t>
            </w:r>
            <w:r>
              <w:rPr>
                <w:rStyle w:val="IndexLink"/>
                <w:rtl w:val="true"/>
              </w:rPr>
              <w:t>خزن البضائع</w:t>
            </w:r>
            <w:r>
              <w:rPr>
                <w:rStyle w:val="IndexLink"/>
                <w:rtl w:val="true"/>
              </w:rPr>
              <w:tab/>
            </w:r>
            <w:r>
              <w:rPr>
                <w:rStyle w:val="IndexLink"/>
              </w:rPr>
              <w:t>72</w:t>
            </w:r>
          </w:hyperlink>
        </w:p>
        <w:p>
          <w:pPr>
            <w:pStyle w:val="Contents4"/>
            <w:tabs>
              <w:tab w:val="clear" w:pos="8176"/>
              <w:tab w:val="right" w:pos="9026" w:leader="dot"/>
            </w:tabs>
            <w:rPr/>
          </w:pPr>
          <w:hyperlink w:anchor="__RefHeading___Toc15922598_1280447820">
            <w:r>
              <w:rPr>
                <w:webHidden/>
                <w:rStyle w:val="IndexLink"/>
                <w:rtl w:val="true"/>
              </w:rPr>
              <w:t>(</w:t>
            </w:r>
            <w:r>
              <w:rPr>
                <w:rStyle w:val="IndexLink"/>
              </w:rPr>
              <w:t>4</w:t>
            </w:r>
            <w:r>
              <w:rPr>
                <w:rStyle w:val="IndexLink"/>
                <w:rtl w:val="true"/>
              </w:rPr>
              <w:t xml:space="preserve">) </w:t>
            </w:r>
            <w:r>
              <w:rPr>
                <w:rStyle w:val="IndexLink"/>
                <w:rtl w:val="true"/>
              </w:rPr>
              <w:t>بيع البضائع عند تخلف أصحابها عن تسلّمها</w:t>
            </w:r>
            <w:r>
              <w:rPr>
                <w:rStyle w:val="IndexLink"/>
                <w:rtl w:val="true"/>
              </w:rPr>
              <w:tab/>
            </w:r>
            <w:r>
              <w:rPr>
                <w:rStyle w:val="IndexLink"/>
              </w:rPr>
              <w:t>73</w:t>
            </w:r>
          </w:hyperlink>
        </w:p>
        <w:p>
          <w:pPr>
            <w:pStyle w:val="Contents4"/>
            <w:tabs>
              <w:tab w:val="clear" w:pos="8176"/>
              <w:tab w:val="right" w:pos="9026" w:leader="dot"/>
            </w:tabs>
            <w:rPr/>
          </w:pPr>
          <w:hyperlink w:anchor="__RefHeading___Toc15922600_1280447820">
            <w:r>
              <w:rPr>
                <w:webHidden/>
                <w:rStyle w:val="IndexLink"/>
                <w:rtl w:val="true"/>
              </w:rPr>
              <w:t>(</w:t>
            </w:r>
            <w:r>
              <w:rPr>
                <w:rStyle w:val="IndexLink"/>
              </w:rPr>
              <w:t>5</w:t>
            </w:r>
            <w:r>
              <w:rPr>
                <w:rStyle w:val="IndexLink"/>
                <w:rtl w:val="true"/>
              </w:rPr>
              <w:t xml:space="preserve">) </w:t>
            </w:r>
            <w:r>
              <w:rPr>
                <w:rStyle w:val="IndexLink"/>
                <w:rtl w:val="true"/>
              </w:rPr>
              <w:t>الكفالة عند البنوك</w:t>
            </w:r>
            <w:r>
              <w:rPr>
                <w:rStyle w:val="IndexLink"/>
                <w:rtl w:val="true"/>
              </w:rPr>
              <w:tab/>
            </w:r>
            <w:r>
              <w:rPr>
                <w:rStyle w:val="IndexLink"/>
              </w:rPr>
              <w:t>74</w:t>
            </w:r>
          </w:hyperlink>
        </w:p>
        <w:p>
          <w:pPr>
            <w:pStyle w:val="Contents4"/>
            <w:tabs>
              <w:tab w:val="clear" w:pos="8176"/>
              <w:tab w:val="right" w:pos="9026" w:leader="dot"/>
            </w:tabs>
            <w:rPr/>
          </w:pPr>
          <w:hyperlink w:anchor="__RefHeading___Toc15922602_1280447820">
            <w:r>
              <w:rPr>
                <w:webHidden/>
                <w:rStyle w:val="IndexLink"/>
                <w:rtl w:val="true"/>
              </w:rPr>
              <w:t>(</w:t>
            </w:r>
            <w:r>
              <w:rPr>
                <w:rStyle w:val="IndexLink"/>
              </w:rPr>
              <w:t>6</w:t>
            </w:r>
            <w:r>
              <w:rPr>
                <w:rStyle w:val="IndexLink"/>
                <w:rtl w:val="true"/>
              </w:rPr>
              <w:t xml:space="preserve">) </w:t>
            </w:r>
            <w:r>
              <w:rPr>
                <w:rStyle w:val="IndexLink"/>
                <w:rtl w:val="true"/>
              </w:rPr>
              <w:t>بيع السهام</w:t>
            </w:r>
            <w:r>
              <w:rPr>
                <w:rStyle w:val="IndexLink"/>
                <w:rtl w:val="true"/>
              </w:rPr>
              <w:tab/>
            </w:r>
            <w:r>
              <w:rPr>
                <w:rStyle w:val="IndexLink"/>
              </w:rPr>
              <w:t>76</w:t>
            </w:r>
          </w:hyperlink>
        </w:p>
        <w:p>
          <w:pPr>
            <w:pStyle w:val="Contents4"/>
            <w:tabs>
              <w:tab w:val="clear" w:pos="8176"/>
              <w:tab w:val="right" w:pos="9026" w:leader="dot"/>
            </w:tabs>
            <w:rPr/>
          </w:pPr>
          <w:hyperlink w:anchor="__RefHeading___Toc15922604_1280447820">
            <w:r>
              <w:rPr>
                <w:webHidden/>
                <w:rStyle w:val="IndexLink"/>
                <w:rtl w:val="true"/>
              </w:rPr>
              <w:t>(</w:t>
            </w:r>
            <w:r>
              <w:rPr>
                <w:rStyle w:val="IndexLink"/>
              </w:rPr>
              <w:t>7</w:t>
            </w:r>
            <w:r>
              <w:rPr>
                <w:rStyle w:val="IndexLink"/>
                <w:rtl w:val="true"/>
              </w:rPr>
              <w:t xml:space="preserve">) </w:t>
            </w:r>
            <w:r>
              <w:rPr>
                <w:rStyle w:val="IndexLink"/>
                <w:rtl w:val="true"/>
              </w:rPr>
              <w:t>بيع السندات</w:t>
            </w:r>
            <w:r>
              <w:rPr>
                <w:rStyle w:val="IndexLink"/>
                <w:rtl w:val="true"/>
              </w:rPr>
              <w:tab/>
            </w:r>
            <w:r>
              <w:rPr>
                <w:rStyle w:val="IndexLink"/>
              </w:rPr>
              <w:t>77</w:t>
            </w:r>
          </w:hyperlink>
        </w:p>
        <w:p>
          <w:pPr>
            <w:pStyle w:val="Contents4"/>
            <w:tabs>
              <w:tab w:val="clear" w:pos="8176"/>
              <w:tab w:val="right" w:pos="9026" w:leader="dot"/>
            </w:tabs>
            <w:rPr/>
          </w:pPr>
          <w:hyperlink w:anchor="__RefHeading___Toc15922606_1280447820">
            <w:r>
              <w:rPr>
                <w:webHidden/>
                <w:rStyle w:val="IndexLink"/>
                <w:rtl w:val="true"/>
              </w:rPr>
              <w:t>(</w:t>
            </w:r>
            <w:r>
              <w:rPr>
                <w:rStyle w:val="IndexLink"/>
              </w:rPr>
              <w:t>8</w:t>
            </w:r>
            <w:r>
              <w:rPr>
                <w:rStyle w:val="IndexLink"/>
                <w:rtl w:val="true"/>
              </w:rPr>
              <w:t xml:space="preserve">) </w:t>
            </w:r>
            <w:r>
              <w:rPr>
                <w:rStyle w:val="IndexLink"/>
                <w:rtl w:val="true"/>
              </w:rPr>
              <w:t>الحوالات الداخلية والخارجية</w:t>
            </w:r>
            <w:r>
              <w:rPr>
                <w:rStyle w:val="IndexLink"/>
                <w:rtl w:val="true"/>
              </w:rPr>
              <w:tab/>
            </w:r>
            <w:r>
              <w:rPr>
                <w:rStyle w:val="IndexLink"/>
              </w:rPr>
              <w:t>79</w:t>
            </w:r>
          </w:hyperlink>
        </w:p>
        <w:p>
          <w:pPr>
            <w:pStyle w:val="Contents4"/>
            <w:tabs>
              <w:tab w:val="clear" w:pos="8176"/>
              <w:tab w:val="right" w:pos="9026" w:leader="dot"/>
            </w:tabs>
            <w:rPr/>
          </w:pPr>
          <w:hyperlink w:anchor="__RefHeading___Toc15922608_1280447820">
            <w:r>
              <w:rPr>
                <w:webHidden/>
                <w:rStyle w:val="IndexLink"/>
                <w:rtl w:val="true"/>
              </w:rPr>
              <w:t>(</w:t>
            </w:r>
            <w:r>
              <w:rPr>
                <w:rStyle w:val="IndexLink"/>
              </w:rPr>
              <w:t>9</w:t>
            </w:r>
            <w:r>
              <w:rPr>
                <w:rStyle w:val="IndexLink"/>
                <w:rtl w:val="true"/>
              </w:rPr>
              <w:t xml:space="preserve">) </w:t>
            </w:r>
            <w:r>
              <w:rPr>
                <w:rStyle w:val="IndexLink"/>
                <w:rtl w:val="true"/>
              </w:rPr>
              <w:t>جوائز البنك</w:t>
            </w:r>
            <w:r>
              <w:rPr>
                <w:rStyle w:val="IndexLink"/>
                <w:rtl w:val="true"/>
              </w:rPr>
              <w:tab/>
            </w:r>
            <w:r>
              <w:rPr>
                <w:rStyle w:val="IndexLink"/>
              </w:rPr>
              <w:t>84</w:t>
            </w:r>
          </w:hyperlink>
        </w:p>
        <w:p>
          <w:pPr>
            <w:pStyle w:val="Contents4"/>
            <w:tabs>
              <w:tab w:val="clear" w:pos="8176"/>
              <w:tab w:val="right" w:pos="9026" w:leader="dot"/>
            </w:tabs>
            <w:rPr/>
          </w:pPr>
          <w:hyperlink w:anchor="__RefHeading___Toc15922610_1280447820">
            <w:r>
              <w:rPr>
                <w:webHidden/>
                <w:rStyle w:val="IndexLink"/>
                <w:rtl w:val="true"/>
              </w:rPr>
              <w:t>(</w:t>
            </w:r>
            <w:r>
              <w:rPr>
                <w:rStyle w:val="IndexLink"/>
              </w:rPr>
              <w:t>10</w:t>
            </w:r>
            <w:r>
              <w:rPr>
                <w:rStyle w:val="IndexLink"/>
                <w:rtl w:val="true"/>
              </w:rPr>
              <w:t xml:space="preserve">) </w:t>
            </w:r>
            <w:r>
              <w:rPr>
                <w:rStyle w:val="IndexLink"/>
                <w:rtl w:val="true"/>
              </w:rPr>
              <w:t>تحصيل الكمبيالات</w:t>
            </w:r>
            <w:r>
              <w:rPr>
                <w:rStyle w:val="IndexLink"/>
                <w:rtl w:val="true"/>
              </w:rPr>
              <w:tab/>
            </w:r>
            <w:r>
              <w:rPr>
                <w:rStyle w:val="IndexLink"/>
              </w:rPr>
              <w:t>85</w:t>
            </w:r>
          </w:hyperlink>
        </w:p>
        <w:p>
          <w:pPr>
            <w:pStyle w:val="Contents4"/>
            <w:tabs>
              <w:tab w:val="clear" w:pos="8176"/>
              <w:tab w:val="right" w:pos="9026" w:leader="dot"/>
            </w:tabs>
            <w:rPr/>
          </w:pPr>
          <w:hyperlink w:anchor="__RefHeading___Toc15922612_1280447820">
            <w:r>
              <w:rPr>
                <w:webHidden/>
                <w:rStyle w:val="IndexLink"/>
                <w:rtl w:val="true"/>
              </w:rPr>
              <w:t>(</w:t>
            </w:r>
            <w:r>
              <w:rPr>
                <w:rStyle w:val="IndexLink"/>
              </w:rPr>
              <w:t>11</w:t>
            </w:r>
            <w:r>
              <w:rPr>
                <w:rStyle w:val="IndexLink"/>
                <w:rtl w:val="true"/>
              </w:rPr>
              <w:t xml:space="preserve">) </w:t>
            </w:r>
            <w:r>
              <w:rPr>
                <w:rStyle w:val="IndexLink"/>
                <w:rtl w:val="true"/>
              </w:rPr>
              <w:t>بيع العملات الأجنبية وشراؤها</w:t>
            </w:r>
            <w:r>
              <w:rPr>
                <w:rStyle w:val="IndexLink"/>
                <w:rtl w:val="true"/>
              </w:rPr>
              <w:tab/>
            </w:r>
            <w:r>
              <w:rPr>
                <w:rStyle w:val="IndexLink"/>
              </w:rPr>
              <w:t>87</w:t>
            </w:r>
          </w:hyperlink>
        </w:p>
        <w:p>
          <w:pPr>
            <w:pStyle w:val="Contents4"/>
            <w:tabs>
              <w:tab w:val="clear" w:pos="8176"/>
              <w:tab w:val="right" w:pos="9026" w:leader="dot"/>
            </w:tabs>
            <w:rPr/>
          </w:pPr>
          <w:hyperlink w:anchor="__RefHeading___Toc15922614_1280447820">
            <w:r>
              <w:rPr>
                <w:webHidden/>
                <w:rStyle w:val="IndexLink"/>
                <w:rtl w:val="true"/>
              </w:rPr>
              <w:t>(</w:t>
            </w:r>
            <w:r>
              <w:rPr>
                <w:rStyle w:val="IndexLink"/>
              </w:rPr>
              <w:t>12</w:t>
            </w:r>
            <w:r>
              <w:rPr>
                <w:rStyle w:val="IndexLink"/>
                <w:rtl w:val="true"/>
              </w:rPr>
              <w:t xml:space="preserve">) </w:t>
            </w:r>
            <w:r>
              <w:rPr>
                <w:rStyle w:val="IndexLink"/>
                <w:rtl w:val="true"/>
              </w:rPr>
              <w:t>السحب على المكشوف</w:t>
            </w:r>
            <w:r>
              <w:rPr>
                <w:rStyle w:val="IndexLink"/>
                <w:rtl w:val="true"/>
              </w:rPr>
              <w:tab/>
            </w:r>
            <w:r>
              <w:rPr>
                <w:rStyle w:val="IndexLink"/>
              </w:rPr>
              <w:t>88</w:t>
            </w:r>
          </w:hyperlink>
        </w:p>
        <w:p>
          <w:pPr>
            <w:pStyle w:val="Contents4"/>
            <w:tabs>
              <w:tab w:val="clear" w:pos="8176"/>
              <w:tab w:val="right" w:pos="9026" w:leader="dot"/>
            </w:tabs>
            <w:rPr/>
          </w:pPr>
          <w:hyperlink w:anchor="__RefHeading___Toc15922616_1280447820">
            <w:r>
              <w:rPr>
                <w:webHidden/>
                <w:rStyle w:val="IndexLink"/>
                <w:rtl w:val="true"/>
              </w:rPr>
              <w:t>(</w:t>
            </w:r>
            <w:r>
              <w:rPr>
                <w:rStyle w:val="IndexLink"/>
              </w:rPr>
              <w:t>13</w:t>
            </w:r>
            <w:r>
              <w:rPr>
                <w:rStyle w:val="IndexLink"/>
                <w:rtl w:val="true"/>
              </w:rPr>
              <w:t xml:space="preserve">) </w:t>
            </w:r>
            <w:r>
              <w:rPr>
                <w:rStyle w:val="IndexLink"/>
                <w:rtl w:val="true"/>
              </w:rPr>
              <w:t>خصم الكمبيالات</w:t>
            </w:r>
            <w:r>
              <w:rPr>
                <w:rStyle w:val="IndexLink"/>
                <w:rtl w:val="true"/>
              </w:rPr>
              <w:tab/>
            </w:r>
            <w:r>
              <w:rPr>
                <w:rStyle w:val="IndexLink"/>
              </w:rPr>
              <w:t>89</w:t>
            </w:r>
          </w:hyperlink>
        </w:p>
        <w:p>
          <w:pPr>
            <w:pStyle w:val="Contents4"/>
            <w:tabs>
              <w:tab w:val="clear" w:pos="8176"/>
              <w:tab w:val="right" w:pos="9026" w:leader="dot"/>
            </w:tabs>
            <w:rPr/>
          </w:pPr>
          <w:hyperlink w:anchor="__RefHeading___Toc15922618_1280447820">
            <w:r>
              <w:rPr>
                <w:webHidden/>
                <w:rStyle w:val="IndexLink"/>
                <w:rtl w:val="true"/>
              </w:rPr>
              <w:t>(</w:t>
            </w:r>
            <w:r>
              <w:rPr>
                <w:rStyle w:val="IndexLink"/>
              </w:rPr>
              <w:t>14</w:t>
            </w:r>
            <w:r>
              <w:rPr>
                <w:rStyle w:val="IndexLink"/>
                <w:rtl w:val="true"/>
              </w:rPr>
              <w:t xml:space="preserve">) </w:t>
            </w:r>
            <w:r>
              <w:rPr>
                <w:rStyle w:val="IndexLink"/>
                <w:rtl w:val="true"/>
              </w:rPr>
              <w:t>العمل لدى البنوك</w:t>
            </w:r>
            <w:r>
              <w:rPr>
                <w:rStyle w:val="IndexLink"/>
                <w:rtl w:val="true"/>
              </w:rPr>
              <w:tab/>
            </w:r>
            <w:r>
              <w:rPr>
                <w:rStyle w:val="IndexLink"/>
              </w:rPr>
              <w:t>94</w:t>
            </w:r>
          </w:hyperlink>
        </w:p>
        <w:p>
          <w:pPr>
            <w:pStyle w:val="Contents4"/>
            <w:tabs>
              <w:tab w:val="clear" w:pos="8176"/>
              <w:tab w:val="right" w:pos="9026" w:leader="dot"/>
            </w:tabs>
            <w:rPr/>
          </w:pPr>
          <w:hyperlink w:anchor="__RefHeading___Toc15922620_1280447820">
            <w:r>
              <w:rPr>
                <w:webHidden/>
                <w:rStyle w:val="IndexLink"/>
                <w:rtl w:val="true"/>
              </w:rPr>
              <w:t>(</w:t>
            </w:r>
            <w:r>
              <w:rPr>
                <w:rStyle w:val="IndexLink"/>
              </w:rPr>
              <w:t>15</w:t>
            </w:r>
            <w:r>
              <w:rPr>
                <w:rStyle w:val="IndexLink"/>
                <w:rtl w:val="true"/>
              </w:rPr>
              <w:t xml:space="preserve">) </w:t>
            </w:r>
            <w:r>
              <w:rPr>
                <w:rStyle w:val="IndexLink"/>
                <w:rtl w:val="true"/>
              </w:rPr>
              <w:t>فتاوى مصرفية</w:t>
            </w:r>
            <w:r>
              <w:rPr>
                <w:rStyle w:val="IndexLink"/>
                <w:rtl w:val="true"/>
              </w:rPr>
              <w:tab/>
            </w:r>
            <w:r>
              <w:rPr>
                <w:rStyle w:val="IndexLink"/>
              </w:rPr>
              <w:t>97</w:t>
            </w:r>
          </w:hyperlink>
        </w:p>
        <w:p>
          <w:pPr>
            <w:pStyle w:val="Contents3"/>
            <w:tabs>
              <w:tab w:val="clear" w:pos="8459"/>
              <w:tab w:val="right" w:pos="9026" w:leader="dot"/>
            </w:tabs>
            <w:rPr/>
          </w:pPr>
          <w:hyperlink w:anchor="__RefHeading___Toc15922622_1280447820">
            <w:r>
              <w:rPr>
                <w:webHidden/>
                <w:rStyle w:val="IndexLink"/>
                <w:rtl w:val="true"/>
              </w:rPr>
              <w:t xml:space="preserve">ثانياً </w:t>
            </w:r>
            <w:r>
              <w:rPr>
                <w:rStyle w:val="IndexLink"/>
                <w:rtl w:val="true"/>
              </w:rPr>
              <w:t xml:space="preserve">: </w:t>
            </w:r>
            <w:r>
              <w:rPr>
                <w:rStyle w:val="IndexLink"/>
                <w:rtl w:val="true"/>
              </w:rPr>
              <w:t>أوراق اليانصيب</w:t>
            </w:r>
            <w:r>
              <w:rPr>
                <w:rStyle w:val="IndexLink"/>
                <w:rtl w:val="true"/>
              </w:rPr>
              <w:tab/>
            </w:r>
            <w:r>
              <w:rPr>
                <w:rStyle w:val="IndexLink"/>
              </w:rPr>
              <w:t>99</w:t>
            </w:r>
          </w:hyperlink>
        </w:p>
        <w:p>
          <w:pPr>
            <w:pStyle w:val="Contents3"/>
            <w:tabs>
              <w:tab w:val="clear" w:pos="8459"/>
              <w:tab w:val="right" w:pos="9026" w:leader="dot"/>
            </w:tabs>
            <w:rPr/>
          </w:pPr>
          <w:hyperlink w:anchor="__RefHeading___Toc15922624_1280447820">
            <w:r>
              <w:rPr>
                <w:webHidden/>
                <w:rStyle w:val="IndexLink"/>
                <w:rtl w:val="true"/>
              </w:rPr>
              <w:t xml:space="preserve">ثالثاً </w:t>
            </w:r>
            <w:r>
              <w:rPr>
                <w:rStyle w:val="IndexLink"/>
                <w:rtl w:val="true"/>
              </w:rPr>
              <w:t xml:space="preserve">: </w:t>
            </w:r>
            <w:r>
              <w:rPr>
                <w:rStyle w:val="IndexLink"/>
                <w:rtl w:val="true"/>
              </w:rPr>
              <w:t>عقد التأمين</w:t>
            </w:r>
            <w:r>
              <w:rPr>
                <w:rStyle w:val="IndexLink"/>
                <w:rtl w:val="true"/>
              </w:rPr>
              <w:tab/>
            </w:r>
            <w:r>
              <w:rPr>
                <w:rStyle w:val="IndexLink"/>
              </w:rPr>
              <w:t>102</w:t>
            </w:r>
          </w:hyperlink>
        </w:p>
        <w:p>
          <w:pPr>
            <w:pStyle w:val="Contents3"/>
            <w:tabs>
              <w:tab w:val="clear" w:pos="8459"/>
              <w:tab w:val="right" w:pos="9026" w:leader="dot"/>
            </w:tabs>
            <w:rPr/>
          </w:pPr>
          <w:hyperlink w:anchor="__RefHeading___Toc15922626_1280447820">
            <w:r>
              <w:rPr>
                <w:webHidden/>
                <w:rStyle w:val="IndexLink"/>
                <w:rtl w:val="true"/>
              </w:rPr>
              <w:t xml:space="preserve">رابعاً </w:t>
            </w:r>
            <w:r>
              <w:rPr>
                <w:rStyle w:val="IndexLink"/>
                <w:rtl w:val="true"/>
              </w:rPr>
              <w:t xml:space="preserve">: </w:t>
            </w:r>
            <w:r>
              <w:rPr>
                <w:rStyle w:val="IndexLink"/>
                <w:rtl w:val="true"/>
              </w:rPr>
              <w:t>إخلاء المحلاّت التجارية</w:t>
            </w:r>
            <w:r>
              <w:rPr>
                <w:rStyle w:val="IndexLink"/>
                <w:rtl w:val="true"/>
              </w:rPr>
              <w:tab/>
            </w:r>
            <w:r>
              <w:rPr>
                <w:rStyle w:val="IndexLink"/>
              </w:rPr>
              <w:t>105</w:t>
            </w:r>
          </w:hyperlink>
        </w:p>
        <w:p>
          <w:pPr>
            <w:pStyle w:val="Contents3"/>
            <w:tabs>
              <w:tab w:val="clear" w:pos="8459"/>
              <w:tab w:val="right" w:pos="9026" w:leader="dot"/>
            </w:tabs>
            <w:rPr/>
          </w:pPr>
          <w:hyperlink w:anchor="__RefHeading___Toc15922628_1280447820">
            <w:r>
              <w:rPr>
                <w:webHidden/>
                <w:rStyle w:val="IndexLink"/>
                <w:rtl w:val="true"/>
              </w:rPr>
              <w:t xml:space="preserve">خامساً </w:t>
            </w:r>
            <w:r>
              <w:rPr>
                <w:rStyle w:val="IndexLink"/>
                <w:rtl w:val="true"/>
              </w:rPr>
              <w:t xml:space="preserve">: </w:t>
            </w:r>
            <w:r>
              <w:rPr>
                <w:rStyle w:val="IndexLink"/>
                <w:rtl w:val="true"/>
              </w:rPr>
              <w:t>فتاوى حضارية بأموال الأوروبيين</w:t>
            </w:r>
            <w:r>
              <w:rPr>
                <w:rStyle w:val="IndexLink"/>
                <w:rtl w:val="true"/>
              </w:rPr>
              <w:tab/>
            </w:r>
            <w:r>
              <w:rPr>
                <w:rStyle w:val="IndexLink"/>
              </w:rPr>
              <w:t>108</w:t>
            </w:r>
          </w:hyperlink>
        </w:p>
        <w:p>
          <w:pPr>
            <w:pStyle w:val="Contents2"/>
            <w:tabs>
              <w:tab w:val="clear" w:pos="8743"/>
              <w:tab w:val="right" w:pos="9026" w:leader="dot"/>
            </w:tabs>
            <w:rPr/>
          </w:pPr>
          <w:hyperlink w:anchor="__RefHeading___Toc15922630_1280447820">
            <w:r>
              <w:rPr>
                <w:webHidden/>
                <w:rStyle w:val="IndexLink"/>
                <w:rtl w:val="true"/>
              </w:rPr>
              <w:t xml:space="preserve">الفصل الثالث </w:t>
            </w:r>
            <w:r>
              <w:rPr>
                <w:rStyle w:val="IndexLink"/>
                <w:rtl w:val="true"/>
              </w:rPr>
              <w:t xml:space="preserve">: </w:t>
            </w:r>
            <w:r>
              <w:rPr>
                <w:rStyle w:val="IndexLink"/>
                <w:rtl w:val="true"/>
              </w:rPr>
              <w:t>تخطيط المدن واستصلاح الأراضي</w:t>
            </w:r>
            <w:r>
              <w:rPr>
                <w:rStyle w:val="IndexLink"/>
                <w:rtl w:val="true"/>
              </w:rPr>
              <w:tab/>
            </w:r>
            <w:r>
              <w:rPr>
                <w:rStyle w:val="IndexLink"/>
              </w:rPr>
              <w:t>111</w:t>
            </w:r>
          </w:hyperlink>
        </w:p>
        <w:p>
          <w:pPr>
            <w:pStyle w:val="Contents3"/>
            <w:tabs>
              <w:tab w:val="clear" w:pos="8459"/>
              <w:tab w:val="right" w:pos="9026" w:leader="dot"/>
            </w:tabs>
            <w:rPr/>
          </w:pPr>
          <w:hyperlink w:anchor="__RefHeading___Toc15922632_12804478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5922634_1280447820">
            <w:r>
              <w:rPr>
                <w:webHidden/>
                <w:rStyle w:val="IndexLink"/>
                <w:rtl w:val="true"/>
              </w:rPr>
              <w:t>(</w:t>
            </w:r>
            <w:r>
              <w:rPr>
                <w:rStyle w:val="IndexLink"/>
              </w:rPr>
              <w:t>1</w:t>
            </w:r>
            <w:r>
              <w:rPr>
                <w:rStyle w:val="IndexLink"/>
                <w:rtl w:val="true"/>
              </w:rPr>
              <w:t xml:space="preserve">) </w:t>
            </w:r>
            <w:r>
              <w:rPr>
                <w:rStyle w:val="IndexLink"/>
                <w:rtl w:val="true"/>
              </w:rPr>
              <w:t>الشوارع العامة في مظاهرها المتعددة</w:t>
            </w:r>
            <w:r>
              <w:rPr>
                <w:rStyle w:val="IndexLink"/>
                <w:rtl w:val="true"/>
              </w:rPr>
              <w:tab/>
            </w:r>
            <w:r>
              <w:rPr>
                <w:rStyle w:val="IndexLink"/>
              </w:rPr>
              <w:t>113</w:t>
            </w:r>
          </w:hyperlink>
        </w:p>
        <w:p>
          <w:pPr>
            <w:pStyle w:val="Contents3"/>
            <w:tabs>
              <w:tab w:val="clear" w:pos="8459"/>
              <w:tab w:val="right" w:pos="9026" w:leader="dot"/>
            </w:tabs>
            <w:rPr/>
          </w:pPr>
          <w:hyperlink w:anchor="__RefHeading___Toc15922636_1280447820">
            <w:r>
              <w:rPr>
                <w:webHidden/>
                <w:rStyle w:val="IndexLink"/>
                <w:rtl w:val="true"/>
              </w:rPr>
              <w:t>(</w:t>
            </w:r>
            <w:r>
              <w:rPr>
                <w:rStyle w:val="IndexLink"/>
              </w:rPr>
              <w:t>2</w:t>
            </w:r>
            <w:r>
              <w:rPr>
                <w:rStyle w:val="IndexLink"/>
                <w:rtl w:val="true"/>
              </w:rPr>
              <w:t xml:space="preserve">) </w:t>
            </w:r>
            <w:r>
              <w:rPr>
                <w:rStyle w:val="IndexLink"/>
                <w:rtl w:val="true"/>
              </w:rPr>
              <w:t>الطرق المشتركة في الإعمار والاستثمار</w:t>
            </w:r>
            <w:r>
              <w:rPr>
                <w:rStyle w:val="IndexLink"/>
                <w:rtl w:val="true"/>
              </w:rPr>
              <w:tab/>
            </w:r>
            <w:r>
              <w:rPr>
                <w:rStyle w:val="IndexLink"/>
              </w:rPr>
              <w:t>116</w:t>
            </w:r>
          </w:hyperlink>
        </w:p>
        <w:p>
          <w:pPr>
            <w:pStyle w:val="Contents3"/>
            <w:tabs>
              <w:tab w:val="clear" w:pos="8459"/>
              <w:tab w:val="right" w:pos="9026" w:leader="dot"/>
            </w:tabs>
            <w:rPr/>
          </w:pPr>
          <w:hyperlink w:anchor="__RefHeading___Toc15922638_1280447820">
            <w:r>
              <w:rPr>
                <w:webHidden/>
                <w:rStyle w:val="IndexLink"/>
                <w:rtl w:val="true"/>
              </w:rPr>
              <w:t>(</w:t>
            </w:r>
            <w:r>
              <w:rPr>
                <w:rStyle w:val="IndexLink"/>
              </w:rPr>
              <w:t>3</w:t>
            </w:r>
            <w:r>
              <w:rPr>
                <w:rStyle w:val="IndexLink"/>
                <w:rtl w:val="true"/>
              </w:rPr>
              <w:t xml:space="preserve">) </w:t>
            </w:r>
            <w:r>
              <w:rPr>
                <w:rStyle w:val="IndexLink"/>
                <w:rtl w:val="true"/>
              </w:rPr>
              <w:t>الشوارع المفتوحة من قبل الدولة</w:t>
            </w:r>
            <w:r>
              <w:rPr>
                <w:rStyle w:val="IndexLink"/>
                <w:rtl w:val="true"/>
              </w:rPr>
              <w:tab/>
            </w:r>
            <w:r>
              <w:rPr>
                <w:rStyle w:val="IndexLink"/>
              </w:rPr>
              <w:t>121</w:t>
            </w:r>
          </w:hyperlink>
        </w:p>
        <w:p>
          <w:pPr>
            <w:pStyle w:val="Contents3"/>
            <w:tabs>
              <w:tab w:val="clear" w:pos="8459"/>
              <w:tab w:val="right" w:pos="9026" w:leader="dot"/>
            </w:tabs>
            <w:rPr/>
          </w:pPr>
          <w:hyperlink w:anchor="__RefHeading___Toc15922640_1280447820">
            <w:r>
              <w:rPr>
                <w:webHidden/>
                <w:rStyle w:val="IndexLink"/>
                <w:rtl w:val="true"/>
              </w:rPr>
              <w:t>(</w:t>
            </w:r>
            <w:r>
              <w:rPr>
                <w:rStyle w:val="IndexLink"/>
              </w:rPr>
              <w:t>4</w:t>
            </w:r>
            <w:r>
              <w:rPr>
                <w:rStyle w:val="IndexLink"/>
                <w:rtl w:val="true"/>
              </w:rPr>
              <w:t xml:space="preserve">) </w:t>
            </w:r>
            <w:r>
              <w:rPr>
                <w:rStyle w:val="IndexLink"/>
                <w:rtl w:val="true"/>
              </w:rPr>
              <w:t>المياه والأنهار والآبار والعيون</w:t>
            </w:r>
            <w:r>
              <w:rPr>
                <w:rStyle w:val="IndexLink"/>
                <w:rtl w:val="true"/>
              </w:rPr>
              <w:tab/>
            </w:r>
            <w:r>
              <w:rPr>
                <w:rStyle w:val="IndexLink"/>
              </w:rPr>
              <w:t>125</w:t>
            </w:r>
          </w:hyperlink>
        </w:p>
        <w:p>
          <w:pPr>
            <w:pStyle w:val="Contents3"/>
            <w:tabs>
              <w:tab w:val="clear" w:pos="8459"/>
              <w:tab w:val="right" w:pos="9026" w:leader="dot"/>
            </w:tabs>
            <w:rPr/>
          </w:pPr>
          <w:hyperlink w:anchor="__RefHeading___Toc15922642_1280447820">
            <w:r>
              <w:rPr>
                <w:webHidden/>
                <w:rStyle w:val="IndexLink"/>
                <w:rtl w:val="true"/>
              </w:rPr>
              <w:t>(</w:t>
            </w:r>
            <w:r>
              <w:rPr>
                <w:rStyle w:val="IndexLink"/>
              </w:rPr>
              <w:t>5</w:t>
            </w:r>
            <w:r>
              <w:rPr>
                <w:rStyle w:val="IndexLink"/>
                <w:rtl w:val="true"/>
              </w:rPr>
              <w:t xml:space="preserve">) </w:t>
            </w:r>
            <w:r>
              <w:rPr>
                <w:rStyle w:val="IndexLink"/>
                <w:rtl w:val="true"/>
              </w:rPr>
              <w:t>إحياء الأرض الموات</w:t>
            </w:r>
            <w:r>
              <w:rPr>
                <w:rStyle w:val="IndexLink"/>
                <w:rtl w:val="true"/>
              </w:rPr>
              <w:tab/>
            </w:r>
            <w:r>
              <w:rPr>
                <w:rStyle w:val="IndexLink"/>
              </w:rPr>
              <w:t>130</w:t>
            </w:r>
          </w:hyperlink>
        </w:p>
        <w:p>
          <w:pPr>
            <w:pStyle w:val="Contents2"/>
            <w:tabs>
              <w:tab w:val="clear" w:pos="8743"/>
              <w:tab w:val="right" w:pos="9026" w:leader="dot"/>
            </w:tabs>
            <w:rPr/>
          </w:pPr>
          <w:hyperlink w:anchor="__RefHeading___Toc15922644_1280447820">
            <w:r>
              <w:rPr>
                <w:webHidden/>
                <w:rStyle w:val="IndexLink"/>
                <w:rtl w:val="true"/>
              </w:rPr>
              <w:t xml:space="preserve">الفصل الرابع </w:t>
            </w:r>
            <w:r>
              <w:rPr>
                <w:rStyle w:val="IndexLink"/>
                <w:rtl w:val="true"/>
              </w:rPr>
              <w:t xml:space="preserve">: </w:t>
            </w:r>
            <w:r>
              <w:rPr>
                <w:rStyle w:val="IndexLink"/>
                <w:rtl w:val="true"/>
              </w:rPr>
              <w:t>السفر إلى أوروبا والخطوط الجوية والقبلة في نيويورك</w:t>
            </w:r>
            <w:r>
              <w:rPr>
                <w:rStyle w:val="IndexLink"/>
                <w:rtl w:val="true"/>
              </w:rPr>
              <w:tab/>
            </w:r>
            <w:r>
              <w:rPr>
                <w:rStyle w:val="IndexLink"/>
              </w:rPr>
              <w:t>135</w:t>
            </w:r>
          </w:hyperlink>
        </w:p>
        <w:p>
          <w:pPr>
            <w:pStyle w:val="Contents3"/>
            <w:tabs>
              <w:tab w:val="clear" w:pos="8459"/>
              <w:tab w:val="right" w:pos="9026" w:leader="dot"/>
            </w:tabs>
            <w:rPr/>
          </w:pPr>
          <w:hyperlink w:anchor="__RefHeading___Toc15922646_128044782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5922648_1280447820">
            <w:r>
              <w:rPr>
                <w:webHidden/>
                <w:rStyle w:val="IndexLink"/>
                <w:rtl w:val="true"/>
              </w:rPr>
              <w:t>(</w:t>
            </w:r>
            <w:r>
              <w:rPr>
                <w:rStyle w:val="IndexLink"/>
              </w:rPr>
              <w:t>1</w:t>
            </w:r>
            <w:r>
              <w:rPr>
                <w:rStyle w:val="IndexLink"/>
                <w:rtl w:val="true"/>
              </w:rPr>
              <w:t xml:space="preserve">) </w:t>
            </w:r>
            <w:r>
              <w:rPr>
                <w:rStyle w:val="IndexLink"/>
                <w:rtl w:val="true"/>
              </w:rPr>
              <w:t>السفر إلى البلدان الأوروبية والأجنبية</w:t>
            </w:r>
            <w:r>
              <w:rPr>
                <w:rStyle w:val="IndexLink"/>
                <w:rtl w:val="true"/>
              </w:rPr>
              <w:tab/>
            </w:r>
            <w:r>
              <w:rPr>
                <w:rStyle w:val="IndexLink"/>
              </w:rPr>
              <w:t>137</w:t>
            </w:r>
          </w:hyperlink>
        </w:p>
        <w:p>
          <w:pPr>
            <w:pStyle w:val="Contents3"/>
            <w:tabs>
              <w:tab w:val="clear" w:pos="8459"/>
              <w:tab w:val="right" w:pos="9026" w:leader="dot"/>
            </w:tabs>
            <w:rPr/>
          </w:pPr>
          <w:hyperlink w:anchor="__RefHeading___Toc15922650_1280447820">
            <w:r>
              <w:rPr>
                <w:webHidden/>
                <w:rStyle w:val="IndexLink"/>
                <w:rtl w:val="true"/>
              </w:rPr>
              <w:t>(</w:t>
            </w:r>
            <w:r>
              <w:rPr>
                <w:rStyle w:val="IndexLink"/>
              </w:rPr>
              <w:t>2</w:t>
            </w:r>
            <w:r>
              <w:rPr>
                <w:rStyle w:val="IndexLink"/>
                <w:rtl w:val="true"/>
              </w:rPr>
              <w:t xml:space="preserve">) </w:t>
            </w:r>
            <w:r>
              <w:rPr>
                <w:rStyle w:val="IndexLink"/>
                <w:rtl w:val="true"/>
              </w:rPr>
              <w:t>حركة السفر الجوية في تأصيل حضاري</w:t>
            </w:r>
            <w:r>
              <w:rPr>
                <w:rStyle w:val="IndexLink"/>
                <w:rtl w:val="true"/>
              </w:rPr>
              <w:tab/>
            </w:r>
            <w:r>
              <w:rPr>
                <w:rStyle w:val="IndexLink"/>
              </w:rPr>
              <w:t>142</w:t>
            </w:r>
          </w:hyperlink>
        </w:p>
        <w:p>
          <w:pPr>
            <w:pStyle w:val="Contents3"/>
            <w:tabs>
              <w:tab w:val="clear" w:pos="8459"/>
              <w:tab w:val="right" w:pos="9026" w:leader="dot"/>
            </w:tabs>
            <w:rPr/>
          </w:pPr>
          <w:hyperlink w:anchor="__RefHeading___Toc15922652_1280447820">
            <w:r>
              <w:rPr>
                <w:webHidden/>
                <w:rStyle w:val="IndexLink"/>
                <w:rtl w:val="true"/>
              </w:rPr>
              <w:t>(</w:t>
            </w:r>
            <w:r>
              <w:rPr>
                <w:rStyle w:val="IndexLink"/>
              </w:rPr>
              <w:t>3</w:t>
            </w:r>
            <w:r>
              <w:rPr>
                <w:rStyle w:val="IndexLink"/>
                <w:rtl w:val="true"/>
              </w:rPr>
              <w:t xml:space="preserve">) </w:t>
            </w:r>
            <w:r>
              <w:rPr>
                <w:rStyle w:val="IndexLink"/>
                <w:rtl w:val="true"/>
              </w:rPr>
              <w:t>القبلة في نيويورك</w:t>
            </w:r>
            <w:r>
              <w:rPr>
                <w:rStyle w:val="IndexLink"/>
                <w:rtl w:val="true"/>
              </w:rPr>
              <w:tab/>
            </w:r>
            <w:r>
              <w:rPr>
                <w:rStyle w:val="IndexLink"/>
              </w:rPr>
              <w:t>148</w:t>
            </w:r>
          </w:hyperlink>
        </w:p>
        <w:p>
          <w:pPr>
            <w:pStyle w:val="Contents3"/>
            <w:tabs>
              <w:tab w:val="clear" w:pos="8459"/>
              <w:tab w:val="right" w:pos="9026" w:leader="dot"/>
            </w:tabs>
            <w:rPr/>
          </w:pPr>
          <w:hyperlink w:anchor="__RefHeading___Toc15922654_1280447820">
            <w:r>
              <w:rPr>
                <w:webHidden/>
                <w:rStyle w:val="IndexLink"/>
                <w:rtl w:val="true"/>
              </w:rPr>
              <w:t>(</w:t>
            </w:r>
            <w:r>
              <w:rPr>
                <w:rStyle w:val="IndexLink"/>
              </w:rPr>
              <w:t>4</w:t>
            </w:r>
            <w:r>
              <w:rPr>
                <w:rStyle w:val="IndexLink"/>
                <w:rtl w:val="true"/>
              </w:rPr>
              <w:t xml:space="preserve">) </w:t>
            </w:r>
            <w:r>
              <w:rPr>
                <w:rStyle w:val="IndexLink"/>
                <w:rtl w:val="true"/>
              </w:rPr>
              <w:t>متفرقات في أحكام السفر</w:t>
            </w:r>
            <w:r>
              <w:rPr>
                <w:rStyle w:val="IndexLink"/>
                <w:rtl w:val="true"/>
              </w:rPr>
              <w:tab/>
            </w:r>
            <w:r>
              <w:rPr>
                <w:rStyle w:val="IndexLink"/>
              </w:rPr>
              <w:t>151</w:t>
            </w:r>
          </w:hyperlink>
        </w:p>
        <w:p>
          <w:pPr>
            <w:pStyle w:val="Contents2"/>
            <w:tabs>
              <w:tab w:val="clear" w:pos="8743"/>
              <w:tab w:val="right" w:pos="9026" w:leader="dot"/>
            </w:tabs>
            <w:rPr/>
          </w:pPr>
          <w:hyperlink w:anchor="__RefHeading___Toc15922656_1280447820">
            <w:r>
              <w:rPr>
                <w:webHidden/>
                <w:rStyle w:val="IndexLink"/>
                <w:rtl w:val="true"/>
              </w:rPr>
              <w:t xml:space="preserve">الفصل الخامس </w:t>
            </w:r>
            <w:r>
              <w:rPr>
                <w:rStyle w:val="IndexLink"/>
                <w:rtl w:val="true"/>
              </w:rPr>
              <w:t xml:space="preserve">: </w:t>
            </w:r>
            <w:r>
              <w:rPr>
                <w:rStyle w:val="IndexLink"/>
                <w:rtl w:val="true"/>
              </w:rPr>
              <w:t>شؤون الأطعمة واللحوم والأغذية والمعلبات</w:t>
            </w:r>
            <w:r>
              <w:rPr>
                <w:rStyle w:val="IndexLink"/>
                <w:rtl w:val="true"/>
              </w:rPr>
              <w:tab/>
            </w:r>
            <w:r>
              <w:rPr>
                <w:rStyle w:val="IndexLink"/>
              </w:rPr>
              <w:t>153</w:t>
            </w:r>
          </w:hyperlink>
        </w:p>
        <w:p>
          <w:pPr>
            <w:pStyle w:val="Contents3"/>
            <w:tabs>
              <w:tab w:val="clear" w:pos="8459"/>
              <w:tab w:val="right" w:pos="9026" w:leader="dot"/>
            </w:tabs>
            <w:rPr/>
          </w:pPr>
          <w:hyperlink w:anchor="__RefHeading___Toc15922658_128044782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5922660_1280447820">
            <w:r>
              <w:rPr>
                <w:webHidden/>
                <w:rStyle w:val="IndexLink"/>
                <w:rtl w:val="true"/>
              </w:rPr>
              <w:t>(</w:t>
            </w:r>
            <w:r>
              <w:rPr>
                <w:rStyle w:val="IndexLink"/>
              </w:rPr>
              <w:t>1</w:t>
            </w:r>
            <w:r>
              <w:rPr>
                <w:rStyle w:val="IndexLink"/>
                <w:rtl w:val="true"/>
              </w:rPr>
              <w:t xml:space="preserve">) </w:t>
            </w:r>
            <w:r>
              <w:rPr>
                <w:rStyle w:val="IndexLink"/>
                <w:rtl w:val="true"/>
              </w:rPr>
              <w:t>التذكية واللحوم وطعام غير المسلمين</w:t>
            </w:r>
            <w:r>
              <w:rPr>
                <w:rStyle w:val="IndexLink"/>
                <w:rtl w:val="true"/>
              </w:rPr>
              <w:tab/>
            </w:r>
            <w:r>
              <w:rPr>
                <w:rStyle w:val="IndexLink"/>
              </w:rPr>
              <w:t>155</w:t>
            </w:r>
          </w:hyperlink>
        </w:p>
        <w:p>
          <w:pPr>
            <w:pStyle w:val="Contents3"/>
            <w:tabs>
              <w:tab w:val="clear" w:pos="8459"/>
              <w:tab w:val="right" w:pos="9026" w:leader="dot"/>
            </w:tabs>
            <w:rPr/>
          </w:pPr>
          <w:hyperlink w:anchor="__RefHeading___Toc15922662_1280447820">
            <w:r>
              <w:rPr>
                <w:webHidden/>
                <w:rStyle w:val="IndexLink"/>
                <w:rtl w:val="true"/>
              </w:rPr>
              <w:t>(</w:t>
            </w:r>
            <w:r>
              <w:rPr>
                <w:rStyle w:val="IndexLink"/>
              </w:rPr>
              <w:t>2</w:t>
            </w:r>
            <w:r>
              <w:rPr>
                <w:rStyle w:val="IndexLink"/>
                <w:rtl w:val="true"/>
              </w:rPr>
              <w:t xml:space="preserve">) </w:t>
            </w:r>
            <w:r>
              <w:rPr>
                <w:rStyle w:val="IndexLink"/>
                <w:rtl w:val="true"/>
              </w:rPr>
              <w:t>ريادة المطاعم المشبوهة والعمل فيها</w:t>
            </w:r>
            <w:r>
              <w:rPr>
                <w:rStyle w:val="IndexLink"/>
                <w:rtl w:val="true"/>
              </w:rPr>
              <w:tab/>
            </w:r>
            <w:r>
              <w:rPr>
                <w:rStyle w:val="IndexLink"/>
              </w:rPr>
              <w:t>161</w:t>
            </w:r>
          </w:hyperlink>
        </w:p>
        <w:p>
          <w:pPr>
            <w:pStyle w:val="Contents3"/>
            <w:tabs>
              <w:tab w:val="clear" w:pos="8459"/>
              <w:tab w:val="right" w:pos="9026" w:leader="dot"/>
            </w:tabs>
            <w:rPr/>
          </w:pPr>
          <w:hyperlink w:anchor="__RefHeading___Toc15922664_1280447820">
            <w:r>
              <w:rPr>
                <w:webHidden/>
                <w:rStyle w:val="IndexLink"/>
                <w:rtl w:val="true"/>
              </w:rPr>
              <w:t>(</w:t>
            </w:r>
            <w:r>
              <w:rPr>
                <w:rStyle w:val="IndexLink"/>
              </w:rPr>
              <w:t>3</w:t>
            </w:r>
            <w:r>
              <w:rPr>
                <w:rStyle w:val="IndexLink"/>
                <w:rtl w:val="true"/>
              </w:rPr>
              <w:t xml:space="preserve">) </w:t>
            </w:r>
            <w:r>
              <w:rPr>
                <w:rStyle w:val="IndexLink"/>
                <w:rtl w:val="true"/>
              </w:rPr>
              <w:t>المعلّبات والمنتجاب في الدول الأوروبية</w:t>
            </w:r>
            <w:r>
              <w:rPr>
                <w:rStyle w:val="IndexLink"/>
                <w:rtl w:val="true"/>
              </w:rPr>
              <w:tab/>
            </w:r>
            <w:r>
              <w:rPr>
                <w:rStyle w:val="IndexLink"/>
              </w:rPr>
              <w:t>165</w:t>
            </w:r>
          </w:hyperlink>
        </w:p>
        <w:p>
          <w:pPr>
            <w:pStyle w:val="Contents3"/>
            <w:tabs>
              <w:tab w:val="clear" w:pos="8459"/>
              <w:tab w:val="right" w:pos="9026" w:leader="dot"/>
            </w:tabs>
            <w:rPr/>
          </w:pPr>
          <w:hyperlink w:anchor="__RefHeading___Toc15922666_1280447820">
            <w:r>
              <w:rPr>
                <w:webHidden/>
                <w:rStyle w:val="IndexLink"/>
                <w:rtl w:val="true"/>
              </w:rPr>
              <w:t>(</w:t>
            </w:r>
            <w:r>
              <w:rPr>
                <w:rStyle w:val="IndexLink"/>
              </w:rPr>
              <w:t>4</w:t>
            </w:r>
            <w:r>
              <w:rPr>
                <w:rStyle w:val="IndexLink"/>
                <w:rtl w:val="true"/>
              </w:rPr>
              <w:t xml:space="preserve">) </w:t>
            </w:r>
            <w:r>
              <w:rPr>
                <w:rStyle w:val="IndexLink"/>
                <w:rtl w:val="true"/>
              </w:rPr>
              <w:t>فتاوى حضارية في الأغذية والأشربة</w:t>
            </w:r>
            <w:r>
              <w:rPr>
                <w:rStyle w:val="IndexLink"/>
                <w:rtl w:val="true"/>
              </w:rPr>
              <w:tab/>
            </w:r>
            <w:r>
              <w:rPr>
                <w:rStyle w:val="IndexLink"/>
              </w:rPr>
              <w:t>171</w:t>
            </w:r>
          </w:hyperlink>
        </w:p>
        <w:p>
          <w:pPr>
            <w:pStyle w:val="Contents2"/>
            <w:tabs>
              <w:tab w:val="clear" w:pos="8743"/>
              <w:tab w:val="right" w:pos="9026" w:leader="dot"/>
            </w:tabs>
            <w:rPr/>
          </w:pPr>
          <w:hyperlink w:anchor="__RefHeading___Toc15922668_1280447820">
            <w:r>
              <w:rPr>
                <w:webHidden/>
                <w:rStyle w:val="IndexLink"/>
                <w:rtl w:val="true"/>
              </w:rPr>
              <w:t xml:space="preserve">الفصل السادس </w:t>
            </w:r>
            <w:r>
              <w:rPr>
                <w:rStyle w:val="IndexLink"/>
                <w:rtl w:val="true"/>
              </w:rPr>
              <w:t xml:space="preserve">: </w:t>
            </w:r>
            <w:r>
              <w:rPr>
                <w:rStyle w:val="IndexLink"/>
                <w:rtl w:val="true"/>
              </w:rPr>
              <w:t>مظاهر الحياة العامة والعلاقات المحرمة</w:t>
            </w:r>
            <w:r>
              <w:rPr>
                <w:rStyle w:val="IndexLink"/>
                <w:rtl w:val="true"/>
              </w:rPr>
              <w:tab/>
            </w:r>
            <w:r>
              <w:rPr>
                <w:rStyle w:val="IndexLink"/>
              </w:rPr>
              <w:t>175</w:t>
            </w:r>
          </w:hyperlink>
        </w:p>
        <w:p>
          <w:pPr>
            <w:pStyle w:val="Contents3"/>
            <w:tabs>
              <w:tab w:val="clear" w:pos="8459"/>
              <w:tab w:val="right" w:pos="9026" w:leader="dot"/>
            </w:tabs>
            <w:rPr/>
          </w:pPr>
          <w:hyperlink w:anchor="__RefHeading___Toc15922670_128044782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5922672_1280447820">
            <w:r>
              <w:rPr>
                <w:webHidden/>
                <w:rStyle w:val="IndexLink"/>
                <w:rtl w:val="true"/>
              </w:rPr>
              <w:t>(</w:t>
            </w:r>
            <w:r>
              <w:rPr>
                <w:rStyle w:val="IndexLink"/>
              </w:rPr>
              <w:t>1</w:t>
            </w:r>
            <w:r>
              <w:rPr>
                <w:rStyle w:val="IndexLink"/>
                <w:rtl w:val="true"/>
              </w:rPr>
              <w:t xml:space="preserve">) </w:t>
            </w:r>
            <w:r>
              <w:rPr>
                <w:rStyle w:val="IndexLink"/>
                <w:rtl w:val="true"/>
              </w:rPr>
              <w:t>علاقة المسلم بسواه من غير المسلمين</w:t>
            </w:r>
            <w:r>
              <w:rPr>
                <w:rStyle w:val="IndexLink"/>
                <w:rtl w:val="true"/>
              </w:rPr>
              <w:tab/>
            </w:r>
            <w:r>
              <w:rPr>
                <w:rStyle w:val="IndexLink"/>
              </w:rPr>
              <w:t>177</w:t>
            </w:r>
          </w:hyperlink>
        </w:p>
        <w:p>
          <w:pPr>
            <w:pStyle w:val="Contents3"/>
            <w:tabs>
              <w:tab w:val="clear" w:pos="8459"/>
              <w:tab w:val="right" w:pos="9026" w:leader="dot"/>
            </w:tabs>
            <w:rPr/>
          </w:pPr>
          <w:hyperlink w:anchor="__RefHeading___Toc15922674_1280447820">
            <w:r>
              <w:rPr>
                <w:webHidden/>
                <w:rStyle w:val="IndexLink"/>
                <w:rtl w:val="true"/>
              </w:rPr>
              <w:t>(</w:t>
            </w:r>
            <w:r>
              <w:rPr>
                <w:rStyle w:val="IndexLink"/>
              </w:rPr>
              <w:t>2</w:t>
            </w:r>
            <w:r>
              <w:rPr>
                <w:rStyle w:val="IndexLink"/>
                <w:rtl w:val="true"/>
              </w:rPr>
              <w:t xml:space="preserve">) </w:t>
            </w:r>
            <w:r>
              <w:rPr>
                <w:rStyle w:val="IndexLink"/>
                <w:rtl w:val="true"/>
              </w:rPr>
              <w:t>الاختلاط المزدوج في المدارس والمسابح والحفلات</w:t>
            </w:r>
            <w:r>
              <w:rPr>
                <w:rStyle w:val="IndexLink"/>
                <w:rtl w:val="true"/>
              </w:rPr>
              <w:tab/>
            </w:r>
            <w:r>
              <w:rPr>
                <w:rStyle w:val="IndexLink"/>
              </w:rPr>
              <w:t>182</w:t>
            </w:r>
          </w:hyperlink>
        </w:p>
        <w:p>
          <w:pPr>
            <w:pStyle w:val="Contents3"/>
            <w:tabs>
              <w:tab w:val="clear" w:pos="8459"/>
              <w:tab w:val="right" w:pos="9026" w:leader="dot"/>
            </w:tabs>
            <w:rPr/>
          </w:pPr>
          <w:hyperlink w:anchor="__RefHeading___Toc15922676_1280447820">
            <w:r>
              <w:rPr>
                <w:webHidden/>
                <w:rStyle w:val="IndexLink"/>
                <w:rtl w:val="true"/>
              </w:rPr>
              <w:t>(</w:t>
            </w:r>
            <w:r>
              <w:rPr>
                <w:rStyle w:val="IndexLink"/>
              </w:rPr>
              <w:t>3</w:t>
            </w:r>
            <w:r>
              <w:rPr>
                <w:rStyle w:val="IndexLink"/>
                <w:rtl w:val="true"/>
              </w:rPr>
              <w:t xml:space="preserve">) </w:t>
            </w:r>
            <w:r>
              <w:rPr>
                <w:rStyle w:val="IndexLink"/>
                <w:rtl w:val="true"/>
              </w:rPr>
              <w:t>الإحساس الجنسي ودرجات التلذذ الشهوي</w:t>
            </w:r>
            <w:r>
              <w:rPr>
                <w:rStyle w:val="IndexLink"/>
                <w:rtl w:val="true"/>
              </w:rPr>
              <w:tab/>
            </w:r>
            <w:r>
              <w:rPr>
                <w:rStyle w:val="IndexLink"/>
              </w:rPr>
              <w:t>188</w:t>
            </w:r>
          </w:hyperlink>
        </w:p>
        <w:p>
          <w:pPr>
            <w:pStyle w:val="Contents3"/>
            <w:tabs>
              <w:tab w:val="clear" w:pos="8459"/>
              <w:tab w:val="right" w:pos="9026" w:leader="dot"/>
            </w:tabs>
            <w:rPr/>
          </w:pPr>
          <w:hyperlink w:anchor="__RefHeading___Toc15922678_1280447820">
            <w:r>
              <w:rPr>
                <w:webHidden/>
                <w:rStyle w:val="IndexLink"/>
                <w:rtl w:val="true"/>
              </w:rPr>
              <w:t>(</w:t>
            </w:r>
            <w:r>
              <w:rPr>
                <w:rStyle w:val="IndexLink"/>
              </w:rPr>
              <w:t>4</w:t>
            </w:r>
            <w:r>
              <w:rPr>
                <w:rStyle w:val="IndexLink"/>
                <w:rtl w:val="true"/>
              </w:rPr>
              <w:t xml:space="preserve">) </w:t>
            </w:r>
            <w:r>
              <w:rPr>
                <w:rStyle w:val="IndexLink"/>
                <w:rtl w:val="true"/>
              </w:rPr>
              <w:t>ما لا يجوز للمرأة وما يجوز</w:t>
            </w:r>
            <w:r>
              <w:rPr>
                <w:rStyle w:val="IndexLink"/>
                <w:rtl w:val="true"/>
              </w:rPr>
              <w:tab/>
            </w:r>
            <w:r>
              <w:rPr>
                <w:rStyle w:val="IndexLink"/>
              </w:rPr>
              <w:t>194</w:t>
            </w:r>
          </w:hyperlink>
        </w:p>
        <w:p>
          <w:pPr>
            <w:pStyle w:val="Contents3"/>
            <w:tabs>
              <w:tab w:val="clear" w:pos="8459"/>
              <w:tab w:val="right" w:pos="9026" w:leader="dot"/>
            </w:tabs>
            <w:rPr/>
          </w:pPr>
          <w:hyperlink w:anchor="__RefHeading___Toc15922680_1280447820">
            <w:r>
              <w:rPr>
                <w:webHidden/>
                <w:rStyle w:val="IndexLink"/>
                <w:rtl w:val="true"/>
              </w:rPr>
              <w:t>(</w:t>
            </w:r>
            <w:r>
              <w:rPr>
                <w:rStyle w:val="IndexLink"/>
              </w:rPr>
              <w:t>5</w:t>
            </w:r>
            <w:r>
              <w:rPr>
                <w:rStyle w:val="IndexLink"/>
                <w:rtl w:val="true"/>
              </w:rPr>
              <w:t xml:space="preserve">) </w:t>
            </w:r>
            <w:r>
              <w:rPr>
                <w:rStyle w:val="IndexLink"/>
                <w:rtl w:val="true"/>
              </w:rPr>
              <w:t>مشاهد المجون والرقص والموسيقى والغناء والقمار</w:t>
            </w:r>
            <w:r>
              <w:rPr>
                <w:rStyle w:val="IndexLink"/>
                <w:rtl w:val="true"/>
              </w:rPr>
              <w:tab/>
            </w:r>
            <w:r>
              <w:rPr>
                <w:rStyle w:val="IndexLink"/>
              </w:rPr>
              <w:t>203</w:t>
            </w:r>
          </w:hyperlink>
        </w:p>
        <w:p>
          <w:pPr>
            <w:pStyle w:val="Contents2"/>
            <w:tabs>
              <w:tab w:val="clear" w:pos="8743"/>
              <w:tab w:val="right" w:pos="9026" w:leader="dot"/>
            </w:tabs>
            <w:rPr/>
          </w:pPr>
          <w:hyperlink w:anchor="__RefHeading___Toc15922682_1280447820">
            <w:r>
              <w:rPr>
                <w:webHidden/>
                <w:rStyle w:val="IndexLink"/>
                <w:rtl w:val="true"/>
              </w:rPr>
              <w:t>فهرس الموضوعات</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24_201638"/>
      <w:bookmarkStart w:id="1" w:name="pg18924_201638"/>
      <w:bookmarkEnd w:id="1"/>
    </w:p>
    <w:p>
      <w:pPr>
        <w:pStyle w:val="Heading2"/>
        <w:numPr>
          <w:ilvl w:val="1"/>
          <w:numId w:val="1"/>
        </w:numPr>
        <w:rPr/>
      </w:pPr>
      <w:bookmarkStart w:id="2" w:name="pg18924_201638"/>
      <w:bookmarkStart w:id="3" w:name="__RefHeading___Toc1592255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حسين علي الصّغير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IRNazanin" w:hAnsi="IRNazanin" w:eastAsia="IRNazanin"/>
          <w:color w:val="111111"/>
          <w:sz w:val="28"/>
          <w:sz w:val="28"/>
          <w:szCs w:val="28"/>
          <w:rtl w:val="true"/>
          <w:lang w:bidi="fa-IR"/>
        </w:rPr>
        <w:t>الکتب بساتین العلماء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2255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فقه الحضارة</w:t>
      </w:r>
    </w:p>
    <w:p>
      <w:pPr>
        <w:pStyle w:val="BookText"/>
        <w:rPr/>
      </w:pPr>
      <w:r>
        <w:rPr>
          <w:rFonts w:ascii="Amiri" w:hAnsi="Amiri" w:eastAsia="Amiri" w:cs="Amiri"/>
          <w:color w:val="111111"/>
          <w:sz w:val="28"/>
          <w:sz w:val="28"/>
          <w:szCs w:val="28"/>
          <w:rtl w:val="true"/>
          <w:lang w:bidi="ar-SA"/>
        </w:rPr>
        <w:t>في ضوء فتاوى</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 xml:space="preserve">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المؤرّخ العربي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24_201644"/>
      <w:bookmarkStart w:id="8" w:name="pg18924_201644"/>
      <w:bookmarkEnd w:id="8"/>
    </w:p>
    <w:p>
      <w:pPr>
        <w:pStyle w:val="BookText"/>
        <w:rPr/>
      </w:pPr>
      <w:bookmarkStart w:id="9" w:name="pg18924_201644"/>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5922560_1280447820"/>
      <w:bookmarkStart w:id="11" w:name="_Toc3"/>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في تراثنا الحضاري صفحات مشرقة تواكب مسيرة التطور الإنساني ، وتنطلق مع التقدم البشري في مجالاته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لفتح باب الاجتهاد عند الإمامية أثره الفاعل في تحرير قضايا الإنسان المعاصر من ربقة الجمود والتقوقع الفكري ، فسيّر بين يديه جملة ما يحتاج إليه من التشريع الذي يلبيّ حاجاته الآنية والمستقبلية ، وقد سجل بذلك سبقاً علميّا متحضراً ، وأحرز نصراً أكاديمياً متطوراً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للنداءات الملحّة التي أطلقها جيل من المثقفين ، وطائفة من الطبقة المتنورة الواعية ، وهي تدعو إلى إغناء المكتبة العربية بجمهرة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وإثراء الحياة المعاصرة بكوكبة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اتسعت له هذه الصفحات من الإثراء والإغناء استجابةً لتلك الدعوات الخيّرة التي انطلقت بداعي الغيرة على الدين باعتباره نظاماً وهدايةً وتشريعاً يتحقق من مجموعها سعادة البشر ، لا سيما والشباب يتعايشون في ظل المتغيرات الحديثة روحاً ومضموناً ، ولابد لهم من شعاع هادٍ يلتمسون في </w:t>
      </w:r>
    </w:p>
    <w:p>
      <w:pPr>
        <w:pStyle w:val="BookText"/>
        <w:rPr/>
      </w:pPr>
      <w:r>
        <w:rPr>
          <w:rFonts w:ascii="Amiri" w:hAnsi="Amiri" w:eastAsia="Amiri" w:cs="Amiri"/>
          <w:color w:val="111111"/>
          <w:sz w:val="28"/>
          <w:sz w:val="28"/>
          <w:szCs w:val="28"/>
          <w:rtl w:val="true"/>
          <w:lang w:bidi="ar-SA"/>
        </w:rPr>
        <w:t>ضوئه معالم الحق والسداد بعيدةً عن المناخ المتطرف ، وقريبة من الروح الموضوعي ، وهم ما بين مغترب عن موطنه ، أو مهاجر عن بلده ، أو متطلع إلى مفاهيم دينه وهو يخوض غمار الحياة في أوروبا والبلدان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ما تقدم يسرني أن أتقدم لشبابنا المتحفز الرائد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فتاوى سماحة المرجع الديني الأعلى السيد علي الحسيني السيستاني دام ظله الوريف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طبيعة هذا الموضوع أن انتظم في ستة فصول 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الحديث وظواهر الاكتشاف المختبري ، وقد اشتمل على تسعة مباحث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التشريح في منظور عصري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الترقيع بالأعضاء والواقع الطبي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التلقيح الصناعي والتخصيب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أطفال الأنابيب وعملية الاستنساخ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النسل وموانع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الإيدز أو فقدان المناعة المكتسبة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أخطار 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ونوادر علمائنا الأعلام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وباء المخدّرات وأضرار الخمور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فقهية ذات أبعاد طبيّة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الفصل الثاني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الوطني والشؤون </w:t>
      </w:r>
    </w:p>
    <w:p>
      <w:pPr>
        <w:pStyle w:val="BookText"/>
        <w:rPr/>
      </w:pPr>
      <w:r>
        <w:rPr>
          <w:rFonts w:ascii="Amiri" w:hAnsi="Amiri" w:eastAsia="Amiri" w:cs="Amiri"/>
          <w:color w:val="111111"/>
          <w:sz w:val="28"/>
          <w:sz w:val="28"/>
          <w:szCs w:val="28"/>
          <w:rtl w:val="true"/>
          <w:lang w:bidi="ar-SA"/>
        </w:rPr>
        <w:t xml:space="preserve">المالية ، وقد اشتمل على خمسة بحوث رئيسية ، كان مبحثها الأول ، وهو بعنوان أعمال المصارف والبنوك ثرياً بخمسة عشر موضوعاً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خزن البضائع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البضائع عند تخلّف أصحابها عن تسلّمها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الكفالة عند البنوك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السندات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الحوالات الداخلية والخارجية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جوائز البنك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العملات الأجنبية وشراؤها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السحب على المكشوف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خصم الكمبيالات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لدى البنوك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مصرفية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اليانصيب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إخلاء المحلاّت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حضارية بأموال الأوروبيين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الفصل الثالث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تخطيط المدن واستصلاح الأراضي ، وقد اشتمل على خمسة مباحث مهمة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الشوارع العامة في مظاهرها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المشتركة ، في الإعمار والاستثمار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الشوارع المفتوحة من قبل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المياه والأنهار والآبار والعيون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الأرض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الفصل الرابع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أوروبا والخطوط الجوية والقبلة في نيويورك ، وقد انتظم في أربعة مباحث متأصلة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إلى البلدان الأوروبية والأجنبية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السفر الجوية في تأصيل حضاري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 في نيويورك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متفرقات في أحكام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الفصل الخامس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شؤون الأطعمة واللحوم والأغذية والمعلّبات في الدول الأجنبية ، وقد انتظم في أربعة بحوث رئيسية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التذكية واللحوم وطعام غير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ريادة المطاعم المشبوهة والعمل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المعلّبات والمنتجات في الدول الأوروبية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حضارية في الإغذية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الفصل السادس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الحياة العامة والعلاقات المحرّمة والجائزة ، وقد اشتمل على خمسة مباحث غنية بمسائل الابتلاء لدى الشباب والنساء في مناخ اوروبا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المسلم بسواه من غير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الاختلاط المزدوج في المدارس والمسابح والحفلات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الإحساس الجنسي ودرجات التلذذ الشهوي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يجوز للمرأة وما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 المجون والرقص والموسيقى والغناء والقمار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مصادر هذا البحث تعتمد مؤلفات السيد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بأجزائه الثلاثة ، والمسائل المنتخبة ، وفقه المغتربين ، والمستحدثات من المسائل الشرعية ، يضاف إليها آراء سماحة السيد التي تلقاها المؤلف ، وجملة من الفتاوى الخطية المصورة في حوزة المؤلف</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أدعي لهذا الكتاب الشمول والكمال ، فالشمولية قد لا تستطاع ، والكمال لله وحده ، ولكنه إسهامٌ في تأصيل الفكر الحضاري للفقه الإمامي ، واستجابة لدعوات الطبقة المثقفة في الاستزادة من المعارف الإنسانية والتشريعية بوقت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أرجو من الله تعالى أن يجعل هذا العمل خالصاً لوجهه الكريم ، وأن يكون لنا ذخراً يوم الدين ، يوم يقوم الناس لرب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محمد حسين علي الصغير </w:t>
      </w:r>
      <w:bookmarkStart w:id="12" w:name="pg18924_201654"/>
    </w:p>
    <w:p>
      <w:pPr>
        <w:pStyle w:val="Heading2"/>
        <w:numPr>
          <w:ilvl w:val="1"/>
          <w:numId w:val="1"/>
        </w:numPr>
        <w:rPr/>
      </w:pPr>
      <w:bookmarkStart w:id="13" w:name="__RefHeading___Toc15922562_1280447820"/>
      <w:bookmarkStart w:id="14" w:name="_Toc4"/>
      <w:bookmarkEnd w:id="12"/>
      <w:bookmarkEnd w:id="13"/>
      <w:r>
        <w:rPr>
          <w:rtl w:val="true"/>
        </w:rPr>
        <w:t xml:space="preserve">الفصل الأول </w:t>
      </w:r>
      <w:r>
        <w:rPr>
          <w:rtl w:val="true"/>
        </w:rPr>
        <w:t xml:space="preserve">: </w:t>
      </w:r>
      <w:r>
        <w:rPr>
          <w:rtl w:val="true"/>
        </w:rPr>
        <w:t>الطبُّ الحديث وظواهر الاكتشاف المختبري</w:t>
      </w:r>
      <w:bookmarkEnd w:id="14"/>
    </w:p>
    <w:p>
      <w:pPr>
        <w:pStyle w:val="Heading3"/>
        <w:numPr>
          <w:ilvl w:val="2"/>
          <w:numId w:val="1"/>
        </w:numPr>
        <w:rPr/>
      </w:pPr>
      <w:bookmarkStart w:id="15" w:name="__RefHeading___Toc15922564_1280447820"/>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الحديث وظواهر الاكتشاف المختبري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التشريح في منظور عصري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الترقيع بالأعضاء والواقع الطبيّ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التلقيح الصناعي والتخصيب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أطفال الأنابيب وعملية الاستنساخ</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النسل وموانع الحمل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الإيدز أو فقدان المناعة المكتسبة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أخطار التدخين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ونوادر علمائنا الأعلام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وباء المخدّرات وأضرار الخمور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فقهية ذات أبعاد طبّية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924_201657"/>
      <w:bookmarkStart w:id="18" w:name="pg18924_201657"/>
      <w:bookmarkEnd w:id="18"/>
    </w:p>
    <w:p>
      <w:pPr>
        <w:pStyle w:val="Heading3"/>
        <w:numPr>
          <w:ilvl w:val="2"/>
          <w:numId w:val="1"/>
        </w:numPr>
        <w:rPr/>
      </w:pPr>
      <w:bookmarkStart w:id="19" w:name="pg18924_201657"/>
      <w:bookmarkStart w:id="20" w:name="__RefHeading___Toc15922566_1280447820"/>
      <w:bookmarkStart w:id="21" w:name="_Toc6"/>
      <w:bookmarkEnd w:id="19"/>
      <w:bookmarkEnd w:id="20"/>
      <w:r>
        <w:rPr>
          <w:rtl w:val="true"/>
        </w:rPr>
        <w:t>(</w:t>
      </w:r>
      <w:r>
        <w:rPr/>
        <w:t>1</w:t>
      </w:r>
      <w:r>
        <w:rPr>
          <w:rtl w:val="true"/>
        </w:rPr>
        <w:t xml:space="preserve">) </w:t>
      </w:r>
      <w:r>
        <w:rPr>
          <w:rtl w:val="true"/>
        </w:rPr>
        <w:t>أحكام التشريح في منظور عصري</w:t>
      </w:r>
      <w:bookmarkEnd w:id="21"/>
    </w:p>
    <w:p>
      <w:pPr>
        <w:pStyle w:val="BookText"/>
        <w:rPr/>
      </w:pPr>
      <w:r>
        <w:rPr>
          <w:rFonts w:ascii="Amiri" w:hAnsi="Amiri" w:eastAsia="Amiri" w:cs="Amiri"/>
          <w:color w:val="111111"/>
          <w:sz w:val="28"/>
          <w:sz w:val="28"/>
          <w:szCs w:val="28"/>
          <w:rtl w:val="true"/>
          <w:lang w:bidi="ar-SA"/>
        </w:rPr>
        <w:t>التشريح عملية يفرضها الواقع الطبي كشفاً عن الجرائم حيناً ، وتعليماً لطلاب الدراسات الطبية حيناً آخر ، وتوصلاً إلى حقائق الأشياء المجهولة بعض الأحايين ، وهو بعد مادة تدريسية على منتسبي كلية الطب اجتيازها بنجاح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المعاصرة التي يعاني منها الطب في البلدان الإسلامية والعربية هي حرمة الإنسان حياً وميتاً عند المسلمين في ضوء تعليمات الدين الحنيف ، فالمسلمون لا يسلمون موتاهم للتشريح لهذا الملحظ من وجه ، وللعاطفة المتأصلة في النفوس من الشفقة والعطف بهذا الميت أو ذاك لقربه منهم ، ولحبهم له ، ولحرمته عندهم ، فكيف يسلمونه استسلاماً ، وهم يستطيعون الحفاظ عليه من كل غائلة وهو واجبهم الشرعي الذي لا محيص عنه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 العدلي ، والغرض العلمي يتطلبان معاً توفير الجثث للتشريح ، وقد اضطرت جملة من المؤسسات الطبية إلى استيراد </w:t>
      </w:r>
    </w:p>
    <w:p>
      <w:pPr>
        <w:pStyle w:val="BookText"/>
        <w:rPr/>
      </w:pPr>
      <w:r>
        <w:rPr>
          <w:rFonts w:ascii="Amiri" w:hAnsi="Amiri" w:eastAsia="Amiri" w:cs="Amiri"/>
          <w:color w:val="111111"/>
          <w:sz w:val="28"/>
          <w:sz w:val="28"/>
          <w:szCs w:val="28"/>
          <w:rtl w:val="true"/>
          <w:lang w:bidi="ar-SA"/>
        </w:rPr>
        <w:t>الجثث من الخارج ، أو شرائها من الذين يبيعون جثثهم في حياتهم ، وذلك لتحقيق الجانب العلمي والتعليمي والعدلي الذي توفره نتائج التشريح في هذه المستويات بخاصة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ضرورة التشريح قائمة بذاتها ، ولا خلاص منها ، ولا مناص عنها ، فقد استفرغ الفقه الحضاري جهده التشريعي ، وأعطى الحلول الكفيلة بتقليص حجم المشكلة إلى أدنى مستوى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تشريح بدن الميّت المسلم ، ويجوز تشريح بدن الميّت الكافر ما عدا محقون الدم ، ومع هذا فيجوز تشريح بدن الميت الكافر محقون الدم في حالتين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إذنه في حال الحياة بذلك ، أو إذن وليّه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الضرورة القصوى يجوز تشريح بدن المسلم في حالة توقف حياة أحد المسلمين عليه ضمن تدرج سيأتي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في هذا الضوء معالجة سماحة السيد السيستاني دام ظله الوارف للموضوع من خلال ما توافر لدينا من فتاواه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تشريح بدن الميّت المسلم ، فلو فعل ذلك لزمته الديّة على تفصيل مذكور في كتاب الديّات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تشريح بدن الميّت الكافر بأقسامه إذا لم يكن محقون الدم في حال حياته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لزوماً الاجتناب عن تشريح بدنه ، نعم إذا كان ذلك جائزاً في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مع إذنه في حال الحياة ، أو إذن وليّه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جوازه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المشكوك كونه محقون الدم في حال الحياة ، فيجوز تشريح بدنه إذا لم تكن أمارة على كونه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توقف حفظ حياة مسلم على التشريح ، ولم يكن تشريح الكافر غير محقون الدم ، أو مشكوك الحال ، جاز تشريح غيره من الكفار ، وإن لم يكن ذلك أيضاً ، جاز تشريح المسلم ، ولا يجوز تشريح المسلم لغرض التعلم ونحوه ما لم تتوقف عليه حياة مسلم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ما تقدم فقد تطلب بعض الدوائر في بعض الحالات تشريح جثة المتوفى لمعرفة سبب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يجوز السماح لها بذلك؟ ومتى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سماحة السيد دام ظله بقوله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لولي الميّت المسلم أن يسمح بتشريح جسد الميّت للغرض المذكور ونحوه ، ويلزمه الممانعة منه مع الإمكان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8924_201662"/>
    </w:p>
    <w:p>
      <w:pPr>
        <w:pStyle w:val="Heading3"/>
        <w:numPr>
          <w:ilvl w:val="2"/>
          <w:numId w:val="1"/>
        </w:numPr>
        <w:rPr/>
      </w:pPr>
      <w:bookmarkStart w:id="23" w:name="__RefHeading___Toc15922568_1280447820"/>
      <w:bookmarkStart w:id="24" w:name="_Toc7"/>
      <w:bookmarkEnd w:id="22"/>
      <w:bookmarkEnd w:id="23"/>
      <w:r>
        <w:rPr>
          <w:rtl w:val="true"/>
        </w:rPr>
        <w:t>(</w:t>
      </w:r>
      <w:r>
        <w:rPr/>
        <w:t>2</w:t>
      </w:r>
      <w:r>
        <w:rPr>
          <w:rtl w:val="true"/>
        </w:rPr>
        <w:t xml:space="preserve">) </w:t>
      </w:r>
      <w:r>
        <w:rPr>
          <w:rtl w:val="true"/>
        </w:rPr>
        <w:t>الترقيع بالأعضاء والواقع الطبِّي</w:t>
      </w:r>
      <w:bookmarkEnd w:id="24"/>
    </w:p>
    <w:p>
      <w:pPr>
        <w:pStyle w:val="BookText"/>
        <w:rPr/>
      </w:pPr>
      <w:r>
        <w:rPr>
          <w:rFonts w:ascii="Amiri" w:hAnsi="Amiri" w:eastAsia="Amiri" w:cs="Amiri"/>
          <w:color w:val="111111"/>
          <w:sz w:val="28"/>
          <w:sz w:val="28"/>
          <w:szCs w:val="28"/>
          <w:rtl w:val="true"/>
          <w:lang w:bidi="ar-SA"/>
        </w:rPr>
        <w:t>الترقيع بالأعضاء بنقلها من إنسان إلى إنسان حياً أو ميتاً ظاهرة متطورة من ظواهر الطب الحديث ، وقد أحرزت الجراحة المتخصصة نصراً هائلاً في زراعة الكلى والقلب والعيون وحتى الأطراف ، وبذلك تمت عمليات الإنقاذ للإنسان من أخطار مرضيّة كانت تعتبر مستحيلة إلى عهد قريب ، وبذلك يكون الطب قد تقدم خطوة جريئة في ميدان الجراحة المبرمجة والنموذجية ، وهذه الظاهرة إحدى أطاريح الطب التي فرضتها الحضارة المعاصرة ضمن واقع طبيّ له أبعاده المستقبلية في قادم الأيام ، وكان لزاماً على الفقه الإمامي وهو يخوض معركته العلمية في ظل التحضر المتنامي أن يطرح على الساحة الطبية ، أحكام هذه الظاهرة الفريدة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لسماحة السيد مد ظله العالي الميدان الرحب في هذا الانبثاق الجديد ، فقد أعطى الحلول المناسبة ضمن الفتاوى الآتية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قطع عضو من أعضاء الميّت المسلم كعينه أو نحوها لإلحاقه ببدن الحي ، فلو قطع فعلى القاطع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الإلحاق بعد القطع أو يجب دفن الجزء المبان؟</w:t>
      </w:r>
    </w:p>
    <w:p>
      <w:pPr>
        <w:pStyle w:val="BookText"/>
        <w:rPr/>
      </w:pPr>
      <w:r>
        <w:rPr>
          <w:rFonts w:ascii="Amiri" w:hAnsi="Amiri" w:eastAsia="Amiri" w:cs="Amiri"/>
          <w:color w:val="111111"/>
          <w:sz w:val="28"/>
          <w:sz w:val="28"/>
          <w:szCs w:val="28"/>
          <w:rtl w:val="true"/>
          <w:lang w:bidi="ar-SA"/>
        </w:rPr>
        <w:t>لا يبعد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يجب قطعه بعد الإلحاق وحلول الحياة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 حفظ حياة المسلم على قطع عضو من أعضاء الميّت المسلم لإلحاقه ببدنه جاز القطع ، ولكن تثبت الدية على القاطع على الأحوط ، وإذا أُلحق ببدن الحي ترتبت عليه بعد الإلحاق أحكام بدن الحيّ ، نظراً لأنه أصبح جزءاً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قطع جزء من الميت المسلم لإلحاقه ببدن الحي إذا كانت عضوه متوقفة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بقطع بعض أعضائه بعد وفاته ليلحق ببدن الحيّ من غير أن تتوقف حياة الحي على ذلك ، ففي نفاذ وصيته وجواز القطع حينئذٍ إشكال ، ولكن الأظهر عدم وجوب الدية على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قطع جزء من إنسان حيّ للترقيع إذا رضي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الشأن تفصيل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قطعه يلحق ضرراً بليغاً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قطع العين واليد والرجل وما شاكلها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وإلا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قطع قطعة جلد أو لحم أو جز من النخاع ونحوه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يجوز أخذ المال إزاء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قطع عضو من بدن ميّت كافر غير محقون الدم ، أو مشكوك الحال لترقيع بدن المسلم ، وتترتب عليه بعده أحكام بدنه ، لأنه صار جزءاً له ، كما أنه لا بأس بالترقيع بعضو من أعضاء بدن نجس العين 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وتترتب عليه أحكام بدنه ، وتجوز الصلاة فيه باعتبار طهارته بصيرورته جزءاً من بدن الحيّ بحلول الحياة فيه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التبرع بالعضو الحي لحي كما في الكلية ، ومن الميت للحي بالوصية ، سواء من المسلم للكافر ، أم العكس جائز؟ وهل تختلف الأعضاء في هذا المسألة عن بعضها البعض؟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تبرع الحي ببعض أجزاء جسمه لإلحاقه ببدن غيره فلا بأس به ، إذا لم يكن يلحق به ضرراً بليغاً ، كما في التبرع بالكلية لمن لديه كلية أخرى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قطع عضو من الميت بوصية منه لإلحاقه ببدن الحي فلا بأس به إذا لم يكن الميت مسلماً أو من بحكمه أو كان مما يتوقف عليه إنقاذ حياة مسلم ، وأما في غير هاتين الصورتين ، ففي نفوذ الوصية وجواز القطع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تثبت الديّة على المباشر للقطع مع الوصية على كل تقدير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8924_201667"/>
    </w:p>
    <w:p>
      <w:pPr>
        <w:pStyle w:val="Heading3"/>
        <w:numPr>
          <w:ilvl w:val="2"/>
          <w:numId w:val="1"/>
        </w:numPr>
        <w:rPr/>
      </w:pPr>
      <w:bookmarkStart w:id="26" w:name="__RefHeading___Toc15922570_1280447820"/>
      <w:bookmarkStart w:id="27" w:name="_Toc8"/>
      <w:bookmarkEnd w:id="25"/>
      <w:bookmarkEnd w:id="26"/>
      <w:r>
        <w:rPr>
          <w:rtl w:val="true"/>
        </w:rPr>
        <w:t>(</w:t>
      </w:r>
      <w:r>
        <w:rPr/>
        <w:t>3</w:t>
      </w:r>
      <w:r>
        <w:rPr>
          <w:rtl w:val="true"/>
        </w:rPr>
        <w:t xml:space="preserve">) </w:t>
      </w:r>
      <w:r>
        <w:rPr>
          <w:rtl w:val="true"/>
        </w:rPr>
        <w:t>التلقيح الصناعي والتخصيب</w:t>
      </w:r>
      <w:bookmarkEnd w:id="27"/>
    </w:p>
    <w:p>
      <w:pPr>
        <w:pStyle w:val="BookText"/>
        <w:rPr/>
      </w:pPr>
      <w:r>
        <w:rPr>
          <w:rFonts w:ascii="Amiri" w:hAnsi="Amiri" w:eastAsia="Amiri" w:cs="Amiri"/>
          <w:color w:val="111111"/>
          <w:sz w:val="28"/>
          <w:sz w:val="28"/>
          <w:szCs w:val="28"/>
          <w:rtl w:val="true"/>
          <w:lang w:bidi="ar-SA"/>
        </w:rPr>
        <w:t>تطورت وسائل الإخصاب والإنجاب في معطيات الطب الحديث وهي تواجه عنت العقم ، وعدم استقرار الرحم ، والإنزال المبكر ، وعدم تلاقح الحويمن ببيضة المرأة ، وردود الفعل المعاكس ، وسوى هذا ، مما حدا بكبار الأطباء في العالم إلى إيجاد البديل المناسب ، فكان البديل هو التلقيح الصناعي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إنجاح مشروع أطفال الأنابيب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أحقق الطب مشروعه ، أم لم يكتب له النجاح فيه ، إلا أن متغيرات الزمن ، وقطع المسافات الهائلة في شتى الأبعاد بحكمة ورويّة ، قد تضافرا لإسماع الصوت الحديث في التلقيح وطلب الأبناء مما جعل الفقه الإسلامي أمام توجهاته الإفتائية وجهاً لوجه ، وقد نهد سماحة السيد دام ظله الوريف لهذا العبء ، ملخصاً أبرز معالمه وفق منظور الشريعة الغراء في البرنامج الآتي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تلقيح المرأة بماء غير الزوج ، سواءً أكانت </w:t>
      </w:r>
    </w:p>
    <w:p>
      <w:pPr>
        <w:pStyle w:val="BookText"/>
        <w:rPr/>
      </w:pPr>
      <w:r>
        <w:rPr>
          <w:rFonts w:ascii="Amiri" w:hAnsi="Amiri" w:eastAsia="Amiri" w:cs="Amiri"/>
          <w:color w:val="111111"/>
          <w:sz w:val="28"/>
          <w:sz w:val="28"/>
          <w:szCs w:val="28"/>
          <w:rtl w:val="true"/>
          <w:lang w:bidi="ar-SA"/>
        </w:rPr>
        <w:t>ذات زوج ام لا ، رضي الزوج والزوجة بذلك أم لا ، أكان التلقيح بواسطة الزوج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 تلقيح المرأة بماء غير الزوج فحملت منه ثم ولدت ، فإن حدث ذلك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أريد تلقيحها بماء زوجها فاشتبه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لحوقه بصاحب الماء ، فإنه نظير الوطء بشبهة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حدث ذلك مع العلم والعمد ، فلا يبعد لحوقه به أيضاً ، وثبوت جميع أحكام النسب بينهما حتى الإرث ، لأن المستثنى من الإرث هو الولد عن زناً ، وهذا ليس كذلك وإن كان العمل الموجب لانعقاد نطفته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لحوقه بأمّهِ فإنه يلحق بها حتى في الصورة الثانية على الأقرب ، ولا فرق بينه وبين سائر أولادها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هذه الصورة ما لو ألقت المرأة نطفة زوجها في فرج امرأة أخرى بالمساحقة أو نحوها ، فحملت المرأة ثم ولدت ، فإنه يلحق بصاحب النطفة وبالتي حملته ، وإن كان العلم المذكور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أخذت بويضة المرأة وماء الرجل ، فلُقّحت به ووضعت في رحم صناعية ، وتمّت تربيتها لغرض التوليد حتى أصبحت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ملحق بصاحب الماء وصاحبة البويضة ، ويثبت بينه وبينهما جميع أحكام النسب حتى الأرث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الولد ممن مات منهما قبل التلقيح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نقلت بويضة المرأة الملقحة بماء الرجل إلى رحم أمرأة أخرى ، فنشأ وتولد ، فهل هو ملحق بالأولى أو الثانية؟ ففيه وجهان ، لا يخلو أولهما عن وجه ، وإن كان الأحتياط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تلقيح الزوجة بنطفة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يجوز أن يكون المباشر غير الزوج إذا كان ذلك موجباً للنظر إلى ما لا يجوز النظر إليه ، أو مسّ ما لا يجوز مسّه ، وحكم الولد منه حكم سائر أولادها بلا فرق أصلاً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لقح بويضة امرأة خارج رحمها بمنيّه ثم وضعت البويضة المخصّبة داخل رحم زوجته فولدت ولداً فهل عملية التلقيح هذه محرمة؟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في حد ذاتها مع الغض عن المقارنات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ترك تلقيح المرأة بماء زوجها يعرض حياتها الزوجية للأنفكاك مما يوقعها في الحرج فهل يجوز لها الكشف أمام الطبيب ليقوم بالعملية؟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الحرج بحيث لم تجر العادة بتحمله فهو رافع للتكليف ويجوز معه ذلك ، وإذا جاز لها ذلك جاز للطبيب أو الطبيبة النظر بقدر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أن تلقح بويضة الزوجة بخليّة حيّة مأخوذة من خصية الزوج ثم تعاد البويضة الملقحة إلى الرحم؟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بالعملية المذكورة ولكن في عدّ صاحب </w:t>
      </w:r>
    </w:p>
    <w:p>
      <w:pPr>
        <w:pStyle w:val="BookText"/>
        <w:rPr/>
      </w:pPr>
      <w:r>
        <w:rPr>
          <w:rFonts w:ascii="Amiri" w:hAnsi="Amiri" w:eastAsia="Amiri" w:cs="Amiri"/>
          <w:color w:val="111111"/>
          <w:sz w:val="28"/>
          <w:sz w:val="28"/>
          <w:szCs w:val="28"/>
          <w:rtl w:val="true"/>
          <w:lang w:bidi="ar-SA"/>
        </w:rPr>
        <w:t>الخلية أباً للمولود شوب إشكال ، وإن كان هو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بتخصيب بيضة المرأة بحُويمِن الرجل في أنابيب الاختبار فهناك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تنقل بويضة المرأة ، ونطفة الرجل ، ويتم تلاقحهما خارج الجسم الإنساني ، وبعد التخصيب ينقلان داخل الجسم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إلى سماحة السيد دام ظله الشريف السؤال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زراعة الأنابيب ، أي أن تنقل بويضة الزوجة ونطفة الرجل ، وتلقح البويضة خارج الجسم ، ثم تنقل إلى داخل الجسم بعد ذلك؟</w:t>
      </w:r>
    </w:p>
    <w:p>
      <w:pPr>
        <w:pStyle w:val="BookText"/>
        <w:rPr/>
      </w:pPr>
      <w:r>
        <w:rPr>
          <w:rFonts w:ascii="Amiri" w:hAnsi="Amiri" w:eastAsia="Amiri" w:cs="Amiri"/>
          <w:color w:val="111111"/>
          <w:sz w:val="28"/>
          <w:sz w:val="28"/>
          <w:szCs w:val="28"/>
          <w:rtl w:val="true"/>
          <w:lang w:bidi="ar-SA"/>
        </w:rPr>
        <w:t xml:space="preserve">وقد أفتى سماحته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في حد ذاته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عملية التلقيح هذه خارج الرحم ، قد ينجم عنها تعدد الأجنّة ، فلو أعيدت إلى رحم المرأة ثانية ، وتحقق التعدد ، فهذا يعني أن حياتها مهددة بالخطر ، وفي مثل هذه الحال لا بدّ من اختيار واحدة منها وطرح البقية حفاضاً على حياة الأم ، إذ لا يجب زرع الأجنة في رحم المرأة ، وإنما هو أمر جائز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توجه إلى سماحة السيد دام ظله الوريف السؤال الآتي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عملية التلقيح داخل الأنابيب قد تتكون عدة أجنّة في آنٍ واحد ، مما يصبح زرعها كلها في رحم الأم مسألة خطرة على حياة الأم ، أو مُمِيتَة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يحق لنا انتقاء جنين واحد وإتلاف الأجنة الباقية؟ وقد أجاب سماحته دام عزه العتيد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البويضة المُخصّبة بالحويمن في أنبوبة الاختبار لا يجب زرعها في الرحم ، ففي مفروض السؤال يجوز انتقال واحدة منها وإتلاف البقية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ولسماحة السيد زاد الله في شرفه آراء أخرى لم نعرض لها في الموضوع ، لأن البحث قائم على أساس النموذج والتمثيل ، لا على نحو الاستقصاء والاستيعاب</w:t>
      </w:r>
      <w:r>
        <w:rPr>
          <w:rFonts w:eastAsia="Amiri" w:cs="Amiri" w:ascii="Amiri" w:hAnsi="Amiri"/>
          <w:color w:val="111111"/>
          <w:sz w:val="28"/>
          <w:szCs w:val="28"/>
          <w:rtl w:val="true"/>
          <w:lang w:bidi="ar-SA"/>
        </w:rPr>
        <w:t xml:space="preserve">. </w:t>
      </w:r>
      <w:bookmarkStart w:id="28" w:name="pg18924_201675"/>
    </w:p>
    <w:p>
      <w:pPr>
        <w:pStyle w:val="Heading3"/>
        <w:numPr>
          <w:ilvl w:val="2"/>
          <w:numId w:val="1"/>
        </w:numPr>
        <w:rPr/>
      </w:pPr>
      <w:bookmarkStart w:id="29" w:name="__RefHeading___Toc15922572_1280447820"/>
      <w:bookmarkStart w:id="30" w:name="_Toc9"/>
      <w:bookmarkEnd w:id="28"/>
      <w:bookmarkEnd w:id="29"/>
      <w:r>
        <w:rPr>
          <w:rtl w:val="true"/>
        </w:rPr>
        <w:t>(</w:t>
      </w:r>
      <w:r>
        <w:rPr/>
        <w:t>4</w:t>
      </w:r>
      <w:r>
        <w:rPr>
          <w:rtl w:val="true"/>
        </w:rPr>
        <w:t xml:space="preserve">) </w:t>
      </w:r>
      <w:r>
        <w:rPr>
          <w:rtl w:val="true"/>
        </w:rPr>
        <w:t>أطفال الأنابيب وعملية الاستنساخ</w:t>
      </w:r>
      <w:bookmarkEnd w:id="30"/>
    </w:p>
    <w:p>
      <w:pPr>
        <w:pStyle w:val="BookText"/>
        <w:rPr/>
      </w:pPr>
      <w:r>
        <w:rPr>
          <w:rFonts w:ascii="Amiri" w:hAnsi="Amiri" w:eastAsia="Amiri" w:cs="Amiri"/>
          <w:color w:val="111111"/>
          <w:sz w:val="28"/>
          <w:sz w:val="28"/>
          <w:szCs w:val="28"/>
          <w:rtl w:val="true"/>
          <w:lang w:bidi="ar-SA"/>
        </w:rPr>
        <w:t>ما اكتفى علماء الطب الحديث بالتلقيح الصناعي ، وبعملية تخصيب بويضة المرأة بحويمن الرجل في أنابيب الاختبار ، حتى توصلوا إلى ابتكارين جديدين مذهلين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الأنابيب بفرز بويضة المرأة خارج الرحم ، وفرز حويمن الرجل ، وتخصيبهما بأنبوب خاص بهما ، ومن ثم تجري عمليات التوجيه والسيطرة والمراقبة في أنبوب أكبر حتى تتكامل الخلقة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تمكن صديقنا الخبير الاستراتيجي بأطفال الأنابيب الأستاذ الدكتور منذر البرزنجي ، وهو أستاذ في كلية الطب بجامعة الكوفة من استيعاب خطوات هذا الإنجاز فتوصل بنجاح باهر إلى ولادة أول طفل للأنابيب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 وبقي هذا الطفل لمدة تقارب السنتين ثم توفى ، هذا ما حدثني به البرزنجي شخصياً ، ولقد نشرت الصحف والدوريات الطبية أنباء هذا الحدث على يد طبيب عراقي ، وفي جامعة الكوفة ، وهذا مما يضاف إلى أمجاد </w:t>
      </w:r>
    </w:p>
    <w:p>
      <w:pPr>
        <w:pStyle w:val="BookText"/>
        <w:rPr/>
      </w:pPr>
      <w:r>
        <w:rPr>
          <w:rFonts w:ascii="IRNazanin" w:hAnsi="IRNazanin" w:eastAsia="IRNazanin"/>
          <w:color w:val="111111"/>
          <w:sz w:val="28"/>
          <w:sz w:val="28"/>
          <w:szCs w:val="28"/>
          <w:rtl w:val="true"/>
          <w:lang w:bidi="fa-IR"/>
        </w:rPr>
        <w:t xml:space="preserve">الكوفة عاصمة أمير 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وعملية أطفال الأنابيب خطوة طبية عملاقة ، فإن سلمت من المقدمات المحرمة فالذي أعرفه من رأي سماحة السيد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 في حد ذاته ؛ وفيه تفصيل خاص به بالنسبة للإرث والنسب ليس هذا موضع عرضه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الاستنساخ والتي أسميها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جائزة شرعاً ، ولا مانع على الإطلاق من إجرائها عند سماحة السيد مدّ ظله ، ولدى مذاكرتنا مع سماحته في الموضوع في رمضان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سماحته بعض التحفظات المهمة على نتائج الاستنسال مستقبلياً مما هو مجهول الحال عند علماء الأطباء ، فربما تصاب البشرية بكوارث إنسانية غير متوقعة نتيجة لوجود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على المستوى التطبيقي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المشروع برمته ما زال قيد البحث الجاد بالنسبة للإنسان ، وإن حقق نجاحاً باهراً بالنسبة للحيوان ، فقد استنسلت النعجة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أحد العلماء الاستراليّين مما يعني إمكانية إجراء هذا الاستنسال على الإنسان ، والذي يتخوفه سماحة السيد أن هذا الإنسان قد يكون خارق القدرات بحيث يحدث شرخاً في حياة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مستقبلياً إذا 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متخلف الإدراك فتُمنى الجماعة البشرية بعاهات جديدة والمجتمع في غنى عن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هذا أو ذاك ، ولكن العُقد النفسية قد تصاحب وليد الاستنساخ بشكل لا معقول مما يؤثر على مسيرته في الحياة تصرفاً وميولاً ونزعات ، وإذا حدث مثل هذا فإننا نكون قد عمدنا إلى خلق جيل جديد يميل بطبيعة تكوينه إلى التدهور والانحلال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ملخص ما تحدث به سماحة السيد دام ظله الشريف في التأريخ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الأحكام النسبية وقضايا الإرث واستلحاق الجينات فلسماحته فيها آراء قيّمة دقيقة جامعة مانعة ، فلا يدخل فيها ما هو خارج عنها ، ولا يخرج منها ما هو داخل فيها ، وقد تحدثتُ عنها مفصلاً في الندوة المتخصصة التي أقامها آل محي الدين بديوانهم العامر في النجف الأشرف بتأريخ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الاستنساخ بين الطب والشريعة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تولى الخبير الاستراتيجي في شؤون الاستنساخ الأستاذ الدكتور منذر البرزنجي الذي تم على يديه ميلاد أول طفل أنابيب في العراق ، الحديث عن الاستنساخ طبياً ومختبرياً ، وتولى كاتب هذه السطور الحديث عن رأي الفقهاء في الموضوع ، وهناك طرح دقائق ما توصل إليه سماحة السيد السيستاني ، وسماحة السيد محمد سعيد الحكيم من آراء فقهية أصيلة تواكب مسيرة الحضارة في تطلعاتها المستقبلية ، وليس هذا موضع بحثها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وللتأريخ فقد ناقشت الدكتور منذر البرزنجي في التسمية وكونها استنسالاً لا استنساخاً ، فاقتنع بأن تسمى العملية بجملتها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الاستنسال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بتعديل عنوان بحثه في هذا الضوء</w:t>
      </w:r>
      <w:r>
        <w:rPr>
          <w:rFonts w:eastAsia="Amiri" w:cs="Amiri" w:ascii="Amiri" w:hAnsi="Amiri"/>
          <w:color w:val="111111"/>
          <w:sz w:val="28"/>
          <w:szCs w:val="28"/>
          <w:rtl w:val="true"/>
          <w:lang w:bidi="ar-SA"/>
        </w:rPr>
        <w:t xml:space="preserve">. </w:t>
      </w:r>
      <w:bookmarkStart w:id="31" w:name="pg18924_201680"/>
    </w:p>
    <w:p>
      <w:pPr>
        <w:pStyle w:val="Heading3"/>
        <w:numPr>
          <w:ilvl w:val="2"/>
          <w:numId w:val="1"/>
        </w:numPr>
        <w:rPr/>
      </w:pPr>
      <w:bookmarkStart w:id="32" w:name="__RefHeading___Toc15922574_1280447820"/>
      <w:bookmarkStart w:id="33" w:name="_Toc10"/>
      <w:bookmarkEnd w:id="31"/>
      <w:bookmarkEnd w:id="32"/>
      <w:r>
        <w:rPr>
          <w:rtl w:val="true"/>
        </w:rPr>
        <w:t>(</w:t>
      </w:r>
      <w:r>
        <w:rPr/>
        <w:t>5</w:t>
      </w:r>
      <w:r>
        <w:rPr>
          <w:rtl w:val="true"/>
        </w:rPr>
        <w:t xml:space="preserve">) </w:t>
      </w:r>
      <w:r>
        <w:rPr>
          <w:rtl w:val="true"/>
        </w:rPr>
        <w:t>تحديد النسل وموانع الحمل</w:t>
      </w:r>
      <w:bookmarkEnd w:id="33"/>
    </w:p>
    <w:p>
      <w:pPr>
        <w:pStyle w:val="BookText"/>
        <w:rPr/>
      </w:pPr>
      <w:r>
        <w:rPr>
          <w:rFonts w:ascii="Amiri" w:hAnsi="Amiri" w:eastAsia="Amiri" w:cs="Amiri"/>
          <w:color w:val="111111"/>
          <w:sz w:val="28"/>
          <w:sz w:val="28"/>
          <w:szCs w:val="28"/>
          <w:rtl w:val="true"/>
          <w:lang w:bidi="ar-SA"/>
        </w:rPr>
        <w:t>في أطار التصعيد الحضاري تنعقد الحياة الاقتصادية فتتأرجح بين الإسراف والاعتدال ، وفي ظلال الصخب التكنولوجي تتعالى صيحة الداعين إلى الاستكانة والهدوء ، ومع اضطراب الحياة العامة تتعسر مبادىء التربية الفضلى ، وفي انعدام الراحة البدنية جرّاء العمل المضني تفقد الأسر نصيبها من التوجية والعناية الروحية والعقلية ، وهذا المناخ الحاشد بهذه المفردات الضخمة يدعو إلى تحجيم العائلة عدداً ، وتحديد النسل إقلالاً ، فيعمد المسؤول عن ذلك إلى استعمال موانع الحمل حيناً ، ووسائل الإجهاض حيناً آخر ، ولمّا كان الأخير محرّماً شرعاً وقانوناً ، كان الأول هو المتعين حصراً دون إثارة أو ضجة ، فبرزت عقاقير منع الحمل ، وشاع استعمال اللولب المانع من الحمل ، وأشيع تأجيل الدورة الشهرية عن وقتها المحدد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الداعي وراء هذا التطور في أساليب تحديد النسل ، إما أن يكون اقتصادياً ، لأن الزوج قد لا يستطيع الوفاء بالتزاماته المالية في ظل عائلة متعددة الأفراد أو كثيرة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w:t>
      </w:r>
    </w:p>
    <w:p>
      <w:pPr>
        <w:pStyle w:val="BookText"/>
        <w:rPr/>
      </w:pPr>
      <w:r>
        <w:rPr>
          <w:rFonts w:ascii="Amiri" w:hAnsi="Amiri" w:eastAsia="Amiri" w:cs="Amiri"/>
          <w:color w:val="111111"/>
          <w:sz w:val="28"/>
          <w:sz w:val="28"/>
          <w:szCs w:val="28"/>
          <w:rtl w:val="true"/>
          <w:lang w:bidi="ar-SA"/>
        </w:rPr>
        <w:t>تربوياً ، لأن الزوج وزوجته عاجزان عن إدارة وتربية جمهرة من الأولاد ، قد تستدعي تربيتهم جهداً إضافياً مضنياً لا يتوافران عليه إضافة إلى واجبات الحياة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عاطفياً بأزاء حصر المشاعر الجياشة موزعة بين اثنين من الذرية لا تتعداهما إلى فوضى الكثرة المتعددة من الأبناء والبنات ، فلا تعطي النتائج المتوخاة ، بل هي تصد رغبة الإشباع في العاطفة والحب مقتصرة على الواحد أو الاثنين غير متجاوزة هذا العدد إلى الإسفاف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الاحتمالات واردة إزاء تحديد النسل ، وقد يضاف إليها العامل الصحي الذي يفرض إرادته قهراً ، ومن أجل هذا كله كان للشرع الشريف رايه في هذه المفردات ، وقد يسرها سماحة السيد مد ظله العالي في ضوء الفتاوى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استعمال ما يمنع الحمل من العقاقير المعدّة لذلك بشرط أن لا يلحق بها ضرراً بليغاً ، ولا فرق في ذلك بين رضا الزوج به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استعمال اللولب المانع من الحمل ونحوه من الموانع بالشرط المتقدّم ، ولكن لا يجوز أن يكون المباشر لوضعه غير الزوج إذا كان ذلك يتوقف على النظر إلى ما لا يجوز النظر إليه ، أو مسّ ما لا يجوز مسّهُ من بدنها ، إلاّ مع الحرج الشديد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يعلم أن استعمال اللولب يستتبع تلف النطفة بعد انعقادها ، وإلاّ فالأحوط لزوماً الاجتناب عنه مطلقاً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يكفي في صدق عنوان الضرورة المجوزة للكشف أمام الطبيب الانزعاج الشديد والتذمّر النفسي الذي يسببه لها كثرة </w:t>
      </w:r>
    </w:p>
    <w:p>
      <w:pPr>
        <w:pStyle w:val="BookText"/>
        <w:rPr/>
      </w:pPr>
      <w:r>
        <w:rPr>
          <w:rFonts w:ascii="Amiri" w:hAnsi="Amiri" w:eastAsia="Amiri" w:cs="Amiri"/>
          <w:color w:val="111111"/>
          <w:sz w:val="28"/>
          <w:sz w:val="28"/>
          <w:szCs w:val="28"/>
          <w:rtl w:val="true"/>
          <w:lang w:bidi="ar-SA"/>
        </w:rPr>
        <w:t>الحمل فيجوز لها الكشف أما الطبيب أو الطبيبة لوضع اللولب؟</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ذلك إلا إذا كان الانجاب يسبب لها من القلق النفسي الشديد ما يوجب وقوعها في الحرج الرافع للتكليف فيجوز لها الكشف إن لم تكن هناك طريقة أخرى تفي بالغرض ولا تتوقف على الكشف أمام الطبيب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أن تجري عملية جراحية لقطع النسل بحيث لا تنجب أبداً؟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إشكال ، وإن كان لا يبعد جوازه فيما إذا لم يستلزم ضرراً بليغاً بها ، ومنه قطع بعض الأعضاء كالمبيض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يجوز أن يكون المباشر للعملية غير الزوج إذا كان ذلك موجباً للنظر إلى ما لا يجوز النظر إليه ، أو مسّ ما لا يجوز مسّهُ من بدنها إلا مع الحرج الشديد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الكلام يجري في الرجل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إسقاط الحمل بعد انعقاد نطفته ، إلا فيما إذا خافت الاُمّ الضرر على نفسها من استمرار وجوده أو سبّب لها حرجاً لم تجر العادة بتحمله للمرأة الحامل ، فإنه يجوز لها إسقاطه ما لم تلجه الروح ، وأما بعد ولوج الروح فيه فلا يجوز الإسقاط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أسقطت الأُمّ حملها وجبت عليها ديته لأبيه أو غيره من ورثته ، وإن اسقطه الأب فعليه ديته لأُمه ، ومقدار الدية مذكور في كتاب الديات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للمرأة استعمال العقاقير التي تؤجل الدورة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الشهرية عن وقتها لغرض إتمام بعض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كالصيام ومناسك الحج أو لغير ذلك كما يجوز لها استعجالها لاتمام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يلحق بها ضرراً بليغاً ، وإذا استعملت العقار فرأت دماً متقطعاً لم يكن لها أحكام الحيض وإن رأته في أيام العيادة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4" w:name="pg18924_201686"/>
    </w:p>
    <w:p>
      <w:pPr>
        <w:pStyle w:val="Heading3"/>
        <w:numPr>
          <w:ilvl w:val="2"/>
          <w:numId w:val="1"/>
        </w:numPr>
        <w:rPr/>
      </w:pPr>
      <w:bookmarkStart w:id="35" w:name="__RefHeading___Toc15922576_1280447820"/>
      <w:bookmarkStart w:id="36" w:name="_Toc11"/>
      <w:bookmarkEnd w:id="34"/>
      <w:bookmarkEnd w:id="35"/>
      <w:r>
        <w:rPr>
          <w:rtl w:val="true"/>
        </w:rPr>
        <w:t>(</w:t>
      </w:r>
      <w:r>
        <w:rPr/>
        <w:t>6</w:t>
      </w:r>
      <w:r>
        <w:rPr>
          <w:rtl w:val="true"/>
        </w:rPr>
        <w:t xml:space="preserve">) </w:t>
      </w:r>
      <w:r>
        <w:rPr>
          <w:rtl w:val="true"/>
        </w:rPr>
        <w:t>مرض الإيدز أو فقدان المناعة المكتسبة</w:t>
      </w:r>
      <w:bookmarkEnd w:id="36"/>
    </w:p>
    <w:p>
      <w:pPr>
        <w:pStyle w:val="BookText"/>
        <w:rPr/>
      </w:pPr>
      <w:r>
        <w:rPr>
          <w:rFonts w:ascii="Amiri" w:hAnsi="Amiri" w:eastAsia="Amiri" w:cs="Amiri"/>
          <w:color w:val="111111"/>
          <w:sz w:val="28"/>
          <w:sz w:val="28"/>
          <w:szCs w:val="28"/>
          <w:rtl w:val="true"/>
          <w:lang w:bidi="ar-SA"/>
        </w:rPr>
        <w:t>إحدى كوارث الانحدار الأخلاقي في خضم العلاقات الجنسيّة المشبوهة ، يبرز مرض الإيدز بشبحه المخيف ليلتهم ملايين النفوس بالموت المحتم ، وكان لأنحطاط الجنسي في الولايات المتحدة الأمريكية وأمريكا الشمالية وما وراء جزر البهاما ومجموعة الدول الأوروبية ولا ختلاط المياه في أغلب الدول الإفريقية والبدائية وحتى بعض البلاد العربية ، أضف لها جنوب إفريقيا بالذات وأماكن أخرى في العالم لا يحصيها هذا البيان الموجر لأننا لسنا بصدد استيعابها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كان لهذا وذاك الأمر الفاعل في انتشار هذا الوباء الفتاك ذي العدوى الخطيرة التي يسببها الإفراط الجنسي خاصةً للجنس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ليمعن بالانتقال الجرثومي عن طريق الدم بل وحتى عن طريق الأمومة والطفولة ، فالأجنة تتأثر عادةً بإصابة الأم بهذا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ينتقل المرض إلى الأولاد عند الحمل أو أثناء الولادة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وتشير الإحصائيات الأخيرة إلى وفاة مليون ونصف المليون شخص بالإيدز خلال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ليصبح عدد </w:t>
      </w:r>
    </w:p>
    <w:p>
      <w:pPr>
        <w:pStyle w:val="BookText"/>
        <w:rPr/>
      </w:pPr>
      <w:r>
        <w:rPr>
          <w:rFonts w:ascii="Amiri" w:hAnsi="Amiri" w:eastAsia="Amiri" w:cs="Amiri"/>
          <w:color w:val="111111"/>
          <w:sz w:val="28"/>
          <w:sz w:val="28"/>
          <w:szCs w:val="28"/>
          <w:rtl w:val="true"/>
          <w:lang w:bidi="ar-SA"/>
        </w:rPr>
        <w:t xml:space="preserve">الذين توفوا به حتى الآن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نسمة كما أعلن ذلك منظمة الصحة العالمية بمناسبة يوم الإيدز العالمي المصادف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دأب الفقه الإسلامي على معالجة هذه الظاهرة بالتي هي أحسن ، فبدى رحيماً شفيقاً بالمصاب أولاً حادباً عليه يمتعه بشيء من الحرية في الحركة والانتقال فلا يُحرّم عليه الزواج بل يجوزه شريطة أن لا يخدع زوج زوجته بإخفاء المرض ، ولا يجوّز الفقه الأسلامي منع المصاب عن حضور الأماكن العامة كالمساجد والأماكن الخاصة كالدور والقصور ، هذا في حالة أن لا خطر من انتقال العدوى وعموم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أن يُراقب في خصوص الطرق الناقلة قطعاً أو احتمالاً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وضع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المغتربين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سماحة السيد مدّ ظله العالي الاستفتاءات الآتية في الموضوع حسماً لكل نزاع مرتقب أو مصور ، على شكل سؤال وجواب فيهما الكفاية من وجهة النظر العلمية ، وفيهما حصر الموضوع بعيداً عن الاثره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حكم عزل المصاب بالإيدز؟ فهل يجب عليه أن يعزل نفسه؟ وهل يجب على أهله عزله؟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عليه أن يعزل نفسه كما لا يجب عزله على الآخرين ، بل لا يجوز منعه من حضور الأماكن العامة كالمساجد</w:t>
      </w:r>
    </w:p>
    <w:p>
      <w:pPr>
        <w:pStyle w:val="BookText"/>
        <w:rPr/>
      </w:pPr>
      <w:r>
        <w:rPr>
          <w:rFonts w:ascii="Amiri" w:hAnsi="Amiri" w:eastAsia="Amiri" w:cs="Amiri"/>
          <w:color w:val="111111"/>
          <w:sz w:val="28"/>
          <w:sz w:val="28"/>
          <w:szCs w:val="28"/>
          <w:rtl w:val="true"/>
          <w:lang w:bidi="ar-SA"/>
        </w:rPr>
        <w:t>ونحوها ما دام أنه لا خطر في ذلك من انتقال العدوى إلى غيره ، نعم يجب أن يُراقِب ويُرَاقَب في خصوص الطرق الناقلة للعدوى قطعاً أو احتمالاً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حكم تعمد نقل العدوى؟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ذلك ، فإن أدى إلى موت المنتقل إليه ولو بعد مدة من الزمن ، جاز لوليّه القصاص من الناقل إذا كان ملتفتاً في حينه إلى كونه موجباً للهلاك عادة ، وأما لو كان جاهلاً بذلك ، فليست عليه سوى الدية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للمصاب بالإيدز أن يتزوج من السليم؟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ولكن لا يجوز له أن يخدعه بأن يصف نفسه بالسلامة عند الخطبة والمقاولة مع علمه بمرض نفسه ، كما لا يجوز له مقاربته المؤدية إلى انتقال العدوى إليه ، وأما مع احتمال الانتقال وعدم التأكّد منه ، فلا يجب الاجتناب عن المقاربة مع موافقته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زواج حاملي فيروس الإيدز من بعضهم؟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منه ، نعم إذا كانت المعاشرة الجنسية بينهما تؤدي إلى ازدياد المرض زيادة خطيرة لزم التجنب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المعاشرة الجنسية بالنسبة للمصاب بمرض الإيدز؟ وهل يحق لغير المصاب بالإيدز أن يمتنع عن المعاشرة لأنها من الطرق الرئيسة للعدوى؟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يحق للزوجة السليمة أن لا تمكن زوجها المصاب من</w:t>
      </w:r>
    </w:p>
    <w:p>
      <w:pPr>
        <w:pStyle w:val="BookText"/>
        <w:rPr/>
      </w:pPr>
      <w:r>
        <w:rPr>
          <w:rFonts w:ascii="Amiri" w:hAnsi="Amiri" w:eastAsia="Amiri" w:cs="Amiri"/>
          <w:color w:val="111111"/>
          <w:sz w:val="28"/>
          <w:sz w:val="28"/>
          <w:szCs w:val="28"/>
          <w:rtl w:val="true"/>
          <w:lang w:bidi="ar-SA"/>
        </w:rPr>
        <w:t xml:space="preserve">المقاربة المؤدية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انتقال العدوى إليها بل يجب عليها منعه من ذلك ، ولو أمكن تقليل احتمال الإصابة إلى درجة لا يعتد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باستعمال العازل الذكري أو غيره ، جاز لها التمكين بل لا يجوز المنع عندئذ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حكم الزوج السليم مع زوجته المصابة فإنه لا يجوز له مقاربتها مع احتمال انتقال العدوى إليه احتمالاً معتداً به عند العقلاء ، ويسقط حقها في المقاربة عند كل أربعة أشهر إلا مع التمكن من اتخاذ الوسيلة الكفيلة بعدم نقل العدوى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حق السليم من الزوجبن في طلب الفرقة؟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حصل التدليس عند العقد بأن تمّ توصيف الزوج أو الزوجة بالسلامة عند الخطبة والمقاولة ، ثم أجري العقد مبنياً عليه ، ثبت الخيار للمدلس عليه ، ولا يتحقق التدليس الموجب للخيار بمجرد سكوت الزوجة ووليها مثلاً عن المرض مع اعتقاد الزوج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التدليس أو تجدد المرض بعد العقد ، فللزوج السليم أن يطلّق زوجته المصابة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الزوجة السليمة فهل يحق لها طلب الطلاق من زوجها المصاب لمجرد حرمانها من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فيه وجهان ، فلا يترك مراعاة مقتضى الاحتياط في ذلك ، نعم إذا هجرها زوجها بالمرة فصارت كالمعلقة ، جاز لها رفع أمرها إلى الحاكم الشرعي لإلزام الزوج بأحد الأمرين اما العدول عن الهجر او الطلاق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الطلاق من المرأة إذا كان الزوج مصاباً بمرض الإيدز؟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بيانه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إجهاض الحامل المصابة بمرض الإيدز؟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ذلك ، ولا سيما بعد ولوج الروح فيه ، نعم إذا كان استمرار الحمل ضرراً على ألام ، جاز لها إجهاضه قبل ولوج الروح فيه ،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حضانة الأم المصابة لوليدها السليم ، وإرضاعه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اللباء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يسقط حقها في حضانة وليدها ، ولكن لا بدّ من اتخاذ الإجراءات الكفيلة بعدم انتقال العدوى إليه ، فلو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انتقالها بالإرضاع من ثديها ، لزم التجنب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اعتبار مرض الإيدز مرض موت؟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هذا المرض من الأمراض التي تستمر بصاحبها مدة طويلة فما يعدّ من مرض الموت هو مراحله الأخيرة القريبة من الوفاة كمرحلة التهيج والقضاء على قوة المناعة أو ظهور أعراض عصبية 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للطبيب ، أو يجب عليه أن يعلن عن الإصابة بمرض الإيدز لمن يهمهم أمر المريض كالزوجات أو الأزواج مثلاً؟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الإعلام إن سمح به المريض أو وليه ، ويجب إذا</w:t>
      </w:r>
    </w:p>
    <w:p>
      <w:pPr>
        <w:pStyle w:val="BookText"/>
        <w:rPr/>
      </w:pPr>
      <w:r>
        <w:rPr>
          <w:rFonts w:ascii="Amiri" w:hAnsi="Amiri" w:eastAsia="Amiri" w:cs="Amiri"/>
          <w:color w:val="111111"/>
          <w:sz w:val="28"/>
          <w:sz w:val="28"/>
          <w:szCs w:val="28"/>
          <w:rtl w:val="true"/>
          <w:lang w:bidi="ar-SA"/>
        </w:rPr>
        <w:t>توقف عليه إنقاذ حياته ولو لفترة أطول كما يجب إذا علم أن تركه يستتبع انتقال العدوى إليهم من جهة تركهم الاحتياطات الضرورية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مسلم أنه مصاب بمرض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الإيدز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المعدي ، فهل يجوز له ممارسة العمل الجنسي مع زوجته؟ وهل يجب عليه إعلامها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بانتقال المرض إليها بالمقاربة لم تجز له مطلقاً ، وكذلك إن احتمل ذلك احتمالاً معتداً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8924_201696"/>
    </w:p>
    <w:p>
      <w:pPr>
        <w:pStyle w:val="Heading3"/>
        <w:numPr>
          <w:ilvl w:val="2"/>
          <w:numId w:val="1"/>
        </w:numPr>
        <w:rPr/>
      </w:pPr>
      <w:bookmarkStart w:id="38" w:name="__RefHeading___Toc15922578_1280447820"/>
      <w:bookmarkStart w:id="39" w:name="_Toc12"/>
      <w:bookmarkEnd w:id="37"/>
      <w:bookmarkEnd w:id="38"/>
      <w:r>
        <w:rPr>
          <w:rtl w:val="true"/>
        </w:rPr>
        <w:t>(</w:t>
      </w:r>
      <w:r>
        <w:rPr/>
        <w:t>7</w:t>
      </w:r>
      <w:r>
        <w:rPr>
          <w:rtl w:val="true"/>
        </w:rPr>
        <w:t xml:space="preserve">) </w:t>
      </w:r>
      <w:r>
        <w:rPr>
          <w:rtl w:val="true"/>
        </w:rPr>
        <w:t>أخطار التدخين ونوادر علمائنا الأعلام</w:t>
      </w:r>
      <w:bookmarkEnd w:id="3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أخطار التدخين</w:t>
      </w:r>
    </w:p>
    <w:p>
      <w:pPr>
        <w:pStyle w:val="BookText"/>
        <w:rPr/>
      </w:pPr>
      <w:r>
        <w:rPr>
          <w:rFonts w:ascii="Amiri" w:hAnsi="Amiri" w:eastAsia="Amiri" w:cs="Amiri"/>
          <w:color w:val="111111"/>
          <w:sz w:val="28"/>
          <w:sz w:val="28"/>
          <w:szCs w:val="28"/>
          <w:rtl w:val="true"/>
          <w:lang w:bidi="ar-SA"/>
        </w:rPr>
        <w:t xml:space="preserve">التدخين من الظاهر الشائعة في العالم بنسبة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الكائن البشري على وجه الكرة الأرضية ، وهي نسبة عالية جداً إذا استثنينا الأطفال وأكثر النساء من استقبال الدخان ، وهناك الآف المعامل المتطورة تقنياً وإنتاجياً تعمل ليل نهار لإخراج الآف الأنواع من السجائر المصنعة من أجود أصناف التبوغ المعطّرة والمصفاة الهادئة والحارة والمعتدلة ، وهناك الإعلانات الدعائية في الإعلام للإشارة إلى تلك السيجارة أو هذه ، وهو أمر تدأب على الترويج له كبريات شركات الدخان في العالم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استهلاك كل أنواع السجائر في سكان المعمورة ، فقد يتجاوز حد المعقول والقصور في مليارات العملات المالية والنقدية مما يكفي عادة لإدارة أكبر دولة 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يتهافتون على التدخين بشكل مسرف عند بعضهم ، وعلى مستوى معتدل عند الآخرين ، ومما يؤسف له حقاً اليوم تهافت الشباب </w:t>
      </w:r>
    </w:p>
    <w:p>
      <w:pPr>
        <w:pStyle w:val="BookText"/>
        <w:rPr/>
      </w:pPr>
      <w:r>
        <w:rPr>
          <w:rFonts w:ascii="Amiri" w:hAnsi="Amiri" w:eastAsia="Amiri" w:cs="Amiri"/>
          <w:color w:val="111111"/>
          <w:sz w:val="28"/>
          <w:sz w:val="28"/>
          <w:szCs w:val="28"/>
          <w:rtl w:val="true"/>
          <w:lang w:bidi="ar-SA"/>
        </w:rPr>
        <w:t xml:space="preserve">والناس لا سيما في أوروبا على الإفراط بالتدخين مما يعني استقبال آفات جديدة قد تؤثر على الأجنّة فيما بعد ، ويقسم التدخين عادة إلى مباشر وغير مباشر ، فالمباشر هو تدخين المرء نفسه ، وغير المباشر هو الجالس الذي يشم دخان المدخنين ، لهذا تجد في أوروبا أن القطارات والسيارات والأماكن العامة وصالات الاجتماعات الكبرى تنقسم إلى قسمين يكتب على أحدها </w:t>
      </w:r>
      <w:r>
        <w:rPr>
          <w:rFonts w:eastAsia="Times New Roman" w:cs="Times New Roman" w:ascii="Times New Roman" w:hAnsi="Times New Roman"/>
          <w:color w:val="111111"/>
          <w:sz w:val="28"/>
          <w:szCs w:val="28"/>
          <w:lang w:val="en-US" w:bidi="en-US"/>
        </w:rPr>
        <w:t>Smoken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ويكتب على القسم الآخر من القاطرة أو السيارة أو الصالة </w:t>
      </w:r>
      <w:r>
        <w:rPr>
          <w:rFonts w:eastAsia="Times New Roman" w:cs="Times New Roman" w:ascii="Times New Roman" w:hAnsi="Times New Roman"/>
          <w:color w:val="111111"/>
          <w:sz w:val="28"/>
          <w:szCs w:val="28"/>
          <w:lang w:val="en-US" w:bidi="en-US"/>
        </w:rPr>
        <w:t>No Smoken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وتعني الأولى السماح بالتدخين ، كما تعني الثانية منع التدخين ، وهناك تجد الأماكن المخصصة للمدخنين وغير المدخنين درءاً لأضرار التدخين غير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تنبهت منظمة الصحة العالمية للأخطار والأضرار المحدقة من التدخين ، ففرضت أن يكتب على علب السجائر بعض العبارات المحذّرة من التدخين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التدخين يسبب مرض القلب ، وتصلب الشرايين ، وسرطان الرئة ، وقرحة المعدة ، ويورث ضغط الدم ، ويؤثر على النسل ، ولكن المدخّن يرى ذلك ولا يقرؤه ، أو يقرؤه ، ولا يعبأ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فقد عالج سيدنا الأجل دام ظله هذه الظاهرة من جوانبها المتعددة ، فعنده أن الإنسان إنما يحرم عليه التدخين ، إذا كان يلحق به ضرراً بليغاً آنياً أو مستقبلياً ، سواء أكان الضرر البليغ معلوماً ، أو مظنوناً ، أم محتملاً بدرجة يصدق معه الخوف عند العقلاء ، وأما مع الأمن من الضرر البليغ ولو من جهة عدم الإكثار منه ، فلا بأس ، هذا بالنسبة للمبتدي في التدخين ، وأما المعتاد عليه ، فإذا كان استمراره في التدخين يلحق </w:t>
      </w:r>
    </w:p>
    <w:p>
      <w:pPr>
        <w:pStyle w:val="BookText"/>
        <w:rPr/>
      </w:pPr>
      <w:r>
        <w:rPr>
          <w:rFonts w:ascii="Amiri" w:hAnsi="Amiri" w:eastAsia="Amiri" w:cs="Amiri"/>
          <w:color w:val="111111"/>
          <w:sz w:val="28"/>
          <w:sz w:val="28"/>
          <w:szCs w:val="28"/>
          <w:rtl w:val="true"/>
          <w:lang w:bidi="ar-SA"/>
        </w:rPr>
        <w:t>عليه ضرراً بليغاً على نحو ما مرّ ، لزمه الإقلاع عنه ، إلاّ إذا كان يتضرر بتركه ضرراً مماثلاً لضرر الاستمرار عليه ، أو أشد من ذلك الضرر ، أو كان يجد حرجاً كبيراً في الإقلاع عنه بحد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التدخين المباشر ، وأما التدخين غير المباشر ، فعند السيد دام ظله أنه يجري عليه نظير التفصيل المتقدم لدى المدخن المبتدىء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عالج سيدنا دام علاه هذه الظاهرة من جوانبها كافة ، وأعطى رأي الشرع الحنيف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علمائنا الأعلام والتدخين</w:t>
      </w:r>
    </w:p>
    <w:p>
      <w:pPr>
        <w:pStyle w:val="BookText"/>
        <w:rPr/>
      </w:pPr>
      <w:r>
        <w:rPr>
          <w:rFonts w:ascii="Amiri" w:hAnsi="Amiri" w:eastAsia="Amiri" w:cs="Amiri"/>
          <w:color w:val="111111"/>
          <w:sz w:val="28"/>
          <w:sz w:val="28"/>
          <w:szCs w:val="28"/>
          <w:rtl w:val="true"/>
          <w:lang w:bidi="ar-SA"/>
        </w:rPr>
        <w:t>المراجع العظام في النجف الأشرف لهم نوادر هادفة تدور حول التدخين تمثل الاتجاه المعاكس حيناً ، والاتجاه المطّرد حيناً آخر ، فهي حلقة مفرغة بين الإيجابية المطلقة ، وبين السلبية المحددة ، إلا أنها تمثل روح المعاصرة في النية الصادقة والطرفة البريئة ، وقد أدركت هذا المناخ ميدانياً خلال نصف قرن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أرويه لك بأمانة ودقة متناهيتين ، فقد أحطتُ به خبراً عن قرب ، ليعبر لك عن مدى الاستجابة والرفض في ظروف متماثلة أو متباينة ، وهذه الطبقة المثلى هي التي نتلقّى منها أحكامنا الشرعية ، وهي بعد أطهر من ماء السماء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السيد محسن الحكيم قدس سره الشريف أصيب </w:t>
      </w:r>
    </w:p>
    <w:p>
      <w:pPr>
        <w:pStyle w:val="BookText"/>
        <w:rPr/>
      </w:pPr>
      <w:r>
        <w:rPr>
          <w:rFonts w:ascii="Amiri" w:hAnsi="Amiri" w:eastAsia="Amiri" w:cs="Amiri"/>
          <w:color w:val="111111"/>
          <w:sz w:val="28"/>
          <w:sz w:val="28"/>
          <w:szCs w:val="28"/>
          <w:rtl w:val="true"/>
          <w:lang w:bidi="ar-SA"/>
        </w:rPr>
        <w:t xml:space="preserve">بعارض للقلب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فترجح سكناه في داره بكربلاء قرب التل الزينبي تخفيفاً عن أعباء المرجعية ، فسكن هناك فترة يعتدّ بها ، وزرته بخدمة سيدي الوالد الشيخ علي الصغير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واستدعي له الدكتور محمود الجليلي اختصاصي أمراض القلب فنهاه عن التدخين والكلام ، فأخرج السيد علبة الدخان ، وطرحها جانباً على الفور ، فكان هذا آخر عهده بالتدخين حتى وفاته في ربيع الثاني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والطريف أن استفسر الطبيب عن بعض حالاته منه ، فما أجابه ، لأنه منعه عن الكلام ، فقال الدكتور الجليلي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عمر السيد ، هو ممنوع عن الكلام مع الناس ، وليتحدث مع الأطباء لنشخص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السيد الحكيم في مستشفى ابن سينا ببغداد ، ونقل جثمانه إلى النجف ومعه عشرات الآلاف من السيارات ، ودفن بمقبرته التي أعدّها لنفسه وأبنائه بجوار مسجد الهندي في الطابق الأرضي من مكتبته العامة ، وقد أرخت عام وفاته لترقم على ضريحه بالقاشاني ، ولكنها عند المباشرة في العمل فقدت من قبل أحد أبنائه ، وأنا خارج العراق ، فاستبدلت بغيرها ، والأبيات مع التاريخ هي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الجنان العَلَمَ المُجَدّدا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قد تَوّج الأجيالَ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مُقيّدا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واستَعبَر الإسلامُ 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والله أركانُ الهُدى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السيد أبو القاسم الخوئي قدس سره كان مدخناً مكثراً ، فمنعه الأطباء عدة مراة عن التدخين خلال ربع قرن ، فكان لا يمتنع لأنه يرى في نفسه حرجاً كبيراً من ذلك ، ويلمس عسراً شديداً لا يطاق ، حتى إذا أصيب بنكسة قلبية في أوائل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أدخل أثرها مستشفى ابن النفيس ببغداد ، وكان عمره الشريف قد بلغ ستة وتسعين عاماً ، فأجريت له عملية وضع جهاز تحت القلب يساعد القلب على مقاومة العجز الذي أصيب به ، فترجح عند فريق الأطباء المعالج منعه من التدخين ، وما مضت إلا ساعات قلائل على هذا المنع ، حتى قال لولده العلامة السيد محمد تقي الخوئي رحمه الله ، قل للأطباء فليسمحوا لي بالتدخين فإنني أجد حرجاً بالغاً في تركه ، واستجاب له الأطباء فعاد إلى التدخين حتى وفاته في العام نفسه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أرختُ عام وفاته بأبيات رقمت بالقشاني على واجهة ضريحه الشريف داخل مسجد الخضراء بجوار أمير المؤمنين ، وهي باقية </w:t>
      </w:r>
    </w:p>
    <w:p>
      <w:pPr>
        <w:pStyle w:val="BookText"/>
        <w:rPr/>
      </w:pPr>
      <w:r>
        <w:rPr>
          <w:rFonts w:ascii="Amiri" w:hAnsi="Amiri" w:eastAsia="Amiri" w:cs="Amiri"/>
          <w:color w:val="111111"/>
          <w:sz w:val="28"/>
          <w:sz w:val="28"/>
          <w:szCs w:val="28"/>
          <w:rtl w:val="true"/>
          <w:lang w:bidi="ar-SA"/>
        </w:rPr>
        <w:t xml:space="preserve">حتى اليوم ومذيلة باسم ناظمها كاتب هذه السطور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اصطفينا للهُدى 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دَفين</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دنا مَوقِعا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عاقبةُ المؤمنين</w:t>
      </w:r>
    </w:p>
    <w:p>
      <w:pPr>
        <w:pStyle w:val="BookText"/>
        <w:rPr/>
      </w:pP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فاهتزّ لها مَسمَعا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التأريخُ لمّا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أزلفتِ الجَنةُ لِلمُتّقين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أية الله العظمى الشيخ حسين الحلي قدس سره ، كان يدخن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بنفسه على مقدماتها دون الاستعانة بأحد ، حتى إذا تكامل صنعها نقلها من الايوان إلى الديوان ، وهو ديوان السيد علي بحر العلوم الذي قضى فيه أكثر حياته ، وأخذ بسحب أنفاسها متأملاً ، وهو يجد لذلك لذة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الليالي توجه له سماحة الحجة السيد عز الدين بحر العلوم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إلى متى أنت تدخن ، فلو أقلعت عن النارجيلة ، فقال له مستنكراً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النارجيلة لذتي الوحيدة في الدنيا ، وانت تنهاني عنها ، دع عنك هذا ، أي راحة أجد في الدنيا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سيدنا المرجع الأعلى للمسلمين السيد علي الحسيني السيستاني مدّ ظله ، مدخّن مُقلّ ، ولكنه لا يدخن أمام أحد قط ، حتى لو اجتمعنا منفردين فأنا أدخّن وهو لا يدخّن ، وإنما يدخّن </w:t>
      </w:r>
    </w:p>
    <w:p>
      <w:pPr>
        <w:pStyle w:val="BookText"/>
        <w:rPr/>
      </w:pPr>
      <w:r>
        <w:rPr>
          <w:rFonts w:ascii="Amiri" w:hAnsi="Amiri" w:eastAsia="Amiri" w:cs="Amiri"/>
          <w:color w:val="111111"/>
          <w:sz w:val="28"/>
          <w:sz w:val="28"/>
          <w:szCs w:val="28"/>
          <w:rtl w:val="true"/>
          <w:lang w:bidi="ar-SA"/>
        </w:rPr>
        <w:t xml:space="preserve">إذا خلا بنفسه وحده ، وقد لا يعلم أحد في الحوزة العلمية في النجف الأشرف التي هو زعيمها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من المدخنين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أستاذنا المعظّم آية الله السيد محمد علي الحكيم أصيب عام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بعارض في القلب ، فاقترح طبيب القلب الدكتور مجيد عبد الأمير حرسه الله أن يمتنع من التدخين باستثناء اربع أو خمس سجائر يومياً ، فالتزم بهذا العدد طيلة عشر سنوات حتى اليوم ، فما أزاد سيجارة واحدة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التقي الورع السيد محمد رضا الموسوي الخرسان مد ظله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 وأعقبها بترك التدخين ، وكنّا هذا العام في عمّان سوية للعلاج والاستشفاء ، فسافرنا إلى مدينة جرش ، وهي تبعد عن عمّان خمسين كيلو متراً ، وذلك صباح الأحد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مع رفقة أبرار لغرض النزهة والسياحة وشم النسيم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وتناولنا الغذاء في مطعم ريفي قائم بين السهول والجبال ، وبعد الغداء أخذ سماحة السيد بالنظر الناطق وهو يبتسم ، قلت له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أجدد بها العهود السابقة ، فأحضرت له نرجيلة بكل مواصفاتها الراقية ، فتمتع بها برهة من الزمن رأينا فيها البشر والفرح يغمرانه بسعادة شاملة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السيد حسين نجل التقي آل بحر العلوم دام ظله ، ينفرد بالقول بحرمة التدخين ابتداء ، وقد يشاركه غيره في هذا الرأي ، ولكنني لم أطلع عليه ، ومعنى هذا أن المدخّن المعتاد لا أثم عليه مع عدم احتمال الضرر البليغ أو القطع به ، ولكن الشاب غير المدخن ، يحرم عليه الإقدام على التدخين ابتداءً </w:t>
      </w:r>
    </w:p>
    <w:p>
      <w:pPr>
        <w:pStyle w:val="BookText"/>
        <w:rPr/>
      </w:pPr>
      <w:r>
        <w:rPr>
          <w:rFonts w:ascii="Amiri" w:hAnsi="Amiri" w:eastAsia="Amiri" w:cs="Amiri"/>
          <w:color w:val="111111"/>
          <w:sz w:val="28"/>
          <w:sz w:val="28"/>
          <w:szCs w:val="28"/>
          <w:rtl w:val="true"/>
          <w:lang w:bidi="ar-SA"/>
        </w:rPr>
        <w:t xml:space="preserve">ولقد تناوب عليّ أكثر من عشرة أطباء ينهوني عن التدخين ، ولكنني أرى في ذلك عسراً شديداً وحرجاً قائلاً ، حتى أنني أجيب كل طبيب بقولي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نفّذتُهُ لطبيب القل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 إلا قضية التدخين</w:t>
      </w:r>
    </w:p>
    <w:p>
      <w:pPr>
        <w:pStyle w:val="BookText"/>
        <w:rPr/>
      </w:pPr>
      <w:r>
        <w:rPr>
          <w:rFonts w:ascii="Amiri" w:hAnsi="Amiri" w:eastAsia="Amiri" w:cs="Amiri"/>
          <w:color w:val="111111"/>
          <w:sz w:val="28"/>
          <w:sz w:val="28"/>
          <w:szCs w:val="28"/>
          <w:rtl w:val="true"/>
          <w:lang w:bidi="ar-SA"/>
        </w:rPr>
        <w:t>فهو السلوةُ الوحيدةُ في العم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وسلوتي وشؤوني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أيلول هذا العام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 مستشفى الأردن في عمّان ، واحتفل بي جماعة من الأصدقاء أو احتفلت بهم ، وفيهم الأطباء والأساتذة والأدباء ، بوليمة أقيمت في منتجع قصر الصنوبر القائم في طريق المطار للداخل إلى عمّان وكان حديث الأطباء بخاصة أن أترك التدخين لإصابتي بالربو وتضيّق القصبات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أترك التدخين من أجل صدري ، بل أريد صدراً أدخن فيه ، فعليكم أن تعالجوا الصدر كما تشاؤون ، وعليّ أن أدخن كما أشاء</w:t>
      </w:r>
      <w:r>
        <w:rPr>
          <w:rFonts w:eastAsia="Amiri" w:cs="Amiri" w:ascii="Amiri" w:hAnsi="Amiri"/>
          <w:color w:val="111111"/>
          <w:sz w:val="28"/>
          <w:szCs w:val="28"/>
          <w:rtl w:val="true"/>
          <w:lang w:bidi="ar-SA"/>
        </w:rPr>
        <w:t xml:space="preserve">. </w:t>
      </w:r>
      <w:bookmarkStart w:id="40" w:name="pg18924_201709"/>
    </w:p>
    <w:p>
      <w:pPr>
        <w:pStyle w:val="Heading3"/>
        <w:numPr>
          <w:ilvl w:val="2"/>
          <w:numId w:val="1"/>
        </w:numPr>
        <w:rPr/>
      </w:pPr>
      <w:bookmarkStart w:id="41" w:name="__RefHeading___Toc15922580_1280447820"/>
      <w:bookmarkStart w:id="42" w:name="_Toc13"/>
      <w:bookmarkEnd w:id="40"/>
      <w:bookmarkEnd w:id="41"/>
      <w:r>
        <w:rPr>
          <w:rtl w:val="true"/>
        </w:rPr>
        <w:t>(</w:t>
      </w:r>
      <w:r>
        <w:rPr/>
        <w:t>8</w:t>
      </w:r>
      <w:r>
        <w:rPr>
          <w:rtl w:val="true"/>
        </w:rPr>
        <w:t xml:space="preserve">) </w:t>
      </w:r>
      <w:r>
        <w:rPr>
          <w:rtl w:val="true"/>
        </w:rPr>
        <w:t>وباء المخدّرات وأضرار الخمور</w:t>
      </w:r>
      <w:bookmarkEnd w:id="42"/>
    </w:p>
    <w:p>
      <w:pPr>
        <w:pStyle w:val="BookText"/>
        <w:rPr/>
      </w:pPr>
      <w:r>
        <w:rPr>
          <w:rFonts w:ascii="Amiri" w:hAnsi="Amiri" w:eastAsia="Amiri" w:cs="Amiri"/>
          <w:color w:val="111111"/>
          <w:sz w:val="28"/>
          <w:sz w:val="28"/>
          <w:szCs w:val="28"/>
          <w:rtl w:val="true"/>
          <w:lang w:bidi="ar-SA"/>
        </w:rPr>
        <w:t>من أبرز مظاهر الكوارث البشرية المحدقة بالعالم ، وباء الإدمان على المخدرات الشائعة الاستعمال في بقاع عديدة من العالم تشمل شرق الأرض وغربها ، وتستقطب شمال الكون وجنوبه ، وهو أمر يفوق حدّ التصور في ردّة فعله ، ووبال أمره ، ونجم عن استعماله انحراف الشباب والمراهقين انحرافاً خطيراً ، وتدهورت الأخلاق إلى أدنى مستوى سحيق ، وأميتت الضمائر وانتزعت منها المشاعر النابضة فعادت جماداً لا ينبض بالحركة ، وبذرت الأموال تبذيراً طائشاً حتى التصق بالصعيد من كانت له مسكة غنى ، فالميوعة والتخنث واللا إدراك ، والبذاءة والانحلال كل أولئك مما يتصف به المدمن على المخدّرات ، حتى أصبح دون مبالغة جزءاً مشلولاً متعطلاً في كيان الكائن البشري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المخدّرات متعددة الصفات كتعدد أسمائها ، ومختلفة التأثير كاختلاف مراتبها ، ويمكننا من خلال اطلاعنا المتواضع أن نصنفها على الشكل الآتي ، مبتدئين بالمعقّد منها ثم البسيط ، أو ما هو أشد تأثيراً ، وأكثر تركيزاً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الهيروين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الكوكائين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أخطر أنواع المخدرات هو الميروانا ، وهو نوع من المخدرات التي تؤخذ على شكل سجائر أو كيفيات أخرى ، وقد أختلف علماء المخدرات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إنه منشط لا علاقة له بالتخدير ، ومن قائل بأنه من المخدرات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دأبت الحكومات في العالم على مكافحة المخدرات ، فحرّمت زراعتها وعملها واستحلابها وتنقيتها وبيعها وشراءها ، وصادرت مئات الصفقات التجارية التي يقدر ثمنها بملايين الدولارات ، وأقامت حجراً مفروضاً على المتعاملين معها ، وبعض الدول تحكم بالإعدام على من يتّجر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كله ، وفوق هذا كله ، فإنك تجد الانتشار واسعاً ، والإتّجار بالمخدّرات قائماً ، والتداول بين الشباب وحتى الصبية بنين وبناتٍ شائعاً ، وذلك مما يهدد بكارثة حقيقية تعصف بكوكبة الفتيان والفتيات ، علماً بأن المنظمات الدولية تشن حرباً شعواء على المخدرات ، ومنظمة الصحة العالمية تحرمها وتدعو إلى صدّ هجومها على معسكرات الشباب ، ودور الرعاية الصحية قد نظّمت حملاتها الموفقة ضدها ، مضافاً إلى القوانين المحرمة لها والمعاقبة عليها ، إلا أنها </w:t>
      </w:r>
    </w:p>
    <w:p>
      <w:pPr>
        <w:pStyle w:val="BookText"/>
        <w:rPr/>
      </w:pPr>
      <w:r>
        <w:rPr>
          <w:rFonts w:ascii="Amiri" w:hAnsi="Amiri" w:eastAsia="Amiri" w:cs="Amiri"/>
          <w:color w:val="111111"/>
          <w:sz w:val="28"/>
          <w:sz w:val="28"/>
          <w:szCs w:val="28"/>
          <w:rtl w:val="true"/>
          <w:lang w:bidi="ar-SA"/>
        </w:rPr>
        <w:t xml:space="preserve">في انتشار مستطير ، وكان سماحة السيد مدّ ظله الزاهر قد أفتى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استعمال المخدرات مع ما يترتب عليه من الضرر البليغ ، سواء من جهة إدمانه ، أو من جهة أخرى ، بل الأحوط لزوماً الاجتناب عنها مطلقاً ، إلاّ في حالات الضرورة الطبية ونحوها ، فتُستعمل بمقدار ما تدعو إليه الضرورة ، والله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أمراض الخمور وأضرارها فحدث عن ذلك ولا حرج فأمراض القلب ، وتصلب الشرايين ، وقرحة المعدة ، وانتكاسة الجهاز الهضمي ، وجملة الأعراض العقلية والنفسية والسلوكية ، وتعرض الجينات الوراثية للأخطار ، والتأثير على الأجنة والمواليد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أولئك بعض أضرارها ، عدا التضحية بالعقل والمال والوقار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وقف الإسلام موقفاً حازماً من الخمر وشربه وبيعه وغرسه وعصره وحمله ، قال تعالى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الرسول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بعد ما حرّمها الله على </w:t>
      </w:r>
    </w:p>
    <w:p>
      <w:pPr>
        <w:pStyle w:val="BookText"/>
        <w:rPr/>
      </w:pPr>
      <w:r>
        <w:rPr>
          <w:rFonts w:ascii="Amiri" w:hAnsi="Amiri" w:eastAsia="Amiri" w:cs="Amiri"/>
          <w:color w:val="111111"/>
          <w:sz w:val="28"/>
          <w:sz w:val="28"/>
          <w:szCs w:val="28"/>
          <w:rtl w:val="true"/>
          <w:lang w:bidi="ar-SA"/>
        </w:rPr>
        <w:t xml:space="preserve">لساني فليس بأهل أن يزوج إذ خطب ، ولا يُشفّع إذا شفع ، ولا يصدّق إذا حدّث ، ولا يؤتمن على أمانة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رواية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الخمر وغارسها وعاصرها ، وشاريها ، وساقيها ، وبايعها ، وشاربها ، وآكل ثمنها ، وحاملها ، والمحمولة إليه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عدّها الفقهاء الثامن من الإعيان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السيستاني 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ويلحق بها كل مسكر مائع بالأصالة على الأحوط الأولى ، وأما الجامد كالحشيشة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غلى وصار مائعاً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لكن الجميع حرام بلا أشكال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العنب أو التمر ليعمل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تحرم ولا تصح إجارة المساكن لتباع فيها الخمرة أو تحرز فيها ، أو يعمل فيها شيء من المحرمات ، وكذا تحرم ولا تصح إجارة السفن أو الدواب أو غيرها لحمل الخمر ، والأجرة في ذلك محرّمة</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الأكل من مائدة يشرب عليها الخمر أو المسكر ، ويحرم الجلوس عليها على الأحوط وجوباً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والعبرة في هذا أن يرى العرف وحدة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الأصل في حرمة الخمر هو الإسكار ، فكل الفصائل المسكرة محرمة كالبيرة والبارندي والويسكي وأمثالها ، لأن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الخمر لإسكارها ، وبقياس منصوص العلة تحرم تلك الأصناف عامة لأنها مسكرة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سماحة السيد مد ظله ،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مخصوص متخذ من الشعير غالباً ، وليس منه ماء الشعير الذي يصفه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يعامل معاملة النجس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سيدنا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 تقديم الخمر لأي كان ، وإن كان مستحلاً له ، ولا يجوز له غسل أوانيه ، ولا تقديمها لغيره ، إذا كان ذلك الغسل وهذا التقديم مقدمة لشرب الخمر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إجارة نفسه لبيع الخمر ، أو تقديمه ، أو تنظيف أوانيه مقدمة لشربه ، كما لا يجوز له أخذ الأجرة على عمل كهذا لأنه حرام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هناك ما هو أكثر من هذا عند سماحة السيد دام ظله الوريف فلا يجوز للخطاط المسلم أن يخط قطعة لشرب الخمر ، أو لإحياء حفلة رقص ، أو لمطعم فيه لحم خنزير ، لما في ذلك من إشاعة الفاحشة وترويج الفساد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3" w:name="pg18924_201718"/>
    </w:p>
    <w:p>
      <w:pPr>
        <w:pStyle w:val="Heading3"/>
        <w:numPr>
          <w:ilvl w:val="2"/>
          <w:numId w:val="1"/>
        </w:numPr>
        <w:rPr/>
      </w:pPr>
      <w:bookmarkStart w:id="44" w:name="__RefHeading___Toc15922582_1280447820"/>
      <w:bookmarkStart w:id="45" w:name="_Toc14"/>
      <w:bookmarkEnd w:id="43"/>
      <w:bookmarkEnd w:id="44"/>
      <w:r>
        <w:rPr>
          <w:rtl w:val="true"/>
        </w:rPr>
        <w:t>(</w:t>
      </w:r>
      <w:r>
        <w:rPr/>
        <w:t>9</w:t>
      </w:r>
      <w:r>
        <w:rPr>
          <w:rtl w:val="true"/>
        </w:rPr>
        <w:t xml:space="preserve">) </w:t>
      </w:r>
      <w:r>
        <w:rPr>
          <w:rtl w:val="true"/>
        </w:rPr>
        <w:t>فتاوى فقهية ذات أبعاد طبية</w:t>
      </w:r>
      <w:bookmarkEnd w:id="45"/>
    </w:p>
    <w:p>
      <w:pPr>
        <w:pStyle w:val="BookText"/>
        <w:rPr/>
      </w:pPr>
      <w:r>
        <w:rPr>
          <w:rFonts w:ascii="Amiri" w:hAnsi="Amiri" w:eastAsia="Amiri" w:cs="Amiri"/>
          <w:color w:val="111111"/>
          <w:sz w:val="28"/>
          <w:sz w:val="28"/>
          <w:szCs w:val="28"/>
          <w:rtl w:val="true"/>
          <w:lang w:bidi="ar-SA"/>
        </w:rPr>
        <w:t>في حياة الطب المثيرة كثير من الإيحاءات الغامضة كموت الدماغ وتوقف القلب ، فلو حدث أن مات أحدهما ، والثاني يعمل ، فمتى يحكم بموت الإنسان ، فإن تحركت بعض أعظائه بفعل الأجهزة الطبية المتطورة مع كونه ميتاً أو بحكم الميت ، فهل يحق للطبيب سحب هذه الأجهزة ، وهل يحق للطبيب كشف مواضع جسم المرأة الأجنبية أو أجهزتها التناسلية ، وهل يجوز تحسين الجينات الوراثية ، وغير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الفتاوى التي سبرها سماحة السيد دام ظله تجيب عن هذه الطروحات الفريدة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 البعض إلى أن موت الدماغ يعني موت الإنسان ، حتى لو لم يتوقف النبض في الحال إنما سيتوقف بعد ذلك حتماً ، كما يقول الأطباء ، فهل يعتبر ميتاً من مات دماغه ولو بقي نبضه يتحرك؟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العبرة في 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لعدد من الأحكام الشرعية ، إنما هو بالنظر العرفي ، بأن يراه أهل العرف</w:t>
      </w:r>
    </w:p>
    <w:p>
      <w:pPr>
        <w:pStyle w:val="BookText"/>
        <w:rPr/>
      </w:pPr>
      <w:r>
        <w:rPr>
          <w:rFonts w:ascii="Amiri" w:hAnsi="Amiri" w:eastAsia="Amiri" w:cs="Amiri"/>
          <w:color w:val="111111"/>
          <w:sz w:val="28"/>
          <w:sz w:val="28"/>
          <w:szCs w:val="28"/>
          <w:rtl w:val="true"/>
          <w:lang w:bidi="ar-SA"/>
        </w:rPr>
        <w:t>ميتاً ، وهو غير متحقق في مفروض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يحقُّ للطبيب سحب أجهزة طبية وضعت لمريضه المسلم ، فبعثت الحركة في قلبه وإن مات المخ ، فأصبحت حياة المريض كحياة النبات لا تدوم إلا بعمل تلك الأجهزة ، وذلك لأهمية النفس المحترمة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الطبيب أن لا يعتني بطلب المريض أو طلب أقربائه بالامتناع عن إسعافه ، أما إذا سحب الطبيب تلك الأجهزة فمات المريض المسلم لذلك ، عُدّ الطبيب قاتلاً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تقتضي مهنة الطب أن يفحص الطبيب مريضاته بعناية ، ولما كان خلع الملابس الخارجية أثناء الفحص متعارفاً في بعض البلدان الأوروبية ، فهل تجوز ممارسة مهنة الطب هنا على هذه الصورة؟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مع تجنب النظر واللمس المحرّمين ، إلا بمقدار ما يتوقف عليه تشخيص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يرى الطبيب المعالج أحياناً أن يكشف بعض مواضع جسم المرأة الأجنبية ، بما فيها المواضع الحساسة ، عدا العورة ، فهل يجوز لها كشف جسمها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وجود طبيبة يمكن مراجعتها ، ولكن بكلفة مادية غالية بعض الشيء؟</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كون المرض غير خطير ، ولكنه مرض على كل حال؟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 هو الحكم في حالة ما إذا كان المطلوب كشفه ، هو العورة؟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إمكان مراجعة الطبيبة ، إلا إذا كلفت مراجعتها مبالغ مضرة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كانت تتضرر بترك علاجه ، أو تقع في حرج شديد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فيه ما مرّ ، ولا بدّ من الاقتصار في الكشف في الحالتين على مقدار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العلاج من دون النظر المباشر إلى ما يحرم النظر إليه ، كالنظر عبر الشاشة التلفزيونية أو المرآة فهو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علم الهندسة الوراثية يدعي بعض العلماء أن باستطاعتهم تحسين الجنس البشري بواسطة التأثير على الجينات وذلك 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القبح في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مواصفات جميلة بديلة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للعلماء أن يفعلوا ذلك؟ وهل يحق للمسلم أن يمكن الأطباء من تحسين جيناته الوراثية؟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له مضاعفات جانبية ، فلا مانع منه في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 الشركات في الغرب تجارب على الأدوية قبل طرحها في الأسواق ، فهل يجوز تجربة دواء على مريض ، إذا ظن الطبيب أن هذا الدواء مفيد لمريضه قبل انتهاء التجارب عليه ، من دون علم المريض؟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إعلام المريض بالحال ، وكسب موافقته على تجربة الدواء عليه إلا إذا كان من المؤكد عدم تسبّبه في مضاعفات جانبية ، وإنما يشك في فائدته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الأنسولين المستعملة في علاج مرض السكر تستخلص أحياناً من بنكرياس الخنزير ، فهل نستعملها؟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 تزريقها في العضلة أو الوريد أو تحت الجلد بالإبرة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زرع كبد خنزير في بدن الإنسان؟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زرع كبد الخنزير في بدن الإنسان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بعض الأمراض الوراثية تنتقل من الآباء إلى الأبناء ، وتشكل خطراً على حياتهم مستقبلاً ، وقد توصل العلم الحديث إلى طريقة للتخلص من بعض هذه الأمراض ، وذلك بإجراء تلقيح بويضة المرأة داخل أنبوب اختبار خاص ، يتم به فحص الأجنّة واختيار الصحيح منها ، ثم يزرع داخل رحم الأم ، ويتلف الطبيب العدد الباقي من الأجنّة فهل هذه العملية جائزة شرعاً؟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مانع من ذلك في حدّ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إجراء عمليات تجميل في الوجه والبدن؟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مع التجنب عن اللمس والنظر المحرمين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سهّل سماحة السيد دام مجده العظيم ، قضية بيع الدم للمرضى ، على نحو المعاوضة ، كما أفتى بجواز التبرع به للمضطرين إليه ،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التبرع بالدم للمرضى المحتاجين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أخذ العوض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توصل العلم أخيراً إلى معرفة القاتل عن طريق تحليل الدم دون اللجوء إلى وسائل أخرى ، وبلغ من دقة التحليل أنه يمكن معرفة الوسيلة التي استخدمت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الاعتماد عليه في ترتيب الأثر على الجاني من إقامة الحدّ أو غيره ، أم لا ويبقى العمل بالقواعد الشرعية المعروفة؟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سماحة السيد أطال الله بقاه بقوله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يثبت القتل ، ولا تجري أحكامه إلا بما جعل طريقاً إليه شرعاً ، أو صيرورته أمراً بيناً بطريق علمي لا تتخلله الاجتهادات الشخصية ، فإن كان ما ذكر من الطريق بهذه المثابة جاز للحاكم الشرعي الحكم على طبقه ، والله العالم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6" w:name="pg18924_201726"/>
    </w:p>
    <w:p>
      <w:pPr>
        <w:pStyle w:val="Heading2"/>
        <w:numPr>
          <w:ilvl w:val="1"/>
          <w:numId w:val="1"/>
        </w:numPr>
        <w:rPr/>
      </w:pPr>
      <w:bookmarkStart w:id="47" w:name="__RefHeading___Toc15922584_1280447820"/>
      <w:bookmarkStart w:id="48" w:name="_Toc15"/>
      <w:bookmarkEnd w:id="46"/>
      <w:bookmarkEnd w:id="47"/>
      <w:r>
        <w:rPr>
          <w:rtl w:val="true"/>
        </w:rPr>
        <w:t>الفصل الثاني</w:t>
      </w:r>
      <w:r>
        <w:rPr>
          <w:rtl w:val="true"/>
        </w:rPr>
        <w:t xml:space="preserve">: </w:t>
      </w:r>
      <w:r>
        <w:rPr>
          <w:rtl w:val="true"/>
        </w:rPr>
        <w:t>الاقتصاد الوطني والشؤون المالية</w:t>
      </w:r>
      <w:bookmarkEnd w:id="48"/>
    </w:p>
    <w:p>
      <w:pPr>
        <w:pStyle w:val="Heading3"/>
        <w:numPr>
          <w:ilvl w:val="2"/>
          <w:numId w:val="1"/>
        </w:numPr>
        <w:rPr/>
      </w:pPr>
      <w:bookmarkStart w:id="49" w:name="__RefHeading___Toc15922586_1280447820"/>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المصارف والبنوك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خزن البضائع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البضائع عند تخلّف أصحابها عن تسلّمها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الكفالة عند البنوك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السهام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السندات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الحوالات الداخلية والخارجية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جوائز البنك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الكمبيالات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العملات الأجنبية وشراؤها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السحب على المكشوف</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خصم الكمبيالات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لدى البنوك</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مصرفية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اليانصيب</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التأمين</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إخلاء المحلاّت التجارية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حضارية بأموال الأوروبين </w:t>
      </w:r>
      <w:bookmarkStart w:id="51" w:name="pg18924_201729"/>
    </w:p>
    <w:p>
      <w:pPr>
        <w:pStyle w:val="Heading3"/>
        <w:numPr>
          <w:ilvl w:val="2"/>
          <w:numId w:val="1"/>
        </w:numPr>
        <w:rPr/>
      </w:pPr>
      <w:bookmarkStart w:id="52" w:name="__RefHeading___Toc15922588_1280447820"/>
      <w:bookmarkStart w:id="53" w:name="_Toc17"/>
      <w:bookmarkEnd w:id="51"/>
      <w:bookmarkEnd w:id="52"/>
      <w:r>
        <w:rPr>
          <w:rtl w:val="true"/>
        </w:rPr>
        <w:t xml:space="preserve">أولاً </w:t>
      </w:r>
      <w:r>
        <w:rPr>
          <w:rtl w:val="true"/>
        </w:rPr>
        <w:t xml:space="preserve">: </w:t>
      </w:r>
      <w:r>
        <w:rPr>
          <w:rtl w:val="true"/>
        </w:rPr>
        <w:t>أعمال المصارف والبنوك</w:t>
      </w:r>
      <w:bookmarkEnd w:id="53"/>
    </w:p>
    <w:p>
      <w:pPr>
        <w:pStyle w:val="Heading4"/>
        <w:numPr>
          <w:ilvl w:val="3"/>
          <w:numId w:val="1"/>
        </w:numPr>
        <w:rPr/>
      </w:pPr>
      <w:bookmarkStart w:id="54" w:name="__RefHeading___Toc15922590_1280447820"/>
      <w:bookmarkStart w:id="55" w:name="_Toc18"/>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مما لا شك فيه أن طبيعة الاقتصاد الوطني لكل بلد من بلدان العالم الثالث تقتضي ضرورة تنظيمه وازدهاره وضبطه إلى الاستعانة بالمصارف والبنوك ، فرصد الميزانية العاملة للدولة إنما يحتضنها البنك المركزي عادة ليتم من خلال ذلك الإشراف على ميزانية كل الوزارات والدوائر المرتبطة بالدولة مالياً ، والإيراد الخارجي سواء أكان لتجارة خارجية أو داخلية أو مشتركة ، وسواء أكان لتسلم مبيعات الدولة نفسها من النفط والمعادن والحبوب وموارد الاقتصاد الأخرى ، فإنما يتم تحويلها وإيداعها لدى بنوك الدولة ومصارفها ، سواء أكانت مباشرة أو بطريق وسيط تجاري أو مالي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وشؤون الاقتصاد الوطني لا يرتبط بالدولة وحدها ، وإنما يشاركها في بنائه رأس المال التجاري في القطاع الخاص من التجار والكسبة ، وهؤلاء يرتبطون ارتباطاً مباشراً من حيث الفرض والإيداع والاعتمادات ، ومعاملات البضائع المستوردة والمصدرة ، والكفالات ، وبيع السهام والسندات ، والتحويل الخارجي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والحوالات الداخلية ، وتحصيل الكمبيالات وخصمها ، والسحب على المكشوف ، وأضراب هذه الأصناف المتنوعة ، وهذا يعني الحاجة الماسة إلى المصارف والبنوك على المستوى الدولي والمستوى الشعبي ، والمستوى التجاري داخلياً وخارجياً ، يضاف إلى هذا ظروف الحياة المالية الأخرى في شراء أوراق اليانصيب وبيعها ، وعقود التأمين وإبرامها ، وإخلاء المحلات التجارية ، وأموال الأجانب ، وسوى ذلك من إفرازات الحياة المالية ، مما يعني تنظيم ذلك في النظر الشرعي ، وتصحيح جملة من المعاملات فقهياً ، ولقد نهد سيدنا العالم الموسوعي السيد السيستاني مد ظله العالي بوضع النقاط على الحروف في مثل هذه الطروحات بما لا مزيد عليه ، وأنا ميسرها للقارىء من مظانها</w:t>
      </w:r>
      <w:r>
        <w:rPr>
          <w:rFonts w:eastAsia="Amiri" w:cs="Amiri" w:ascii="Amiri" w:hAnsi="Amiri"/>
          <w:color w:val="111111"/>
          <w:sz w:val="28"/>
          <w:szCs w:val="28"/>
          <w:rtl w:val="true"/>
          <w:lang w:bidi="ar-SA"/>
        </w:rPr>
        <w:t xml:space="preserve">. </w:t>
      </w:r>
      <w:bookmarkStart w:id="56" w:name="pg18924_201732"/>
    </w:p>
    <w:p>
      <w:pPr>
        <w:pStyle w:val="Heading4"/>
        <w:numPr>
          <w:ilvl w:val="3"/>
          <w:numId w:val="1"/>
        </w:numPr>
        <w:rPr/>
      </w:pPr>
      <w:bookmarkStart w:id="57" w:name="__RefHeading___Toc15922592_1280447820"/>
      <w:bookmarkStart w:id="58" w:name="_Toc19"/>
      <w:bookmarkEnd w:id="56"/>
      <w:bookmarkEnd w:id="57"/>
      <w:r>
        <w:rPr>
          <w:rtl w:val="true"/>
        </w:rPr>
        <w:t>(</w:t>
      </w:r>
      <w:r>
        <w:rPr/>
        <w:t>1</w:t>
      </w:r>
      <w:r>
        <w:rPr>
          <w:rtl w:val="true"/>
        </w:rPr>
        <w:t xml:space="preserve">) </w:t>
      </w:r>
      <w:r>
        <w:rPr>
          <w:rtl w:val="true"/>
        </w:rPr>
        <w:t xml:space="preserve">الاقتراض </w:t>
      </w:r>
      <w:r>
        <w:rPr>
          <w:rtl w:val="true"/>
        </w:rPr>
        <w:t xml:space="preserve">- </w:t>
      </w:r>
      <w:r>
        <w:rPr>
          <w:rtl w:val="true"/>
        </w:rPr>
        <w:t>الإيداع</w:t>
      </w:r>
      <w:bookmarkEnd w:id="58"/>
    </w:p>
    <w:p>
      <w:pPr>
        <w:pStyle w:val="BookText"/>
        <w:rPr/>
      </w:pPr>
      <w:r>
        <w:rPr>
          <w:rFonts w:ascii="Amiri" w:hAnsi="Amiri" w:eastAsia="Amiri" w:cs="Amiri"/>
          <w:color w:val="111111"/>
          <w:sz w:val="28"/>
          <w:sz w:val="28"/>
          <w:szCs w:val="28"/>
          <w:rtl w:val="true"/>
          <w:lang w:bidi="ar-SA"/>
        </w:rPr>
        <w:t xml:space="preserve">المصارف والبنوك على ثلاثة أصناف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يتكوّن رأس ماله من مال شخص واحد أو أشخاص مشتركين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رأس ماله مكوّناً من أموال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تشترك الدولة والأهالي في تكوين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الاقتراض من البنوك الأهلية بشرك دفع الزيادة لأنّه رباً محرّم ، ولو اقترض كذلك صحّ القرض وبطل الشرط ، ويحرم دفع الزيادة وأخذها وقاءً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للتخلّص من الربا طرق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المقترض من صاحب البنك أو من وكيله المفوّض بضاعة بأكثر من قيمتها الواقعية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p>
    <w:p>
      <w:pPr>
        <w:pStyle w:val="BookText"/>
        <w:rPr/>
      </w:pPr>
      <w:r>
        <w:rPr>
          <w:rFonts w:ascii="Amiri" w:hAnsi="Amiri" w:eastAsia="Amiri" w:cs="Amiri"/>
          <w:color w:val="111111"/>
          <w:sz w:val="28"/>
          <w:sz w:val="28"/>
          <w:szCs w:val="28"/>
          <w:rtl w:val="true"/>
          <w:lang w:bidi="ar-SA"/>
        </w:rPr>
        <w:t xml:space="preserve">بشرط أن يقرضه مبلغاً معيّناً من النقد لمدّة معلومة يتّفقان عليها ، أو يبيعه متاعاً بأقلّ من قيمته السوقية ويشترط عليه في ضمن المعاملة أن يقرضه مبلغاً عيّناً لمدّة معلومة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الاقتراض عندئذٍ ولا 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يخلو عن إشكال ، والأحوط لزوماً الاجتناب عنه ، ومثله الحال في الهبة والإجارة والصلح بشرط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جعل القرض شرطاً في المعاملة المحاباتية جعل الإمهال في أداء الدين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القرض بالبيع ، كأن يبيع البنك مبلغاً معيّناً كمائة دينار بأزيد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وعشرين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نسيئة لمدّة شهرين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وإن لم يكن قرضاً ربوياً على التحقيق ، غير إنّ صحّته بيعاً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مانع من أن يبيع البنك مبلغاً كمائة دينار نسيئة إلى شهرين مثلاً ، ويجعل الثمن المؤجّل عملة أُخرى تزيد قيمتها على المائة دينار بموجب أسعار صرف العملات بمقدار ما تزيد المائة والعشرون على المائة ، وفي نهاية المدّة يمكن أن يأخذ البنك من المشتري العملة المقرّرة أو ما يساويها من الدنانير ، ليكون من الوفاء بغير الجنس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البنك بضاعة بمبلغ كمائة وعشرين ديناراً نسيئة لمدّة شهرين مثلاً ، ثم يشتريها من المشتري نقداً بما ينقص عنها كمائة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أيضاً لا يصحّ إذا اشترط في البيع الأول قيام البنك بشراء البضاعة نقداً بالأقلّ من ثمنه نسيئة ولو بإيقاع العقد مبنيّاً على ذلك ، وأمّا مع خلوّه عن الشرط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هذه الطرق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تحقّق للبنك غرضاً أساسياً وهو استحقاق مطالبة المدين بمبلغ زائد لو تأخّر عن أداء دينه عند نهاية الأجل وازدياده كلّما زاد التأخير ، فإنّ أخذ الفائدة بإزاء التأخير في الدفع يكون من الربا المحرّم ولو كان ذلك بصيغة جعله شرطاً في ضمن عقد البيع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الاقتراض من البنوك الحكومية بشرط دفع الزيادة ، لأنّه ربا ، بلا فرق بين كون الاقتراض مع الرهن أو بدونه ، ولو اقترض كذلك بطل القرض والشرط معاً ، لأنّ البنك لا يملك ما تحت يده من المال ليملّكه للمقترض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وللتخلّص من ذلك يجوز للشخص أن يقبض المال من البنك بعنوان مجهول المالك لا بقصد الاقتراض ، والأحوط أن يكون ذلك بإذن الحاكم الشرعي ، ثم يتصرّف فيه بعد المراجعة إليه لإصلاحه ، ولا يضرّه العلم بأنّ البنك سوف يستوفي منه أصل المال والزيادة قهراً ، فلو طالبه البنك جاز له الدفع حيث لا يسعه التخلّف عن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الايداع في البنوك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إقراضها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اشتراط الحصول على الزيادة ، بمعنى عدم إناطة القرض بالتزام البنك بدفع الزيادة ، لا بمعنى أن يبني في نفسه على أنّ البنك لو لم يدفع الزيادة لم يطالبه منها ، فإنّ البناء على المطالبة </w:t>
      </w:r>
    </w:p>
    <w:p>
      <w:pPr>
        <w:pStyle w:val="BookText"/>
        <w:rPr/>
      </w:pPr>
      <w:r>
        <w:rPr>
          <w:rFonts w:ascii="Amiri" w:hAnsi="Amiri" w:eastAsia="Amiri" w:cs="Amiri"/>
          <w:color w:val="111111"/>
          <w:sz w:val="28"/>
          <w:sz w:val="28"/>
          <w:szCs w:val="28"/>
          <w:rtl w:val="true"/>
          <w:lang w:bidi="ar-SA"/>
        </w:rPr>
        <w:t>يجتمع مع عدم الاشتراط ، كما يجتمع البناء على عدم المطالبة مع الاشتراط ، فأحدهما أجنبي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الإيداع في البنوك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إقراضها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شرط الزيادة ، ولو فعل ذلك صحّ الإيداع وبطل الشرط ، فإذا قام البنك بدفع الزيادة لم تدخل في ملكه ، ولكن يجوز له التصرّف فيها إذا كان واثقاً من رضا أصحابه بذلك حتى على تقدير علمهم بفساد الشرط وعدم استحقاقه للزيادة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الإيداع في البنوك الحكومية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إقراضها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اشتراط الحصول على الزيادة ، فإنّه ربا ، بل إعطاء المال إليها ولو من دون شرط الزيادة بمنزلة الإتلاف له شرعاً ، لإنّ ما يمكن استرجاعه من البنك ليس هو مال البنك ، بل من المال المجهول مالكه ، وعلى ذلك يشكل إيداع الأرباح والفوائد التي يجنيها الشخص أثناء سنته في البنوك الحكومية قبل إخراج الخمس منها ، لأنّه مأذون في صرفه في مؤونته وليس مأذونا في إتلافه ، فلو أتلفه ضمنه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الإيداع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الإيداع الثابت الذي له أمد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البنك غير ملزم بوضع المال تحت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الإيداع 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بالحساب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البنك ملزماً بوضع المال تحت الطلب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تشترك البنوك المشتركة مع البنوك الحكومية فيما تقدّم من الأحكام ، لأنّ الأموال الموجودة لديها يتعامل معها </w:t>
      </w:r>
    </w:p>
    <w:p>
      <w:pPr>
        <w:pStyle w:val="BookText"/>
        <w:rPr/>
      </w:pPr>
      <w:r>
        <w:rPr>
          <w:rFonts w:ascii="Amiri" w:hAnsi="Amiri" w:eastAsia="Amiri" w:cs="Amiri"/>
          <w:color w:val="111111"/>
          <w:sz w:val="28"/>
          <w:sz w:val="28"/>
          <w:szCs w:val="28"/>
          <w:rtl w:val="true"/>
          <w:lang w:bidi="ar-SA"/>
        </w:rPr>
        <w:t>معاملة مجهول المالك ، فلا يجوز التصرّف فيها من دون مراجعة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كان حكم الإيداع والاقتراض من البنوك الأهلية والحكومية في الدول الإسلامية ، وأمّا البنوك التي يقوم غير محترمي المال من الكفّار بتمويلها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كانت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الإيداع فيها بشرط الحصول على الفائدة ، لجواز أخذ الربا منهم على الأظهر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الاقتراض منها بشرط دفع الزيادة فهو حرام ، ويمكن التخلّص منه بقبض المال من البنك لا بقصد الاقتراض بل استنقاذاً ، فيجوز له التصرّف فيه بلا حاجة إلى مراجعة الحاكم الشرعي</w:t>
      </w:r>
      <w:r>
        <w:rPr>
          <w:rFonts w:eastAsia="Amiri" w:cs="Amiri" w:ascii="Amiri" w:hAnsi="Amiri"/>
          <w:color w:val="111111"/>
          <w:sz w:val="28"/>
          <w:szCs w:val="28"/>
          <w:rtl w:val="true"/>
          <w:lang w:bidi="ar-SA"/>
        </w:rPr>
        <w:t xml:space="preserve">. </w:t>
      </w:r>
      <w:bookmarkStart w:id="59" w:name="pg18924_201740"/>
    </w:p>
    <w:p>
      <w:pPr>
        <w:pStyle w:val="Heading4"/>
        <w:numPr>
          <w:ilvl w:val="3"/>
          <w:numId w:val="1"/>
        </w:numPr>
        <w:rPr/>
      </w:pPr>
      <w:bookmarkStart w:id="60" w:name="__RefHeading___Toc15922594_1280447820"/>
      <w:bookmarkStart w:id="61" w:name="_Toc20"/>
      <w:bookmarkEnd w:id="59"/>
      <w:bookmarkEnd w:id="60"/>
      <w:r>
        <w:rPr>
          <w:rtl w:val="true"/>
        </w:rPr>
        <w:t>(</w:t>
      </w:r>
      <w:r>
        <w:rPr/>
        <w:t>2</w:t>
      </w:r>
      <w:r>
        <w:rPr>
          <w:rtl w:val="true"/>
        </w:rPr>
        <w:t xml:space="preserve">) </w:t>
      </w:r>
      <w:r>
        <w:rPr>
          <w:rtl w:val="true"/>
        </w:rPr>
        <w:t>الاعتمادات</w:t>
      </w:r>
      <w:bookmarkEnd w:id="61"/>
    </w:p>
    <w:p>
      <w:pPr>
        <w:pStyle w:val="BookText"/>
        <w:rPr/>
      </w:pPr>
      <w:r>
        <w:rPr>
          <w:rFonts w:ascii="Amiri" w:hAnsi="Amiri" w:eastAsia="Amiri" w:cs="Amiri"/>
          <w:color w:val="111111"/>
          <w:sz w:val="28"/>
          <w:sz w:val="28"/>
          <w:szCs w:val="28"/>
          <w:rtl w:val="true"/>
          <w:lang w:bidi="ar-SA"/>
        </w:rPr>
        <w:t xml:space="preserve">الاعتماد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 الاستيراد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من يريد استيراد بضاعة أجنبية يتقدّم إلى البنك بطلب فتح اعتماد يتعهّد البنك بموجبه بتسلّم مستندات البضاعة المستوردة وتسليمها إلى فاتح الاعتماد وتسديد ثمنها إلى الجهة المصدّرة ، وذلك بعد تمامية المعاملة بين المستورد والمصدّر مراسلة أو بمراجعة الوكيل الموجود في البلد ، وإرسال القوائم المحدّدة لنوعية البضاعة كماً وكيفاً حسب الشروط والمواصفات المتّفق عليها ، وقيام المستورد بدفع قسم من ثمن البضاعة إلى البنك ، فإنه بعد هذه المراحل يقوم البنك بتسلّم مستندات البضائع وأداء ثمنها إلى الجهة المصدّرة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يختلف عن اعتماد الاستيراد إلاّ في الاسم ، فمن يريد تصدير بضاعة إلى الخارج يقوم المستورد الأجنبي بفتح اعتماد لدى البنك ليتعهّد البنك بموجبه بتسلّم مستندات البضاعة وتسديد ثمنها إلى البائع المصدّر بعد طيّ المراحل المشار إليها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فالنتيجة أنّ القسمين لا يختلفان في الحقيقة ، فالاعتماد سواء أكان للأستيراد أم للتصدير يقوم على أساس تعهد البنك للبائع بأداء دين المشتري وهو ثمن البضاعة المشتراة وتسلّم مستنداتها وتسليمها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 قسم آخر من الاعتماد ، وهو أنّ المصدرّ يقوم بإرسال قوائم البضاعة كماً وكيفاً إلى البنك أو فرعه في ذلك البلد دون معاملة مسبقة مع الجهة المستوردة ، والبنك بدوره يعرض تلك القوائم على تلك الجهة ، فإن قبلتها طلبت من البنك فتح اعتماد لها ، ثم يقوم بدور الوسيط إلى أن يتمّ تسليم البضاعة وقبض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فتح الاعتماد لدى البنوك بجميع الأقسام المذكورة ، كما يجوز للبنوك قيامها بما ذكر من الخدمات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يتقاضى البنك من فاتح الاعتماد نحوين من الفائدة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بإزاء خدماته له من التعهّد بأداء دينه والاتّصال بالمصدّر وتسلّم مستندات البضاعة وتسليمها إليها ، ونحو ذلك من الأعمال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النحو من الفائدة يجوز أخذه على أساس أنّه داخل في عقد الجعالة ، أي أنّ فاتح الاعتماد يعين للبنك جعلاً إزاء قيامه بالأعمال المذكورة ، ويمكن إدراجه في عقد الإجارة أيضاً مع توفّر شروط صحّته المذكورة في محلّها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فائدة على المبلغ الذي يقوم البنك بتسديده إلى الجهة المصدّرة من ماله الخاصّ لا من رصيد فاتح الاعتماد ، فإنّ البنك يأخذ فائدة نسبية على المبلغ المدفوع إزاء عدم مطالبة فاتح الاعتماد به إلى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يصحّح أخذ هذا النحو من الفائدة بأنّ البنك لا يقوم بعملية إقراض لفاتح الاعتماد ، ولا يدخل الثمن في ملكه بعقد القرض ليكون رباً ، بل يقوم بدفع دين فاتح الاعتماد بموجب طلبه وأمره ، وعليه فيكون ضمان فاتح الاعتماد ضمان غرامة بقانون الإتلاف ، لا ضمان قرض ليحرم أخذ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الواضح أنّ فاتح الاعتماد لا يضمن للبنك بطلبه أداء دينه إلاّ نفس مقدار الدين ، فأخذ الزيادة بإزاء إمهاله في دفعه يكون من 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عيّن فاتح الاعتماد للبنك إزاء قيامه بأداء دينه جُعلاً بمقدار أصل الدين الزيادة المقرّرة نسيئة لمدّة شهرين مثلاً ، اندرج ذلك في عقد الجُعالة ، وصحّته حينئذٍ لا تخلو عن وجه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ويمكن التخلّص من الربا في أخذ هذا النحو من الفائدة بوجه آخر ، وهو إدراجه في البيع ، فإنّ البنك يقوم بدفع ثمن البضاعة بالعملة الأجنبية إلى المصدّر ، فيمكن قيامه ببيع مقدار من العملة الأجنبية في ذمّة المستورد بما يعادله من عملة بلد المستورد مع إضافة الفائدة إليه ، وبما أنّ الثمن والمثمن يختلفان في الجنس فلا بأس به</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البنك أهلياً ، وأمّا إذا كان حكومياً أو مشتركاً فحيث إنّ البنك يسدّد دين فاتح الاعتماد من المال المجهول مالكه ، فلا يصير مديناً شرعاً للبنك بشيء ، فلا يكون التعهّد بأداء الزيادة إليه من قبيل التعهّد بدفع الربا المحرّم</w:t>
      </w:r>
      <w:r>
        <w:rPr>
          <w:rFonts w:eastAsia="Amiri" w:cs="Amiri" w:ascii="Amiri" w:hAnsi="Amiri"/>
          <w:color w:val="111111"/>
          <w:sz w:val="28"/>
          <w:szCs w:val="28"/>
          <w:rtl w:val="true"/>
          <w:lang w:bidi="ar-SA"/>
        </w:rPr>
        <w:t xml:space="preserve">. </w:t>
      </w:r>
      <w:bookmarkStart w:id="62" w:name="pg18924_201747"/>
    </w:p>
    <w:p>
      <w:pPr>
        <w:pStyle w:val="Heading4"/>
        <w:numPr>
          <w:ilvl w:val="3"/>
          <w:numId w:val="1"/>
        </w:numPr>
        <w:rPr/>
      </w:pPr>
      <w:bookmarkStart w:id="63" w:name="__RefHeading___Toc15922596_1280447820"/>
      <w:bookmarkStart w:id="64" w:name="_Toc21"/>
      <w:bookmarkEnd w:id="62"/>
      <w:bookmarkEnd w:id="63"/>
      <w:r>
        <w:rPr>
          <w:rtl w:val="true"/>
        </w:rPr>
        <w:t>(</w:t>
      </w:r>
      <w:r>
        <w:rPr/>
        <w:t>3</w:t>
      </w:r>
      <w:r>
        <w:rPr>
          <w:rtl w:val="true"/>
        </w:rPr>
        <w:t xml:space="preserve">) </w:t>
      </w:r>
      <w:r>
        <w:rPr>
          <w:rtl w:val="true"/>
        </w:rPr>
        <w:t>خزن البضائع</w:t>
      </w:r>
      <w:bookmarkEnd w:id="64"/>
    </w:p>
    <w:p>
      <w:pPr>
        <w:pStyle w:val="BookText"/>
        <w:rPr/>
      </w:pPr>
      <w:r>
        <w:rPr>
          <w:rFonts w:ascii="Amiri" w:hAnsi="Amiri" w:eastAsia="Amiri" w:cs="Amiri"/>
          <w:color w:val="111111"/>
          <w:sz w:val="28"/>
          <w:sz w:val="28"/>
          <w:szCs w:val="28"/>
          <w:rtl w:val="true"/>
          <w:lang w:bidi="ar-SA"/>
        </w:rPr>
        <w:t>قد يكون البنك وسيطاً في إيصال البضائع من المصدّر إلى المستورد ، فربّما يقوم بتخزينها على حساب المستورد ، كما إذا تمّ العقد بينه وبين المصدّر وقام البنك بتسديد ثمنها له ، فعند وصولها البضاعة يقوم البنك بتسليم مستنداتها للمستورد وإخباره بوصلها ، فإن تأخّر المستورد عن تسلّمها في الموعد المقرّر ، قام البنك بخزنها وحفظها على حساب المستورد إزاء أجر معيّن ، وقد يقوم بحفظها على حساب المصدّر ، كما إذا أرسل البضاعة إلى البنك دون عقد واتّفاق مسبق مع جهة مستوردة ، فعندئذٍ يقوم البنك بعرض قوائم البضاعة على الجهات المستوردة في البلد ، فإن لم يقبلوها حفظها على حساب المصدّر إزاء أجر معيّن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للبنك أخذ الأُجرة إزاء عملية التخزين في كلتا الصورتين المتقدّمتين إذا كان قيامه بها بطلب من المصدّر أو المستورد ، أو كان قد اشترط ذلك في ضمن عقد 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الشرط ارتكازياً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يستحقّ شيئاً</w:t>
      </w:r>
      <w:r>
        <w:rPr>
          <w:rFonts w:eastAsia="Amiri" w:cs="Amiri" w:ascii="Amiri" w:hAnsi="Amiri"/>
          <w:color w:val="111111"/>
          <w:sz w:val="28"/>
          <w:szCs w:val="28"/>
          <w:rtl w:val="true"/>
          <w:lang w:bidi="ar-SA"/>
        </w:rPr>
        <w:t xml:space="preserve">. </w:t>
      </w:r>
      <w:bookmarkStart w:id="65" w:name="pg18924_201748"/>
    </w:p>
    <w:p>
      <w:pPr>
        <w:pStyle w:val="Heading4"/>
        <w:numPr>
          <w:ilvl w:val="3"/>
          <w:numId w:val="1"/>
        </w:numPr>
        <w:rPr/>
      </w:pPr>
      <w:bookmarkStart w:id="66" w:name="__RefHeading___Toc15922598_1280447820"/>
      <w:bookmarkStart w:id="67" w:name="_Toc22"/>
      <w:bookmarkEnd w:id="65"/>
      <w:bookmarkEnd w:id="66"/>
      <w:r>
        <w:rPr>
          <w:rtl w:val="true"/>
        </w:rPr>
        <w:t>(</w:t>
      </w:r>
      <w:r>
        <w:rPr/>
        <w:t>4</w:t>
      </w:r>
      <w:r>
        <w:rPr>
          <w:rtl w:val="true"/>
        </w:rPr>
        <w:t xml:space="preserve">) </w:t>
      </w:r>
      <w:r>
        <w:rPr>
          <w:rtl w:val="true"/>
        </w:rPr>
        <w:t>بيع البضائع عند تخلف أصحابها عن تسلّمها</w:t>
      </w:r>
      <w:bookmarkEnd w:id="67"/>
    </w:p>
    <w:p>
      <w:pPr>
        <w:pStyle w:val="BookText"/>
        <w:rPr/>
      </w:pPr>
      <w:r>
        <w:rPr>
          <w:rFonts w:ascii="Amiri" w:hAnsi="Amiri" w:eastAsia="Amiri" w:cs="Amiri"/>
          <w:color w:val="111111"/>
          <w:sz w:val="28"/>
          <w:sz w:val="28"/>
          <w:szCs w:val="28"/>
          <w:rtl w:val="true"/>
          <w:lang w:bidi="ar-SA"/>
        </w:rPr>
        <w:t xml:space="preserve">إذا تخلّف صاحب البضاعة عن تسلّمها ودفع المبالغ المستحقّة للبنك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إعلان البنك وإنذاره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البنك ببيع البضاعة لاستيفاء حقّه من ثمنها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للبنك في الحالة المذكورة أن يقوم ببيع البضاعة ، كما يجوز للآخرين شراؤها ، لأنّ البنك وكيل من قبل أصحاب البضاعة في بيعها عند تخلّفهم عن دفع ما عليهم من بقيّة المبالغ المستحقّة له وتسلّم البضاعة ، وذلك بمقتضى الشرط الصريح أو الارتكازي الموجود في أمثال هذه الموارد ، فإذا جاز بيعها جاز شراؤها أيضاً</w:t>
      </w:r>
      <w:r>
        <w:rPr>
          <w:rFonts w:eastAsia="Amiri" w:cs="Amiri" w:ascii="Amiri" w:hAnsi="Amiri"/>
          <w:color w:val="111111"/>
          <w:sz w:val="28"/>
          <w:szCs w:val="28"/>
          <w:rtl w:val="true"/>
          <w:lang w:bidi="ar-SA"/>
        </w:rPr>
        <w:t xml:space="preserve">. </w:t>
      </w:r>
      <w:bookmarkStart w:id="68" w:name="pg18924_201750"/>
    </w:p>
    <w:p>
      <w:pPr>
        <w:pStyle w:val="Heading4"/>
        <w:numPr>
          <w:ilvl w:val="3"/>
          <w:numId w:val="1"/>
        </w:numPr>
        <w:rPr/>
      </w:pPr>
      <w:bookmarkStart w:id="69" w:name="__RefHeading___Toc15922600_1280447820"/>
      <w:bookmarkStart w:id="70" w:name="_Toc23"/>
      <w:bookmarkEnd w:id="68"/>
      <w:bookmarkEnd w:id="69"/>
      <w:r>
        <w:rPr>
          <w:rtl w:val="true"/>
        </w:rPr>
        <w:t>(</w:t>
      </w:r>
      <w:r>
        <w:rPr/>
        <w:t>5</w:t>
      </w:r>
      <w:r>
        <w:rPr>
          <w:rtl w:val="true"/>
        </w:rPr>
        <w:t xml:space="preserve">) </w:t>
      </w:r>
      <w:r>
        <w:rPr>
          <w:rtl w:val="true"/>
        </w:rPr>
        <w:t>الكفالة عند البنوك</w:t>
      </w:r>
      <w:bookmarkEnd w:id="70"/>
    </w:p>
    <w:p>
      <w:pPr>
        <w:pStyle w:val="BookText"/>
        <w:rPr/>
      </w:pPr>
      <w:r>
        <w:rPr>
          <w:rFonts w:ascii="Amiri" w:hAnsi="Amiri" w:eastAsia="Amiri" w:cs="Amiri"/>
          <w:color w:val="111111"/>
          <w:sz w:val="28"/>
          <w:sz w:val="28"/>
          <w:szCs w:val="28"/>
          <w:rtl w:val="true"/>
          <w:lang w:bidi="ar-SA"/>
        </w:rPr>
        <w:t>إذا تعهّد شخص أو أشخاص مشتركون لجهة حكومية أو غيرها بإنجاز مشروع ، كتأسيس مدرسة أو مستشفى أو جسر أو نحوها ، فتمّ الاتّفاق بينهما على ذلك ، فإنّ المتعهّد له قد يشترط على المتعهّد دفع مبالغ من المال في حالة عدم إنجاز المشروع وإتمامه في الوقت المقرّر عوضاً عن الخسائر التي قد تصيبه ، ولكي يطمئنّ المتعهّد له بذلك يطالب المتعهّد بكفيل على هذا ، وفي هذه الحالة يرجع المتعهّد والمقاول إلى البنك ليصدر له مستند ضمان يتكفّل فيه للمتعهّد له بأداء مبالغ التعويض إذا امتنع المقاول المتعهّد عن دفعها بعد تخلّفه عن القيام بإنجاز المشروع في الموعد المقرّر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تعهّد البنك للجهة صاحبة المشروع بأداء المبالغ المطلوبة على تقدير امتناع المقاول عن أدائها نحوٌ من الكفالة المالية في مقابل الكفالة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التعهّد لشخص بإحضار شخص آخر له حقّ عليه عند طلبه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وتفترق الكفالة المالية عن الضمان في أنّ الضامن تشتغل ذمّته للمضمون له بنفس الدين المضمون ، فلو مات قبل وفاته أخرج من تركته مقدّماً على الإرث ، وأمّا الكفيل المالي فلا تشتغل ذمّته للمكفول له بنفس المال ، بل بأدائه إليه ، فلو مات قبل ذلك لم يُخرج من تركته شيءٌ إلاّ بوصيّة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عقد الكفالة بإيجاب من الكفيل بكلّ ما يدلّ على تعهّده والتزامه ، من قول أو كتابة أو فعل ، وبقبول من المكفول له بكل ما يدلّ على 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للبنك أن يأخذ عمولة معيّنة من المقاول المتعهّد لإنجاز المشروع إزاء كفالته وتعهّده ، ويمكن تخريج ذلك من باب الجعالة بأن يعيّن المقاول العمولة المطلوبة جُعلاً للبنك على قيامه بعمل الكفالة فيحلّ له أخذها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تخلّف المقاول عن إنجاز المشروع في المدّة المقررة ، وامتنع عن دفع المبالغ المطلوبة إلى المتعهد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البنك بدفعها إليه ، فهل يحقّ للبنك الرجوع بها على المقاول أم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يحقّ له ذلك ، لأنّ تعهّد البنك وكفالته كان بطلب من المقاول ، فهو ضامن لما يخسره البنك بمقتضى تعهّده ، فيحقّ له أن يرجع إلهي ويطالبه به</w:t>
      </w:r>
      <w:r>
        <w:rPr>
          <w:rFonts w:eastAsia="Amiri" w:cs="Amiri" w:ascii="Amiri" w:hAnsi="Amiri"/>
          <w:color w:val="111111"/>
          <w:sz w:val="28"/>
          <w:szCs w:val="28"/>
          <w:rtl w:val="true"/>
          <w:lang w:bidi="ar-SA"/>
        </w:rPr>
        <w:t xml:space="preserve">. </w:t>
      </w:r>
      <w:bookmarkStart w:id="71" w:name="pg18924_201753"/>
    </w:p>
    <w:p>
      <w:pPr>
        <w:pStyle w:val="Heading4"/>
        <w:numPr>
          <w:ilvl w:val="3"/>
          <w:numId w:val="1"/>
        </w:numPr>
        <w:rPr/>
      </w:pPr>
      <w:bookmarkStart w:id="72" w:name="__RefHeading___Toc15922602_1280447820"/>
      <w:bookmarkStart w:id="73" w:name="_Toc24"/>
      <w:bookmarkEnd w:id="71"/>
      <w:bookmarkEnd w:id="72"/>
      <w:r>
        <w:rPr>
          <w:rtl w:val="true"/>
        </w:rPr>
        <w:t>(</w:t>
      </w:r>
      <w:r>
        <w:rPr/>
        <w:t>6</w:t>
      </w:r>
      <w:r>
        <w:rPr>
          <w:rtl w:val="true"/>
        </w:rPr>
        <w:t xml:space="preserve">) </w:t>
      </w:r>
      <w:r>
        <w:rPr>
          <w:rtl w:val="true"/>
        </w:rPr>
        <w:t>بيع السهام</w:t>
      </w:r>
      <w:bookmarkEnd w:id="73"/>
    </w:p>
    <w:p>
      <w:pPr>
        <w:pStyle w:val="BookText"/>
        <w:rPr/>
      </w:pPr>
      <w:r>
        <w:rPr>
          <w:rFonts w:ascii="Amiri" w:hAnsi="Amiri" w:eastAsia="Amiri" w:cs="Amiri"/>
          <w:color w:val="111111"/>
          <w:sz w:val="28"/>
          <w:sz w:val="28"/>
          <w:szCs w:val="28"/>
          <w:rtl w:val="true"/>
          <w:lang w:bidi="ar-SA"/>
        </w:rPr>
        <w:t>قد تطالب الشركات المساهمة وساطة البنك في بيع الأسهم التي تمتلكها ، ويقوم البنك بدور الوسيط في عملية بيعها وتصريفها إزاء عمولة معيّنة بعد الاتّفاق بينه وبين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هذه المعاملة مع البنك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دخولها إمّا في الإجارة ، بمعنى أنّ الشركة تستأجر البنك للقيام بهذا الدور إزاء أجرة معينة ، وإمّا في الجعالة على ذلك ، وعلى كل التقديرين فالمعاملة صحيحة ، ويستحقّ البنك الأُجرة إزاء قيامه بالعمل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بيع هذه الأسهم وشراؤها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كانت معاملات الشركة المساهمة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تتاجر بالخمور أو تتعامل بالربا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شراء أسهمها والاشتراك في تلك المعاملات</w:t>
      </w:r>
      <w:r>
        <w:rPr>
          <w:rFonts w:eastAsia="Amiri" w:cs="Amiri" w:ascii="Amiri" w:hAnsi="Amiri"/>
          <w:color w:val="111111"/>
          <w:sz w:val="28"/>
          <w:szCs w:val="28"/>
          <w:rtl w:val="true"/>
          <w:lang w:bidi="ar-SA"/>
        </w:rPr>
        <w:t xml:space="preserve">. </w:t>
      </w:r>
      <w:bookmarkStart w:id="74" w:name="pg18924_201755"/>
    </w:p>
    <w:p>
      <w:pPr>
        <w:pStyle w:val="Heading4"/>
        <w:numPr>
          <w:ilvl w:val="3"/>
          <w:numId w:val="1"/>
        </w:numPr>
        <w:rPr/>
      </w:pPr>
      <w:bookmarkStart w:id="75" w:name="__RefHeading___Toc15922604_1280447820"/>
      <w:bookmarkStart w:id="76" w:name="_Toc25"/>
      <w:bookmarkEnd w:id="74"/>
      <w:bookmarkEnd w:id="75"/>
      <w:r>
        <w:rPr>
          <w:rtl w:val="true"/>
        </w:rPr>
        <w:t>(</w:t>
      </w:r>
      <w:r>
        <w:rPr/>
        <w:t>7</w:t>
      </w:r>
      <w:r>
        <w:rPr>
          <w:rtl w:val="true"/>
        </w:rPr>
        <w:t xml:space="preserve">) </w:t>
      </w:r>
      <w:r>
        <w:rPr>
          <w:rtl w:val="true"/>
        </w:rPr>
        <w:t>بيع السندات</w:t>
      </w:r>
      <w:bookmarkEnd w:id="76"/>
    </w:p>
    <w:p>
      <w:pPr>
        <w:pStyle w:val="BookText"/>
        <w:rPr/>
      </w:pPr>
      <w:r>
        <w:rPr>
          <w:rFonts w:ascii="Amiri" w:hAnsi="Amiri" w:eastAsia="Amiri" w:cs="Amiri"/>
          <w:color w:val="111111"/>
          <w:sz w:val="28"/>
          <w:sz w:val="28"/>
          <w:szCs w:val="28"/>
          <w:rtl w:val="true"/>
          <w:lang w:bidi="ar-SA"/>
        </w:rPr>
        <w:t xml:space="preserve">السندات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صكوك تصدرها جهات مخوّلة قانوناً بقيمة اسمية معيّنة مؤجّلة إلى مدّة معلومة ، وتبيعها بالأقلّ منها ، مثلاً يبيع السند الذي قيمته الاسمية مائة دينار بخمسة وتسعين ديناراً نقداً على أن يؤدّي المائة بعد سنة مثلاً ، وقد تتولّى البنوك عملية البيع ، وتأخذ على ذلك عمولة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المعاملة يمكن أن تقع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تقترض الجهة التي تصدر السند ممّن يشتريه مبلغ خمسة وتسعين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 إليه مائة دينار في نهاية المدّة المحدّدة وفاءً لدينه مع اعتبار الخمسة دنانير الزائدة على القرض ، وهذا رباً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تبيع الجهة التي تصدر السند مائة دينار مؤجّلة الدفع إلى سنة مثلاً بخمسة وتسعين ديناراً نقداً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لم يكن قرضاً ربوياً على التحقيق ، ولكنّ صحّته بيعاً محلّ إشكال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فالنتيجة أنّه لا يمكن تصحيح بيع السندات المذكورة التي تتعامل بها الجهات الرسمية وغيرها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للبنوك التوسّط في بيع السندات وشرائها ، كما لا يجوز لها أخذ العمولة على ذلك</w:t>
      </w:r>
      <w:r>
        <w:rPr>
          <w:rFonts w:eastAsia="Amiri" w:cs="Amiri" w:ascii="Amiri" w:hAnsi="Amiri"/>
          <w:color w:val="111111"/>
          <w:sz w:val="28"/>
          <w:szCs w:val="28"/>
          <w:rtl w:val="true"/>
          <w:lang w:bidi="ar-SA"/>
        </w:rPr>
        <w:t xml:space="preserve">. </w:t>
      </w:r>
      <w:bookmarkStart w:id="77" w:name="pg18924_201758"/>
    </w:p>
    <w:p>
      <w:pPr>
        <w:pStyle w:val="Heading4"/>
        <w:numPr>
          <w:ilvl w:val="3"/>
          <w:numId w:val="1"/>
        </w:numPr>
        <w:rPr/>
      </w:pPr>
      <w:bookmarkStart w:id="78" w:name="__RefHeading___Toc15922606_1280447820"/>
      <w:bookmarkStart w:id="79" w:name="_Toc26"/>
      <w:bookmarkEnd w:id="77"/>
      <w:bookmarkEnd w:id="78"/>
      <w:r>
        <w:rPr>
          <w:rtl w:val="true"/>
        </w:rPr>
        <w:t>(</w:t>
      </w:r>
      <w:r>
        <w:rPr/>
        <w:t>8</w:t>
      </w:r>
      <w:r>
        <w:rPr>
          <w:rtl w:val="true"/>
        </w:rPr>
        <w:t xml:space="preserve">) </w:t>
      </w:r>
      <w:r>
        <w:rPr>
          <w:rtl w:val="true"/>
        </w:rPr>
        <w:t>الحوالات الداخلية والخارجية</w:t>
      </w:r>
      <w:bookmarkEnd w:id="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الحوالة في المصطلح الفقهي تقتضي نقل الدين من ذمّة المُحيل إلى ذمّة المحال عليه ،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الأعمّ من ذلك ، وفيما يلي نماذج للحوالات المصرفية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البنك صكّاً لعملية بتسلّم المبلغ من وكيله في الداخل أو الخارج على حسابه إذا كان له رصيد مالي في البنك ، وعندئذ يأخذ البنك منه عمولة معيّنة إزاء قيامه بهذا الدور ، والظاهر جواز أخذه هذه العمولة ، لأنّ للبنك حقّ الامتناع عن قبول وفاء دينه في غير مكان القرض ، فيجوز له أخذ عمولة إزاء تنازله عن هذا الحقّ وقبول وفاء دينه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يصدر البنك صكّاً لشخص يحقّ له بموجبه أن يتسلّم مبلغاً عيناً من بنك آخر في الداخل أو الخارج بعنوان الاقتراض منه ، نظراً لعدم وجود رصيد مالي للشخص عنده ، ويأخذ البنك عمولة معيّنة إزاء قيامه بهذا العمل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يجوز للبنك أخذ العمولة على إصداره صكّاً من </w:t>
      </w:r>
    </w:p>
    <w:p>
      <w:pPr>
        <w:pStyle w:val="BookText"/>
        <w:rPr/>
      </w:pPr>
      <w:r>
        <w:rPr>
          <w:rFonts w:ascii="Amiri" w:hAnsi="Amiri" w:eastAsia="Amiri" w:cs="Amiri"/>
          <w:color w:val="111111"/>
          <w:sz w:val="28"/>
          <w:sz w:val="28"/>
          <w:szCs w:val="28"/>
          <w:rtl w:val="true"/>
          <w:lang w:bidi="ar-SA"/>
        </w:rPr>
        <w:t>هذا القبيل إذا كان مردّه إلى أخذ الجعل على توكيل البنك الثاني في إقراض حامل الصك المبلغ المذكور فيه من أموال البنك الأوّل الموجودة لديه ، فليس هو من قبيل أخذ الجعل على الإقراض نفسه ليكون حراماً ، بل من قبيل أخذ الجعل على التوكيل في الاقراض فلا يكون الإلزام بدفع الجعل مرتبطاً بعملية الإقراض نفسها ، بل بالتوكيل فيها ، فلا يكون به بأس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المبلغ المذكور في الصكّ إذا كان من العملة الأجنبية فيحدث للبنك حقّ ، وهو أنّ المدين حيث اشتغلت ذمّته بالعملة المذكورة فله إلزامه بالوفاء بنفس العملة ، فلو تنازل عن حقّه هذا وقبل الوفاء بالعملة المحلّية جاز له أخذ شيء منه إزاء هذا التنازل ، كما أنّ له تبديلها بالعملة المحلّية مع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الشخص مبلغاً معيّناً من المال إلى البنك في النجف الأشرف مثلاً ، ويأُخذ تحويلاً بالمبلغ أو بما يعادل على بنك آخر في الداخل كبغداد ، أو الخارج كلبنان أو دمشق مثلاً ، ويأخذ البنك إزاء قيامه بعملية التحويل عملة معيّنة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يمكن أن يقع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الشخص مبلغاً معيّناً من العملة المحلّية على البنك بمبلغ من العملة الأجنبية تعادل المبلغ الأول مع إضافة عمولة التحويل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بأس به كما سبق نظيره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الشخص بإقراض البنك مبلغاً معيّناً ويشترط </w:t>
      </w:r>
    </w:p>
    <w:p>
      <w:pPr>
        <w:pStyle w:val="BookText"/>
        <w:rPr/>
      </w:pPr>
      <w:r>
        <w:rPr>
          <w:rFonts w:ascii="Amiri" w:hAnsi="Amiri" w:eastAsia="Amiri" w:cs="Amiri"/>
          <w:color w:val="111111"/>
          <w:sz w:val="28"/>
          <w:sz w:val="28"/>
          <w:szCs w:val="28"/>
          <w:rtl w:val="true"/>
          <w:lang w:bidi="ar-SA"/>
        </w:rPr>
        <w:t>عليه تحويله إلى بنك آخر في الداخل أو الخارج مع عمولة معينة بإزاء عملية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بأس به أيضاً ، لأنّ التحويل وإن كان عملاً محترماً له مالية عند العقلاء ، فيكون اشتراط القيام به على المقترض من قبيل اشتراط النفع الملحوظ فيه المال المحرّم شرعاً ، إلاّ أنّ المستفاد من النصوص الخاصة الدالّة على جواز اشتراط المقرض على المقترض قيامه بأداء القرض في مكان آخر ، جواز اشتراط التحويل أيضاً ، فإذا كان يجوز اشتراطه مجّاناً وبلا مقابل ، فيجوز اشتراطه بإزاء عمولة معيّنة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الشخص مبلغاً معيّناً من البنك في النجف الأشرف مثلاً ، ويحوّل البنك بدله على بنك آخر في الداخل أو الخارج ، ويأخذ البنك الأول إزاء قبوله الحوالة عمولة معيّنة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يقع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البنك على الشخص مبلغاً من العملة المحلّية بمبلغ من العملة الأجنبية تعادل المبلغ الأول مع إضافة عمولة التحويل إليه ، فيحوّله المشتري إلى البنك الثاني لا ستلام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جائز كما سبق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يقرضه البنك مبلغاً معيّناً ، ويشترط عليه دفع عمولة معيّنة إزاء قبوله بنقل القرض إلى ذمّة أُخرى وتسديده في بلد آخر ، وهذا رباً ، لأنّه من قبيل اشتراط دفع الزيادة في القرض وإن كنت بإزاء عملية التحويل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إذا وقع هذا من غير شرط مسبق بأن اقترض المبلغ من البنك أوّلاً ، ثم طلب منه تحويل قرضه إلى بنك آخر لاستيفائه منه ، فطلب البنك عمولة على قبوله ذلك جاز ، لأنّ من حقّ البنك الامتناع عن قبول ما ألزمه به المقترض من نقل القرض إلى ذمّة أُخرى وتسديده في بلد غير بلد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قبيل ما يأخذه المقرض بإزاء إبقاء القرض والإمهال فيه ليكون رباً ، بل هو ممّا يأخذه لكي يقبل بانتقال قرضه إلى ذمّة أُخرى وتسديده في مكان آخر ، فلا بأس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تنحلّ الحوالة إلى حوالتين ، كما إذا أحال المدين دائنه على البنك بإصدار صكّ لأمره ، وقام البنك بتحويل مبلغ الصكّ على فرع له في بلد الدائن ، أو على بنك آخر فيه يتسلّمه الدائن هناك ، فإنّ مردّ ذلك إلى حوالتين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حوالة المدين دائنه على البنك ، وبذلك يصبح البنك مديناً لدائنه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حوالة البنك دائنه على فرع له في بلد الدائن أو على بنك آخر 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ودور البنك في الحوالة الأُولى قبول الحوالة ، وفي الثانية إصدارها ، وكلتا الحوالتين صحيحة شرعاً ، ولكن إذا كانت حوالة البنك على فرع له يمثل نفس ذمّته ، لا تكون هذه حوالة بالمصطلح الفقهي ، إذ ليس فيها نقل الدين من ذمّة إلى أُخرى ، وإنما مرجعها إلى طلب البنك من وكيله في مكان آخر وفاء دينه في ذلك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 فيجوز للبنك أن يتقاضى عمولة على قيامه بما ذكر ، حتى بإزاء قبوله حوالة من له رصيد في البنك دائنه عليه ، لأنّها من قبيل الحوالة على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نفوذها من دون قبول المحال عليه ، فله أخذ العمولة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أقسام الحوالة وتخريجها الفقهي يجري بعينه في الحوالة على الأشخاص ، كي يدفع مبلغاً من المال لشخص ليحوّله بنفس المبلغ أو بما يعادله على شخص آخر في بلده أو بلد آخر ، ويأخذ بإزاء ذلك عمولة معيّة ، أو يأخذ من شخص ويحوله على شخص آخر ويأخذ المحول منه إزاء ذلك عمولة معيّنة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تقدّم بين أن تكون الحوالة على المدين أو على البريء ، والأول كما إذا كان للمحال عليه رصيد مالي ، والثاني ما لم يكن كذلك</w:t>
      </w:r>
      <w:r>
        <w:rPr>
          <w:rFonts w:eastAsia="Amiri" w:cs="Amiri" w:ascii="Amiri" w:hAnsi="Amiri"/>
          <w:color w:val="111111"/>
          <w:sz w:val="28"/>
          <w:szCs w:val="28"/>
          <w:rtl w:val="true"/>
          <w:lang w:bidi="ar-SA"/>
        </w:rPr>
        <w:t xml:space="preserve">. </w:t>
      </w:r>
      <w:bookmarkStart w:id="80" w:name="pg18924_201766"/>
    </w:p>
    <w:p>
      <w:pPr>
        <w:pStyle w:val="Heading4"/>
        <w:numPr>
          <w:ilvl w:val="3"/>
          <w:numId w:val="1"/>
        </w:numPr>
        <w:rPr/>
      </w:pPr>
      <w:bookmarkStart w:id="81" w:name="__RefHeading___Toc15922608_1280447820"/>
      <w:bookmarkStart w:id="82" w:name="_Toc27"/>
      <w:bookmarkEnd w:id="80"/>
      <w:bookmarkEnd w:id="81"/>
      <w:r>
        <w:rPr>
          <w:rtl w:val="true"/>
        </w:rPr>
        <w:t>(</w:t>
      </w:r>
      <w:r>
        <w:rPr/>
        <w:t>9</w:t>
      </w:r>
      <w:r>
        <w:rPr>
          <w:rtl w:val="true"/>
        </w:rPr>
        <w:t xml:space="preserve">) </w:t>
      </w:r>
      <w:r>
        <w:rPr>
          <w:rtl w:val="true"/>
        </w:rPr>
        <w:t>جوائز البنك</w:t>
      </w:r>
      <w:bookmarkEnd w:id="82"/>
    </w:p>
    <w:p>
      <w:pPr>
        <w:pStyle w:val="BookText"/>
        <w:rPr/>
      </w:pPr>
      <w:r>
        <w:rPr>
          <w:rFonts w:ascii="Amiri" w:hAnsi="Amiri" w:eastAsia="Amiri" w:cs="Amiri"/>
          <w:color w:val="111111"/>
          <w:sz w:val="28"/>
          <w:sz w:val="28"/>
          <w:szCs w:val="28"/>
          <w:rtl w:val="true"/>
          <w:lang w:bidi="ar-SA"/>
        </w:rPr>
        <w:t>قد يقوم البنك بعملية القرعة بين عملائه ، ويعطي لمن تصيبه القرعة مبلغاً من المال بعنوان الجائزة ترغيباً للإيداع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للبنك القيام بهذه العملية؟ فيه 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كان قيامه بها لا باشتراط عملائه عند إيداعهم لأموالهم في البنك ، بل يقصد تشويقهم وترغيبهم على تكثير رصيدهم لديه ، وترغيب الآخرين على فتح الحساب عنده ، جاز ذلك ، كما يجوز عندئذ لمن أصابته القرعة أن يقبض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الاستئذان من الحاكم الشرعي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مجهول المالك إذا كان البنك حكومياً أو مشتركاً ، ثم يتصرّف فيها بعد مراجعة الحاكم الشرعي لإصلاحها ، وإذا كان أهلياً جاز قبض الجائزة والتصرّف فيها بلا حاجة إلى مراجعة الحاكم الشرعي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قيام البنك بعملية القرعة ودفع الجائزة بعنوان الوفاء بالشرط الذي اشترطه عليه عملاؤه في ضمن عقد القرض أو نحوه ، فلا يجوز ذلك ، كما لا يجوز لمن أصابته القرعة أخذها بعنوان الوفاء بذلك الشرط ، ويجوز بدونه</w:t>
      </w:r>
      <w:r>
        <w:rPr>
          <w:rFonts w:eastAsia="Amiri" w:cs="Amiri" w:ascii="Amiri" w:hAnsi="Amiri"/>
          <w:color w:val="111111"/>
          <w:sz w:val="28"/>
          <w:szCs w:val="28"/>
          <w:rtl w:val="true"/>
          <w:lang w:bidi="ar-SA"/>
        </w:rPr>
        <w:t xml:space="preserve">. </w:t>
      </w:r>
      <w:bookmarkStart w:id="83" w:name="pg18924_201768"/>
    </w:p>
    <w:p>
      <w:pPr>
        <w:pStyle w:val="Heading4"/>
        <w:numPr>
          <w:ilvl w:val="3"/>
          <w:numId w:val="1"/>
        </w:numPr>
        <w:rPr/>
      </w:pPr>
      <w:bookmarkStart w:id="84" w:name="__RefHeading___Toc15922610_1280447820"/>
      <w:bookmarkStart w:id="85" w:name="_Toc28"/>
      <w:bookmarkEnd w:id="83"/>
      <w:bookmarkEnd w:id="84"/>
      <w:r>
        <w:rPr>
          <w:rtl w:val="true"/>
        </w:rPr>
        <w:t>(</w:t>
      </w:r>
      <w:r>
        <w:rPr/>
        <w:t>10</w:t>
      </w:r>
      <w:r>
        <w:rPr>
          <w:rtl w:val="true"/>
        </w:rPr>
        <w:t xml:space="preserve">) </w:t>
      </w:r>
      <w:r>
        <w:rPr>
          <w:rtl w:val="true"/>
        </w:rPr>
        <w:t>تحصيل الكمبيالات</w:t>
      </w:r>
      <w:bookmarkEnd w:id="85"/>
    </w:p>
    <w:p>
      <w:pPr>
        <w:pStyle w:val="BookText"/>
        <w:rPr/>
      </w:pPr>
      <w:r>
        <w:rPr>
          <w:rFonts w:ascii="Amiri" w:hAnsi="Amiri" w:eastAsia="Amiri" w:cs="Amiri"/>
          <w:color w:val="111111"/>
          <w:sz w:val="28"/>
          <w:sz w:val="28"/>
          <w:szCs w:val="28"/>
          <w:rtl w:val="true"/>
          <w:lang w:bidi="ar-SA"/>
        </w:rPr>
        <w:t xml:space="preserve">من الخدمات التي يقوم بها البنك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قيمة الكمبيالة لحساب عمليه ، فإنّه قبل تاريخ استحقاقها يخطر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ويشرح في إخطاره قيمتها ورقمها وتاريخ استحقاقها ليكون على علم ويتهيّأ للدفع ، وبعد التحصيل يقيّد القيمة في حساب العميل أو يدفعها إليه نقداً ، ويأخذ منه عمولة إزاء هذه الخدمة ، ومن هذا القبيل قيام البنك بتحصيل قيمة الصكّ لحامله من بلده أو من بلد آخر ، كما إذا لم يرغب الحامل تسلّم القيمة بنفسه من الجهة المحال عليها ، فيأخذ البنك منه عمولة إزاء قيامه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قيمة الكمبيالات وأخذ العمولة على ذلك يقع على أنحاء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يقدّم المستفيد كمبيالة إلى البنك غير محوّله عليه ويطلب من البنك تحصيل قيمتها إزاء عمولة معيّنة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جواز هذه الخدمة وأخذ العمولة بإزائها ، ولكن </w:t>
      </w:r>
    </w:p>
    <w:p>
      <w:pPr>
        <w:pStyle w:val="BookText"/>
        <w:rPr/>
      </w:pPr>
      <w:r>
        <w:rPr>
          <w:rFonts w:ascii="Amiri" w:hAnsi="Amiri" w:eastAsia="Amiri" w:cs="Amiri"/>
          <w:color w:val="111111"/>
          <w:sz w:val="28"/>
          <w:sz w:val="28"/>
          <w:szCs w:val="28"/>
          <w:rtl w:val="true"/>
          <w:lang w:bidi="ar-SA"/>
        </w:rPr>
        <w:t>بشرط أن يقتصر عمل البنك على تحصيل قيمة الكمبيالة فقط ، وأمّا تحصيل فوائدها الربوية فهو غير جائز ، ويمكن تخريج العمولة فقهياً بأنّها جعالة من الدائن للبنك على تحصيل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يقدّم المستفيد كمبيالة إلى البنك محوّلة عليه ، ولكن لم يكن مديناً لموقّعها ، أو كان مديناً له بعملة أُخرى غير ما أحال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يجوز للبنك أخذ عمولة إزاء قبوله هذه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المتقدّم في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القبول غير واجب على البريء وكذا على المدين بغير جنس الحوالة ، فحينئذ لا بأس بأخذ شيء مقابل التنازل عن حقّه هذا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يقدّم المستفيد كمبيالة إلى البنك محوّلة عليه ممّن لديه رصيد مالي لدى البنك ، وقد أشار فيها بتقديمها إلى البنك عند الاستحقاق ، ليقوم البنك بخصم قيمتها من حسابه الجاري وقيدها في حساب 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دفعها له نقداً ، فمردّ ذلك إلى أنّ الموقّع أحال دائنه على البنك المدين له ، فيكون ذلك من قبيل الحوالة على المدين ، والمختار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قبول 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الحوالة نافذة من دون قبوله ، وعليه فيجوز له أخذ عمولة إزاء قيامه بقبول الحوالة وتسديد دينه</w:t>
      </w:r>
      <w:r>
        <w:rPr>
          <w:rFonts w:eastAsia="Amiri" w:cs="Amiri" w:ascii="Amiri" w:hAnsi="Amiri"/>
          <w:color w:val="111111"/>
          <w:sz w:val="28"/>
          <w:szCs w:val="28"/>
          <w:rtl w:val="true"/>
          <w:lang w:bidi="ar-SA"/>
        </w:rPr>
        <w:t xml:space="preserve">. </w:t>
      </w:r>
      <w:bookmarkStart w:id="86" w:name="pg18924_201771"/>
    </w:p>
    <w:p>
      <w:pPr>
        <w:pStyle w:val="Heading4"/>
        <w:numPr>
          <w:ilvl w:val="3"/>
          <w:numId w:val="1"/>
        </w:numPr>
        <w:rPr/>
      </w:pPr>
      <w:bookmarkStart w:id="87" w:name="__RefHeading___Toc15922612_1280447820"/>
      <w:bookmarkStart w:id="88" w:name="_Toc29"/>
      <w:bookmarkEnd w:id="86"/>
      <w:bookmarkEnd w:id="87"/>
      <w:r>
        <w:rPr>
          <w:rtl w:val="true"/>
        </w:rPr>
        <w:t>(</w:t>
      </w:r>
      <w:r>
        <w:rPr/>
        <w:t>11</w:t>
      </w:r>
      <w:r>
        <w:rPr>
          <w:rtl w:val="true"/>
        </w:rPr>
        <w:t xml:space="preserve">) </w:t>
      </w:r>
      <w:r>
        <w:rPr>
          <w:rtl w:val="true"/>
        </w:rPr>
        <w:t>بيع العملات الأجنبية وشراؤها</w:t>
      </w:r>
      <w:bookmarkEnd w:id="88"/>
    </w:p>
    <w:p>
      <w:pPr>
        <w:pStyle w:val="BookText"/>
        <w:rPr/>
      </w:pPr>
      <w:r>
        <w:rPr>
          <w:rFonts w:ascii="Amiri" w:hAnsi="Amiri" w:eastAsia="Amiri" w:cs="Amiri"/>
          <w:color w:val="111111"/>
          <w:sz w:val="28"/>
          <w:sz w:val="28"/>
          <w:szCs w:val="28"/>
          <w:rtl w:val="true"/>
          <w:lang w:bidi="ar-SA"/>
        </w:rPr>
        <w:t xml:space="preserve">من أعمال البنوك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بشراء العملات الأجنبية وبيعها ، لغرض توفير القدر الكافي منها لتأمين حاجات عملائها ، ولا سيّما التجّار المستوردين للبضائع من الخارج ، وللحصول على الربح منه نتيجة الفرق بين أسعار الشراء والبيع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بيع العملات الأجنبية وشراؤها بقيمتها السوقية ، وبالأقل وبالأكثر ، بلا فرق في ذلك بين كون البيع أو الشراء حالاً أو موجّلاً ، فإنّ البنك كما يقوم بعملية العقود الحالّة يقوم بعملية العقود المؤجّلة</w:t>
      </w:r>
      <w:r>
        <w:rPr>
          <w:rFonts w:eastAsia="Amiri" w:cs="Amiri" w:ascii="Amiri" w:hAnsi="Amiri"/>
          <w:color w:val="111111"/>
          <w:sz w:val="28"/>
          <w:szCs w:val="28"/>
          <w:rtl w:val="true"/>
          <w:lang w:bidi="ar-SA"/>
        </w:rPr>
        <w:t xml:space="preserve">. </w:t>
      </w:r>
      <w:bookmarkStart w:id="89" w:name="pg18924_201772"/>
    </w:p>
    <w:p>
      <w:pPr>
        <w:pStyle w:val="Heading4"/>
        <w:numPr>
          <w:ilvl w:val="3"/>
          <w:numId w:val="1"/>
        </w:numPr>
        <w:rPr/>
      </w:pPr>
      <w:bookmarkStart w:id="90" w:name="__RefHeading___Toc15922614_1280447820"/>
      <w:bookmarkStart w:id="91" w:name="_Toc30"/>
      <w:bookmarkEnd w:id="89"/>
      <w:bookmarkEnd w:id="90"/>
      <w:r>
        <w:rPr>
          <w:rtl w:val="true"/>
        </w:rPr>
        <w:t>(</w:t>
      </w:r>
      <w:r>
        <w:rPr/>
        <w:t>12</w:t>
      </w:r>
      <w:r>
        <w:rPr>
          <w:rtl w:val="true"/>
        </w:rPr>
        <w:t xml:space="preserve">) </w:t>
      </w:r>
      <w:r>
        <w:rPr>
          <w:rtl w:val="true"/>
        </w:rPr>
        <w:t>السحب على المكشوف</w:t>
      </w:r>
      <w:bookmarkEnd w:id="91"/>
    </w:p>
    <w:p>
      <w:pPr>
        <w:pStyle w:val="BookText"/>
        <w:rPr/>
      </w:pPr>
      <w:r>
        <w:rPr>
          <w:rFonts w:ascii="Amiri" w:hAnsi="Amiri" w:eastAsia="Amiri" w:cs="Amiri"/>
          <w:color w:val="111111"/>
          <w:sz w:val="28"/>
          <w:sz w:val="28"/>
          <w:szCs w:val="28"/>
          <w:rtl w:val="true"/>
          <w:lang w:bidi="ar-SA"/>
        </w:rPr>
        <w:t>كلّ من لديه رصيد لدى البنك في الحساب الجاري يحقّ له سحب أيّ مبلغ لا يزيد عن رصيده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يسمح البنك له بسحب مبلغ معيّن من دون رصيد ، نظراً لثقته به ، ويسمّى ذلك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السحب على المكشوف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ويحتسب البنك فائدة على هذا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 على المكشوف مردّه إلى الاقتراض من البنك بشرط دفع الفائدة ، فهو قرض ربوي محرّم ، وما يتقاضاه البنك من الفوائد على المبالغ المسحوبة تعدّ من الفوائد الربوية المحرّمة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إذا كان البنك حكومياً أو مشتركاً فلا بأس بالسحب منه ، لابقصد الاقتراض ، بل بقصد الحصول على المال المجهول مالكه ، على نحو ما تقدّم في المسألة الثانية</w:t>
      </w:r>
      <w:r>
        <w:rPr>
          <w:rFonts w:eastAsia="Amiri" w:cs="Amiri" w:ascii="Amiri" w:hAnsi="Amiri"/>
          <w:color w:val="111111"/>
          <w:sz w:val="28"/>
          <w:szCs w:val="28"/>
          <w:rtl w:val="true"/>
          <w:lang w:bidi="ar-SA"/>
        </w:rPr>
        <w:t xml:space="preserve">. </w:t>
      </w:r>
      <w:bookmarkStart w:id="92" w:name="pg18924_201774"/>
    </w:p>
    <w:p>
      <w:pPr>
        <w:pStyle w:val="Heading4"/>
        <w:numPr>
          <w:ilvl w:val="3"/>
          <w:numId w:val="1"/>
        </w:numPr>
        <w:rPr/>
      </w:pPr>
      <w:bookmarkStart w:id="93" w:name="__RefHeading___Toc15922616_1280447820"/>
      <w:bookmarkStart w:id="94" w:name="_Toc31"/>
      <w:bookmarkEnd w:id="92"/>
      <w:bookmarkEnd w:id="93"/>
      <w:r>
        <w:rPr>
          <w:rtl w:val="true"/>
        </w:rPr>
        <w:t>(</w:t>
      </w:r>
      <w:r>
        <w:rPr/>
        <w:t>13</w:t>
      </w:r>
      <w:r>
        <w:rPr>
          <w:rtl w:val="true"/>
        </w:rPr>
        <w:t xml:space="preserve">) </w:t>
      </w:r>
      <w:r>
        <w:rPr>
          <w:rtl w:val="true"/>
        </w:rPr>
        <w:t>خصم الكمبيالات</w:t>
      </w:r>
      <w:bookmarkEnd w:id="94"/>
    </w:p>
    <w:p>
      <w:pPr>
        <w:pStyle w:val="BookText"/>
        <w:rPr/>
      </w:pPr>
      <w:r>
        <w:rPr>
          <w:rFonts w:ascii="Amiri" w:hAnsi="Amiri" w:eastAsia="Amiri" w:cs="Amiri"/>
          <w:color w:val="111111"/>
          <w:sz w:val="28"/>
          <w:sz w:val="28"/>
          <w:szCs w:val="28"/>
          <w:rtl w:val="true"/>
          <w:lang w:bidi="ar-SA"/>
        </w:rPr>
        <w:t xml:space="preserve">تمهيدات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البيع عن القرض في أنّ البيع تمليك عين بعوض لا مجّاناً ، والقرض تمليك المال بالضمان في الذمّة بالمثل إذا كان مثلياً وبالقيمة إذا كان قيمياً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ولكن هذا غير واضح ، لأنّه يكفي في تحقّق مفهوم البيع وجود التغاير بين العوضين في وعاء الإنشاء من حيث كون المعوض عيناً شخصية والعوض كلياً في الذمّة ، مضافاً إلى أنّ لازم هذا الرأي القول بصحّة بيع عشرين كيلو من الحنطة نقداً بمثلها نسيئة بدعوى أنّه قرض غير ربوي حقيقة وإن كان بصورة البيع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أحد المثلين بالآخر مع زيادة حكمية فيكون من الربا المحرّم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يمتاز عنه في أنّ البيع الربوي باطل من أصله ، دون القرض الربوي ، فإنّه باطل بحسب الزيادة فقط ، وأمّا أصل القرض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عنه أيضاً في أنّ كلّ زيادة في القرض إذا اشترطت تكون رباً ومحرّمة دون البيع ، فإنّه تحرم فيه الزيادة مطلقاً في المكيل والموزون من العوضين المتّحدين جنساً ، وأمّا لو اختلفا في الجنس ، أو لم يكونا من المكيل والموزون ، فإن كانت المعاملة نقدية ، فلا تكون الزيادة رباً ، وأمّا لو كانت المعاملة مؤجّلة كما لو باع مائة بيضة بمائة وعشر إلى شهر ، أو باع عشرين كيلو من الأُرز بأربعين كيلو من الحنطة إلى شهر ، ففي عدم كون ذلك من الربا إشكال ، فالأحوط لزوماً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بما أنّها من المعدود يجوز بيع بعضها ببعض متفاضلاً مع اختلافهما جنساً نقداً ونسيئة ، وأمّا مع الاتّحاد في الجنس فيجوز التفاضل في البيع بها نقداً ، وأمّا نسيئة فلا يخلو عن إشكال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 فيجوز للدائن عشرة دنانير عراقية مثلاً أن يبيع دينه بالأقلّ منها كتسعة دنانير نقداً ، كما يجوز له بيعه بالأقلّ منها من عملة أُخرى كتسعة دنانير أُردنية نقداً ونسيئة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الكمبيالات المتداولة بين التجّار في الأسواق لم تعتبر لها مالية كالأوراق النقدية ، بل هي مجرد وثيقة لإثبات أنّ المبلغ الذي تتضمّنه دين في ذمّة موقّعها لمن كتبت باسمه ، فالمعاملات الجارية عليها لا تجري على أنفسها ، بل على النقود </w:t>
      </w:r>
    </w:p>
    <w:p>
      <w:pPr>
        <w:pStyle w:val="BookText"/>
        <w:rPr/>
      </w:pPr>
      <w:r>
        <w:rPr>
          <w:rFonts w:ascii="Amiri" w:hAnsi="Amiri" w:eastAsia="Amiri" w:cs="Amiri"/>
          <w:color w:val="111111"/>
          <w:sz w:val="28"/>
          <w:sz w:val="28"/>
          <w:szCs w:val="28"/>
          <w:rtl w:val="true"/>
          <w:lang w:bidi="ar-SA"/>
        </w:rPr>
        <w:t>التي تعبّر عنها ، وأيضاً عندما يدفع المشتري كمبيالة للبائع لم يدفع ثمن البضاعة ، ولذا لو ضاعت الكمبيالة أو تلفت عند البائع لم يتلف منه مال ولم تفرغ ذمّة المشتري ، بخلاف ما إذا دفع له ورقة نقدية وتلفت عنده أو ضاعت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الكمبيالات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وجود قرض واقعي ، بأن يكون مؤقّع الكمبيالة مديناً لمن كتبت باسمه بالمبلغ الذي تتضمّنه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وجود قرض صوري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للدائن أن يبيع دينه المؤجّل الثابت في ذمّة المدين بأقلّ منه حالاً ، كما لو كان دينه مائة دينار فباعه بثمانية وتسعين ديناراً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يجوز بيع مؤجّلاً لأنّه من بيع الدين بالدين ، وبعد ذلك يقوم البنك أو غيره بمطالبة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بقيمتها عند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للدائن الصوري بيع ما تتضمّنه الكمبيالة ، لانتفاء الدين واقعاً وعدم اشتغال ذمّة الموقع للموقّع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كتبت لتمكين المستفيد من خصمها فحسب ولذا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كمبيالة مجاملة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 يمكن تصحيح خصمها بنحو آخر ، بأن يوكّل موقّع الكمبيالة المستفيد في بيع قيمتها في ذمّته بأقلّ منها ، مراعياً الاختلاف بين العوضين في الجنس ، كأن تكون قيمتها خمسين </w:t>
      </w:r>
    </w:p>
    <w:p>
      <w:pPr>
        <w:pStyle w:val="BookText"/>
        <w:rPr/>
      </w:pPr>
      <w:r>
        <w:rPr>
          <w:rFonts w:ascii="Amiri" w:hAnsi="Amiri" w:eastAsia="Amiri" w:cs="Amiri"/>
          <w:color w:val="111111"/>
          <w:sz w:val="28"/>
          <w:sz w:val="28"/>
          <w:szCs w:val="28"/>
          <w:rtl w:val="true"/>
          <w:lang w:bidi="ar-SA"/>
        </w:rPr>
        <w:t xml:space="preserve">ديناراً عراقياً والثمن ألف تومان إيراني مثلاً ، وبعد هذه المعاملة تصبح ذمّة موقّع الكمبيالة مشغولة بخمسين ديناراً عراقياً إزاء ألف تومان إيراني ، ويوكّل الموقّع أيضاً المستفيد في بيع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تومان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يعادل المثمن وهو خمسون ديناراً عراقياً وبذلك تصبح ذمّة المستفيد مدينة للموقّع بمبلغ يساوي ما كانت ذمّة الموقّع مدينة به للبنك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الطريق قليل الفائدة ، حيث إنّه إنّما يفيد فيما إذا كان الخصم بعملة أجنبية ، وأمّا إذا كان بعملة محلّية فلا أثر له ، إذ لا يمكن تنزيله على البيع عندئذ على ما عرفت من الإشكال في بيع المعدود مع التفاضل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خصم قيمة الكمبيالة الصورية لدى البنك على نحو القرض ، بأن يقترض المستفيد من البنك مبلغاً أقلّ من قيمة الكبيالة الاسمية ، ثم يحول البنك الدائن على موقّعها بتمام قيمتها ، ليكون من الحوالة على البريء ، فهذا رباً محرّم ، لأنّ اشتراط البنك في عملية 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 شيء من قيمة الكمبيالة إنّما هو من قبيل اشتراط الزيادة المحرّم شرعاً ولو لم تكن الزيادة بإزاء المدّة الباقية بل بإزاء قيام البنك ببعض الأعمال كتسجيل الدين وتحصيله ونحوهما ، لأنّه لا يحقّ للمقرِض أن يشترط على المقترض أيّ نحو من أنحاء النفع الملحوظ فيه المال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البنك أهلياً ، وأمّا لو كان حكومياً أو مشتركاً فيمكن التخلّص من ذلك بأن لا يقصد المستفيد في عملية الخصم لديه شيئاً من البيع والاقتراض ، بل يقصد الحصول على المال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المجهول مالكه فيقبضه مع الاستئذان من الحاكم الشرعي على الأحوط ، ثم يتصرّف فيه بعد المراجعة إليه لإصلاحه ، فإذا رجع البنك في نهاية المدّة إلى موقّع الكمبيالة وألزمه بدفع قيمتها ، جاز له الرجوع على المستفيد ببدل ما دفع إذا كان قد وقّع الكمبيالة بأمر وطلب منه</w:t>
      </w:r>
      <w:r>
        <w:rPr>
          <w:rFonts w:eastAsia="Amiri" w:cs="Amiri" w:ascii="Amiri" w:hAnsi="Amiri"/>
          <w:color w:val="111111"/>
          <w:sz w:val="28"/>
          <w:szCs w:val="28"/>
          <w:rtl w:val="true"/>
          <w:lang w:bidi="ar-SA"/>
        </w:rPr>
        <w:t xml:space="preserve">. </w:t>
      </w:r>
      <w:bookmarkStart w:id="95" w:name="pg18924_201782"/>
    </w:p>
    <w:p>
      <w:pPr>
        <w:pStyle w:val="Heading4"/>
        <w:numPr>
          <w:ilvl w:val="3"/>
          <w:numId w:val="1"/>
        </w:numPr>
        <w:rPr/>
      </w:pPr>
      <w:bookmarkStart w:id="96" w:name="__RefHeading___Toc15922618_1280447820"/>
      <w:bookmarkStart w:id="97" w:name="_Toc32"/>
      <w:bookmarkEnd w:id="95"/>
      <w:bookmarkEnd w:id="96"/>
      <w:r>
        <w:rPr>
          <w:rtl w:val="true"/>
        </w:rPr>
        <w:t>(</w:t>
      </w:r>
      <w:r>
        <w:rPr/>
        <w:t>14</w:t>
      </w:r>
      <w:r>
        <w:rPr>
          <w:rtl w:val="true"/>
        </w:rPr>
        <w:t xml:space="preserve">) </w:t>
      </w:r>
      <w:r>
        <w:rPr>
          <w:rtl w:val="true"/>
        </w:rPr>
        <w:t>العمل لدى البنوك</w:t>
      </w:r>
      <w:bookmarkEnd w:id="97"/>
    </w:p>
    <w:p>
      <w:pPr>
        <w:pStyle w:val="BookText"/>
        <w:rPr/>
      </w:pPr>
      <w:r>
        <w:rPr>
          <w:rFonts w:ascii="Amiri" w:hAnsi="Amiri" w:eastAsia="Amiri" w:cs="Amiri"/>
          <w:color w:val="111111"/>
          <w:sz w:val="28"/>
          <w:sz w:val="28"/>
          <w:szCs w:val="28"/>
          <w:rtl w:val="true"/>
          <w:lang w:bidi="ar-SA"/>
        </w:rPr>
        <w:t xml:space="preserve">تصنّف أعمال البنوك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 وهو الأعمال التي لها صلة بالمعاملات الربوية كالتوكيل في إجرائها ، وتسجيلها ، والشهادة عليها ، وقبض الزيادة لآخذها ، ونحو ذلك ، ومثلها الأعمال المرتبطة بمعاملات الشركات التي تتعامل بالربا أو تتاجر بالخمر ، كبيع أسهمها وفتح الاعتماد لها وما يشبههما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محرّمة لا يجوز الدخول فيها ، ولا يستحق العامل أجرة إزاء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سائغ ، وهي غير ما ذكر ، فيجوز الدخول فيها وأخذ الأُجرة عليها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دافع الزيادة في المعاملة الربوية كافراً غير محترم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البنك الأجنبي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يجوز حينئذٍ أخذها للمسلم ، وعلى ذلك فيجوز الدخول في الأعمال التي ترتبط بإجراء مثل هذه المعاملة الربوية في البنوك وخارجها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الجعالة والإجارة والحوالة ونحوها من المعاملات الجارية مع البنوك الحكومية في الدول الإسلامية تتوقّف صحّتها على إجازة الحاكم الشرعي ، فلا تصحّ من دون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سماحة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معاملاتها تلك إذا كانت جامعة للشرائط المعتبرة فيها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بعض التطبيقات لتحديد ما له صلة وما لا صلة له وصلتنا منه حفظه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العمل في البنك لإدخال البيانات ومنها مقدار الفائدة الربوية؟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موظفة في بنك حكومي تقوم بتدقيق الحسابات فتخبر بالديون التي للبنك على البنوك الأخرى ، فيقوم البنك بدوره بوضع فوائد ربوية على البنك المدين؟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التدقيق في الحسابات إذا كانت تتضمن المعاملات الربوية عمل غير جائز ولا يجوز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إخبار الموظّفة البنك الموظّف بأن له ديناً على بنك آخر وقيام البنك بتسجيل فوائد على البنك الآخر فهو ليس بمحرم ، ويجوز لها أخذ الأجرة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تدريس مادة محاسبة البنوك حيث يتم خلالها شرح العمليات الربويّة التي تقوم بها البنوك؟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حدّ ذاته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موظف عمله في البنك دراسة الشركات التي تتقدم بطلب قروض من البنك من حيث إمكانياتها المالية ومواردها الإقتصادية ، وبعد موافقة البنك يتم الإقراض وتسجّل عليه فوائد ، فهل عمله جائز؟</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العمل في البنك إذا كانت مهمته التوقيع على استمارات تخليص البضائع التي تأتي إلى العملاء علماً با ، البضائع قد تكون كلّها أو بعضها من المحرمات؟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فيما يتعلق بتخليص الخمور حرام ، وأما فيما عدا ذلك فلا يحرم ، وإن لم يستحق الأجر عليه</w:t>
      </w:r>
      <w:r>
        <w:rPr>
          <w:rFonts w:eastAsia="Amiri" w:cs="Amiri" w:ascii="Amiri" w:hAnsi="Amiri"/>
          <w:color w:val="111111"/>
          <w:sz w:val="28"/>
          <w:szCs w:val="28"/>
          <w:rtl w:val="true"/>
          <w:lang w:bidi="ar-SA"/>
        </w:rPr>
        <w:t xml:space="preserve">. </w:t>
      </w:r>
      <w:bookmarkStart w:id="98" w:name="pg18924_201787"/>
    </w:p>
    <w:p>
      <w:pPr>
        <w:pStyle w:val="Heading4"/>
        <w:numPr>
          <w:ilvl w:val="3"/>
          <w:numId w:val="1"/>
        </w:numPr>
        <w:rPr/>
      </w:pPr>
      <w:bookmarkStart w:id="99" w:name="__RefHeading___Toc15922620_1280447820"/>
      <w:bookmarkStart w:id="100" w:name="_Toc33"/>
      <w:bookmarkEnd w:id="98"/>
      <w:bookmarkEnd w:id="99"/>
      <w:r>
        <w:rPr>
          <w:rtl w:val="true"/>
        </w:rPr>
        <w:t>(</w:t>
      </w:r>
      <w:r>
        <w:rPr/>
        <w:t>15</w:t>
      </w:r>
      <w:r>
        <w:rPr>
          <w:rtl w:val="true"/>
        </w:rPr>
        <w:t xml:space="preserve">) </w:t>
      </w:r>
      <w:r>
        <w:rPr>
          <w:rtl w:val="true"/>
        </w:rPr>
        <w:t>فتاوى مصرفية</w:t>
      </w:r>
      <w:bookmarkEnd w:id="100"/>
    </w:p>
    <w:p>
      <w:pPr>
        <w:pStyle w:val="BookText"/>
        <w:rPr/>
      </w:pPr>
      <w:r>
        <w:rPr>
          <w:rFonts w:ascii="Amiri" w:hAnsi="Amiri" w:eastAsia="Amiri" w:cs="Amiri"/>
          <w:color w:val="111111"/>
          <w:sz w:val="28"/>
          <w:sz w:val="28"/>
          <w:szCs w:val="28"/>
          <w:rtl w:val="true"/>
          <w:lang w:bidi="ar-SA"/>
        </w:rPr>
        <w:t xml:space="preserve">أجاب السيد السيستاني مد ظله العالي بفتاوى تخص البنوك والمصارف والتعامل معها ، نورد نصوص تلك الفتاوى اكتفاء بالجواب عن السؤال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الإيداع في البنوك غير الإسلامية ، أهلية كانت أو غير أهلية ، ولو بشرط الحصول على الفائدة ، لجواز أخذ الربا من غير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أراد المسلم الاقتراض من هذه البنوك ، فلا بد أن يقصد بذلك استنقاذ المال وإن كان يعلم أنه سيؤخذ منه الأصل والفائدة ، ولا يقصد الاقتراض بشرط دفع الفائدة ، لحرمة دفع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 للمسلم ترخيص غيره باستعمال اسمه مستفيداً من اعتباره لشراء أسهم البنوك والشركات وغيرها مقابل مبلغ من المال يتفق عليه الطرفان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يحق للمسلم تبديل العملات بغيرها بقيمتها السوقية ، </w:t>
      </w:r>
    </w:p>
    <w:p>
      <w:pPr>
        <w:pStyle w:val="BookText"/>
        <w:rPr/>
      </w:pPr>
      <w:r>
        <w:rPr>
          <w:rFonts w:ascii="Amiri" w:hAnsi="Amiri" w:eastAsia="Amiri" w:cs="Amiri"/>
          <w:color w:val="111111"/>
          <w:sz w:val="28"/>
          <w:sz w:val="28"/>
          <w:szCs w:val="28"/>
          <w:rtl w:val="true"/>
          <w:lang w:bidi="ar-SA"/>
        </w:rPr>
        <w:t>وبالأقل منها أو بالأكثر ، بلا فرق بين أن يكون ذلك التبديل حالاً أو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ولا تصح المعاملة بالنقود الورقية المزوّرة ، أو الساقطة عن الاعتبار ، تلك التي يغش بها المتعامل الناس ، إذا كان من تدفع إليه العملة جاهلاً بأنها مغشوشة أو مزوّرة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 للإنسان في الغرب فتح الحساب في البنك ، ويجوز له الإيداع فيه مع اشتراط الحصول على الفائدة ، إذا كان البنك ممؤلاً من قبل الحكومة أو الأهالي غير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أخذ المال من البنك الذي تمؤله الحكومة أو الأهالي غير المسلمين بقصد الاستنفاذ لا الاقتراض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الآخذ علمه بأن البنك سوف يلزمه بدفع أصل المال لا 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الأخذ علمه بأن البنك سوف يلزمه بدفع أصل المال والزيادة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المغتربين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8924_201790"/>
    </w:p>
    <w:p>
      <w:pPr>
        <w:pStyle w:val="Heading3"/>
        <w:numPr>
          <w:ilvl w:val="2"/>
          <w:numId w:val="1"/>
        </w:numPr>
        <w:rPr/>
      </w:pPr>
      <w:bookmarkStart w:id="102" w:name="__RefHeading___Toc15922622_1280447820"/>
      <w:bookmarkStart w:id="103" w:name="_Toc34"/>
      <w:bookmarkEnd w:id="101"/>
      <w:bookmarkEnd w:id="102"/>
      <w:r>
        <w:rPr>
          <w:rtl w:val="true"/>
        </w:rPr>
        <w:t xml:space="preserve">ثانياً </w:t>
      </w:r>
      <w:r>
        <w:rPr>
          <w:rtl w:val="true"/>
        </w:rPr>
        <w:t xml:space="preserve">: </w:t>
      </w:r>
      <w:r>
        <w:rPr>
          <w:rtl w:val="true"/>
        </w:rPr>
        <w:t>أوراق اليانصيب</w:t>
      </w:r>
      <w:bookmarkEnd w:id="103"/>
    </w:p>
    <w:p>
      <w:pPr>
        <w:pStyle w:val="BookText"/>
        <w:rPr/>
      </w:pPr>
      <w:r>
        <w:rPr>
          <w:rFonts w:ascii="Amiri" w:hAnsi="Amiri" w:eastAsia="Amiri" w:cs="Amiri"/>
          <w:color w:val="111111"/>
          <w:sz w:val="28"/>
          <w:sz w:val="28"/>
          <w:szCs w:val="28"/>
          <w:rtl w:val="true"/>
          <w:lang w:bidi="ar-SA"/>
        </w:rPr>
        <w:t xml:space="preserve">وهي أوراق توزّعها بعض الشركات وتأخذ بإزائها مبالغ معيّنة من المال ، وتتعهّد الشركة بأن تقرع بين أصحاب البطاقات ، فمن أصابته القرعة تدفع له مبلغاً بعنوان الجائزة ، وهذه العملية يمكن أن تقع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إعطاء المال بإزاء البطاقة بغرض احتمال إصابة القرعة باسمه والحصول على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المعاملة محرّمة وباطلة بلا إشكال ، فلو ارتكب المحرّم وأصابت القرعة باسمه ، فإن كانت الشركة حكومية فالمبلغ المأخوذ منها مجهول المالك ، وجواز التصرّف فيه متوقّف على مراجعة الحاكم الشرعي لإصلاحه ، وإن كانت أهلية جاز التصرّف فيه مع إحراز رضا أصحابه بذلك حتى مع علمهم بفساد المعاملة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إعطاء المال مجّاناً وبقصد الاشتراك في مشروع خيري ، كبناء مدرسة أو جسر أو نحو ذلك ، لا بقصد الحصول على الربح والجائزة ، فعندئذ 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إذا أصابت القرعة باسمه فلا مانع من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التصرّف فيه بعد المراجعة إليه لإصلاحه ، هذا إذا كانت الشركة حكومية ، وإلاّ فلا حاجة إلى إذن الحاكم الشرعي ومراجعته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دفع المال بعنوان إقراض الشركة ، بحيث تضمن له عوضه ، ويكون له أخذه بعد ستة أشهر مثلاً ، ولكن الدفع المذكور مشروط بأخذ بطاقة اليانصيب على أن تدفع الشركة له جائزة عند إصابة القرعة باسمه ، فهذه المعاملة محرّمة ، لأنها من القرض الربوي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ما هو مشابه لليانصيب ، وهو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تشيع في الولايات المتحدة ، فهل يجوز للمسلم أن يعرض أوراقها للبيع بوساطة جهاز ميكانيكي خاص معتبراً العملية استنفاذاً للمال من يد الكافر؟</w:t>
      </w:r>
    </w:p>
    <w:p>
      <w:pPr>
        <w:pStyle w:val="BookText"/>
        <w:rPr/>
      </w:pPr>
      <w:r>
        <w:rPr>
          <w:rFonts w:ascii="Amiri" w:hAnsi="Amiri" w:eastAsia="Amiri" w:cs="Amiri"/>
          <w:color w:val="111111"/>
          <w:sz w:val="28"/>
          <w:sz w:val="28"/>
          <w:szCs w:val="28"/>
          <w:rtl w:val="true"/>
          <w:lang w:bidi="ar-SA"/>
        </w:rPr>
        <w:t xml:space="preserve">فإن كانت تدير هذه اللعبة شركة ما ، وكان المسلم مخولاً من قبل الشركة القائمة بالأمر في عرضها وتوزيعها بين غير المسلمين جاز ذلك ، وليأخذ المال استنفاذاً ، ولا يقصد البيع ، أو يأخذه إزاء تنازله عن حقه فيه إن كان له حق اختصاص بها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شراء بطاقة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قصد به التبرع لمشروع خيري دون قصد الربح فله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بدفع الثمن أو بعضه التبرع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المجاني لمشروع تحدده لجنة اللوتري ، أو قصد بدفع بعض الثمن احتمال الفوز بالجائزة فلا يجوز له شراء بطاقة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التوجه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04" w:name="pg18924_201795"/>
    </w:p>
    <w:p>
      <w:pPr>
        <w:pStyle w:val="Heading3"/>
        <w:numPr>
          <w:ilvl w:val="2"/>
          <w:numId w:val="1"/>
        </w:numPr>
        <w:rPr/>
      </w:pPr>
      <w:bookmarkStart w:id="105" w:name="__RefHeading___Toc15922624_1280447820"/>
      <w:bookmarkStart w:id="106" w:name="_Toc35"/>
      <w:bookmarkEnd w:id="104"/>
      <w:bookmarkEnd w:id="105"/>
      <w:r>
        <w:rPr>
          <w:rtl w:val="true"/>
        </w:rPr>
        <w:t xml:space="preserve">ثالثاً </w:t>
      </w:r>
      <w:r>
        <w:rPr>
          <w:rtl w:val="true"/>
        </w:rPr>
        <w:t xml:space="preserve">: </w:t>
      </w:r>
      <w:r>
        <w:rPr>
          <w:rtl w:val="true"/>
        </w:rPr>
        <w:t>عقد التأمين</w:t>
      </w:r>
      <w:bookmarkEnd w:id="106"/>
    </w:p>
    <w:p>
      <w:pPr>
        <w:pStyle w:val="BookText"/>
        <w:rPr/>
      </w:pPr>
      <w:r>
        <w:rPr>
          <w:rFonts w:ascii="Amiri" w:hAnsi="Amiri" w:eastAsia="Amiri" w:cs="Amiri"/>
          <w:color w:val="111111"/>
          <w:sz w:val="28"/>
          <w:sz w:val="28"/>
          <w:szCs w:val="28"/>
          <w:rtl w:val="true"/>
          <w:lang w:bidi="ar-SA"/>
        </w:rPr>
        <w:t xml:space="preserve">التأمين عقد يلتزم المؤمَّن له بمقتضاه أن يدفع مبلغاً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شهرياً ، أو سنوياً ، أو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 في مقابل تعهّد المؤمّن أن يؤدّي إلى المؤمّن له أو إلى المستفيد الذي اشترط التأمين لصالحه مبلغاً من المال ، أو إيراداً مرتّباً ، أو أيّ عوض ماليّ آخر ، في حالة وقوع حادث أو ضرر مبيّن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التأمين على أقسام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التأمين على الأشخاص من خطر الوفاة أو بعض الطوارىء الأُخرى كالمرض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الأموال كالسيّارات والطائرات والسفن ونحوها من خطر الحريق أو الغرق أو السرقة أو 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تقسيمات أُخرى للتأمين لا يختلف الحكم الشرعي بالنظر إليها فلا داعي لذكرها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يشتمل عقد التأمين على أركان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الإيجاب والقبول من المؤمِّن والمؤمَّن له ، ويكفي فيهما كلّ ما يدلّ عليهما من لفظ أو كتابة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المؤمَّن عليه ، شخصاً كان أو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تعين مدّة عقد التأمين بداية ونهاية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التأمين تعيين الخطر الموجب للضرر ، كالغرق والحرق والسرقة والمرض والموت ونحوها ، وكذا يعتبر فيه تعيين أقساط التأمين السنوية أو الشهرية لو كان الدفع أقساطاً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طرفي عقد التأمين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والقصد والاختيار وعدم الحجر لسفه أو فلس ، فلا يصحّ من الصغير والمجنون والهازل والمكره والمحجور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التأمين من العقود اللازمة ، ولا ينفسخ إلاّ برضا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اشترط في ضمن العقد استحقاق المؤمَّن له أو المؤمِّن أو كليهما للفسخ جاز الفسخ 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تخلّف المؤمِّن عن العمل بتعهّده ، كان للمؤمَّن له إلزامه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بالتوسّل إلى الحاكم الشرعي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الخيار في فسخ العقد واسترجاع مبلغ التأمين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تقرّر في عقد التأمين قيام المؤمَّن له بدفع مبلغ التأمين أقساطاً ، فتخلف عن تسديد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 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على المؤمِّن القيام بدفع المبالغ التي تعهّد بدفعها عند وقوع الضرر المعيّن ، كما لا يحقّ للمؤمَّن له استرجاع ما سدّده من أقسام التأمين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تعتبر في صحّة عقد التأمين مدّة خاصة ، بل هي تابعة لما يتّفق عليه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والمؤمَّن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جماعة على تأسيس شركة يتكوّن رأس مالها من الأموال المشتركة بينهم ، واشترط كلّ منهم على الآخرين في ضمن عقد الشركة أنّه على تقدير حدوث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نوعها في ضمن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أو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داره أو سيارته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الشرطة بتدارك خسارته في تلك الحادثة من رأس مال الشركة أو أرباحها ، وجب العمل بالشرط ما دام العقد باقيّاً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يحق للمسلم أن يتعاقد مع شركات التأمين المختلفة ، للتأمين على حياته أو أمواله من خطر الحريق أو الغرق أو السرقة ، أو ما شاكل ذلك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07" w:name="pg18924_201800"/>
    </w:p>
    <w:p>
      <w:pPr>
        <w:pStyle w:val="Heading3"/>
        <w:numPr>
          <w:ilvl w:val="2"/>
          <w:numId w:val="1"/>
        </w:numPr>
        <w:rPr/>
      </w:pPr>
      <w:bookmarkStart w:id="108" w:name="__RefHeading___Toc15922626_1280447820"/>
      <w:bookmarkStart w:id="109" w:name="_Toc36"/>
      <w:bookmarkEnd w:id="107"/>
      <w:bookmarkEnd w:id="108"/>
      <w:r>
        <w:rPr>
          <w:rtl w:val="true"/>
        </w:rPr>
        <w:t xml:space="preserve">رابعاً </w:t>
      </w:r>
      <w:r>
        <w:rPr>
          <w:rtl w:val="true"/>
        </w:rPr>
        <w:t xml:space="preserve">: </w:t>
      </w:r>
      <w:r>
        <w:rPr>
          <w:rtl w:val="true"/>
        </w:rPr>
        <w:t>إخلاء المحلاّت التجارية</w:t>
      </w:r>
      <w:bookmarkEnd w:id="109"/>
    </w:p>
    <w:p>
      <w:pPr>
        <w:pStyle w:val="BookText"/>
        <w:rPr/>
      </w:pPr>
      <w:r>
        <w:rPr>
          <w:rFonts w:ascii="Amiri" w:hAnsi="Amiri" w:eastAsia="Amiri" w:cs="Amiri"/>
          <w:color w:val="111111"/>
          <w:sz w:val="28"/>
          <w:sz w:val="28"/>
          <w:szCs w:val="28"/>
          <w:rtl w:val="true"/>
          <w:lang w:bidi="ar-SA"/>
        </w:rPr>
        <w:t>من المعاملات الشائعة بين التجار والكسبة إخلاء المحلات التجارية ، وهو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تنازل المسأجر عمّا تحت تصرّفه بإيجار المحلّ الذي يشغله لآخر إزاء مقدار من المال يتفق عليه الطرفان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أيضاً على تنازل المالك للمستأجر عن حقّه في أخراجه من المحلّ أو زيادة بدل الإيجار بعد نهاية مدّة الإجارة إزاء مقدار من المال يتّفقان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استئجار الأعيان المستأجرة كمحلات الكسب والتجارة لا يُحدث حقّاً للمستأجر فيها بحيث يمكنه إلزام المؤجّر عدم إخراجه منها وتجديد إيجارها منه بمقدار بدل إيجارها السابق بعد نهاية الإجارة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طول إقامة المستأجر في المحل ، ووجاهته في مكسبه الموجبة لتعزيز الموقع التجاري للمحلّ ، لا يوجب شيء من ذلك حقّاً له في البقاء ، بل إذا تمّت مدّة الإجارة يجب عليه تخلية المحلّ وتسليمه إلى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استغلّ المسأجر القانون الحكومي الذي يقضي بمنع المالك عن إجبار المستأجر على التخلية أو عن الزيادة في بدل الإيجار ، فامتنع عن دفع الزيادة أو التخلية فعمله هذا محرّم ، ويكون تصرّفه في المحل بدون رضا المالك غصباً ، وكذا ما يأخذه من المال إزاء تخليته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المالك محلّه من شخص سنة بمائة دينار مثلاً ، وقبض إضافة على ذلك مبلغ خمسمائة دينار مثلاً إزاء اشتراطه على نفسه في ضمن العقد أن يجدّد الإيجار لهذا المستأجر ، أو لمن يتنازل له المستأجر سنوياً بدون زيادة ، وإذا أراد المستأجر الثاني التنازل عن المحلّ لثالث أن يعامله نفس معاملة المستأجر ، فحينئذ يجوز للمستأجر أن يأخذ إزاء تنازله عن حقّه مبلغاً يساوي ما دفعه إلى المالك نقداً أو أكثر أو أقلّ حسب ما يتفقان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المالك محلّه من شخص مدّة معلومة وشرط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مبلغ من المال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العقد أن يجدّد إيجاره له سنوياً بعد نهاية المدّة بالصورة التي وقع عليها في السنة الأُولى أو على النحو المتعارف في كلّ سنة ، فاتّفق أنّ شخصاً دفع مبلغاً للمستأجر إزاء تنازله عن المحلّ وتخليته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له إلاّ حقّ البقاء وللمالك الحرّية في إيجار المحلّ بعد خروجه كيف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يجوز للمستأجر أخذ المبلغ المتّفق عليه ، وتكون السرقفليّة بإزاء التخلية فحسب ، لا بإزاء انتقال حقّ التصرّف منه إلى وافعها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المالك الوفاء بما اشترطه على نفسه </w:t>
      </w:r>
    </w:p>
    <w:p>
      <w:pPr>
        <w:pStyle w:val="BookText"/>
        <w:rPr/>
      </w:pPr>
      <w:r>
        <w:rPr>
          <w:rFonts w:ascii="Amiri" w:hAnsi="Amiri" w:eastAsia="Amiri" w:cs="Amiri"/>
          <w:color w:val="111111"/>
          <w:sz w:val="28"/>
          <w:sz w:val="28"/>
          <w:szCs w:val="28"/>
          <w:rtl w:val="true"/>
          <w:lang w:bidi="ar-SA"/>
        </w:rPr>
        <w:t xml:space="preserve">في ضمن عقد الإجارة ، فيجب عليه في مفروض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يؤجر المحلّ للمستأجر أو لمن يتنازل له عنه بدون زيادة في بدل الإيجار ، كما يجب عليه في مفروض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يجدّد الإيجار للمستأجر ما دام يرغب في البقاء في المحلّ بمقدار بدل الإيجار السابق أو بما هو بدل إيجاره المتعارف حسبما هو مقرّر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تخلّف المالك عن الوفاء بشرطه وامتنع عن تجديد الإيجار فللمشروط له إجباره على ذلك ولو بالتوسّل بالحاكم الشرعي أو غيره ، ولكن إذا لم يتيسّر إجباره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التصرّف في المحلّ من دون رضا المالك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الشرط في عقد الإجارة في مفروض المسألتين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شرط الفعل ، أي اشتراط تجديد الإجارة كما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اشترط المستأجر على المؤجر أن يكون له أو لمن يعيّنه مباشرة أو بواسطة حقّ إشغال المحل والاستفادة منه إزاء مبلغ معّين سنوياً ، أو بالقيمة المتعارفة في كلّ سنة ، فحينئذٍ يكون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لمن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إشغال المحل والاستفادة منه ولو من دون رضا المالك ، ولا يحقّ للمالك إلاّ أن يطالب بالمبلغ الذي اتفقا عليه إزاء الحق المذكور</w:t>
      </w:r>
      <w:r>
        <w:rPr>
          <w:rFonts w:eastAsia="Amiri" w:cs="Amiri" w:ascii="Amiri" w:hAnsi="Amiri"/>
          <w:color w:val="111111"/>
          <w:sz w:val="28"/>
          <w:szCs w:val="28"/>
          <w:rtl w:val="true"/>
          <w:lang w:bidi="ar-SA"/>
        </w:rPr>
        <w:t xml:space="preserve">. </w:t>
      </w:r>
      <w:bookmarkStart w:id="110" w:name="pg18924_201805"/>
    </w:p>
    <w:p>
      <w:pPr>
        <w:pStyle w:val="Heading3"/>
        <w:numPr>
          <w:ilvl w:val="2"/>
          <w:numId w:val="1"/>
        </w:numPr>
        <w:rPr/>
      </w:pPr>
      <w:bookmarkStart w:id="111" w:name="__RefHeading___Toc15922628_1280447820"/>
      <w:bookmarkStart w:id="112" w:name="_Toc37"/>
      <w:bookmarkEnd w:id="110"/>
      <w:bookmarkEnd w:id="111"/>
      <w:r>
        <w:rPr>
          <w:rtl w:val="true"/>
        </w:rPr>
        <w:t xml:space="preserve">خامساً </w:t>
      </w:r>
      <w:r>
        <w:rPr>
          <w:rtl w:val="true"/>
        </w:rPr>
        <w:t xml:space="preserve">: </w:t>
      </w:r>
      <w:r>
        <w:rPr>
          <w:rtl w:val="true"/>
        </w:rPr>
        <w:t>فتاوى حضارية بأموال الأوروبيين</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على المسلم خيانة من يأتمنه على مال أو عمل ، حتى لو كان كافراً ، ويجب على المسلم المحافظة على الأمانة وأدائها كاملة ، فمن يعمل في محل مبيعات أو محاسب ، لا يجوز له أن يخون صاحب العمل ويأخذ شيئاً مما تحت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السرقة من أموال المسلمين الخاصّة والعامة ولا يجوز إتلافها ما دام ذلك يسيء إلى سمعة الإسلام والمسلمين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السرقة من أموال غير المسلمين الخاصة والعامة ولا يجوز إتلافها ، حتى وإن كانت تلك السرقة وذلك الإتلاف لا يسيء إلى سمعة الإسلام والمسلمين فرضاً ، ولكنها عدّت غدراً ونقضاً للأمان الضمني المعطى لهم حين طلب رخصة الدخول إلى بلادهم ، أو طلب رخصة الإقامة فيها ، وذلك لحرمة الغدر ونقض الأمان بالنسبة إلى كل أحد مهما كان دينه وجنسه ومعتقده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سرقة أموال غير المسلمين حين دخولهم للبلدان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للمسلم أن يأخذ الرواتب والمساعدات بطرق غير قانونية ، كتزويد المسؤولين بمعلومات غير صحيحة ، أو ما شاكل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حاول المسلم أن يسحب من الماكنة شيئاً من ماله ، فخرج له أكثر مما طلب ، فلا يجوز له أخذ الزيادة دون علم البنك غير الإسلامي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مسلم بضاعة من شركة أجنبية في بلد غير إسلامي ، فأعطاه البائع خطأ أكثر مما طلب ، فلا يحق له أخذ الزيادة ، ولو أخذها لزمه الإرجاع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موظف مسلم يعمل بشركة غير مسلمة ، وهو يستطيع أن يأخذ من حاجات الشركة شيئاً دون علم الشركة ، فلا يجوز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وقف عداد الكهرباء ، أو الماء ، أو الغاز أو التلاعب به في الدول غير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غش شركات التأمين في الدول غير الإسلامية حتى وإن اطمأن بأن عمله لا يضرُّ بسمعة الإسلام والمسلمين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للمسلم أن يعطي معلومات غير صحيحة للدوائر الحكومية في أوروبا للحصول على مزايا وتسهيلات مالية أو معنوية ، وبالطريقة القانونية لديهم ، لأنه من الكذب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8924_201809"/>
      <w:bookmarkStart w:id="114" w:name="pg18924_201809"/>
      <w:bookmarkEnd w:id="114"/>
    </w:p>
    <w:p>
      <w:pPr>
        <w:pStyle w:val="Heading2"/>
        <w:numPr>
          <w:ilvl w:val="1"/>
          <w:numId w:val="1"/>
        </w:numPr>
        <w:rPr/>
      </w:pPr>
      <w:bookmarkStart w:id="115" w:name="pg18924_201809"/>
      <w:bookmarkStart w:id="116" w:name="__RefHeading___Toc15922630_1280447820"/>
      <w:bookmarkStart w:id="117" w:name="_Toc38"/>
      <w:bookmarkEnd w:id="115"/>
      <w:bookmarkEnd w:id="116"/>
      <w:r>
        <w:rPr>
          <w:rtl w:val="true"/>
        </w:rPr>
        <w:t xml:space="preserve">الفصل الثالث </w:t>
      </w:r>
      <w:r>
        <w:rPr>
          <w:rtl w:val="true"/>
        </w:rPr>
        <w:t xml:space="preserve">: </w:t>
      </w:r>
      <w:r>
        <w:rPr>
          <w:rtl w:val="true"/>
        </w:rPr>
        <w:t>تخطيط المدن واستصلاح الأراضي</w:t>
      </w:r>
      <w:bookmarkEnd w:id="117"/>
    </w:p>
    <w:p>
      <w:pPr>
        <w:pStyle w:val="Heading3"/>
        <w:numPr>
          <w:ilvl w:val="2"/>
          <w:numId w:val="1"/>
        </w:numPr>
        <w:rPr/>
      </w:pPr>
      <w:bookmarkStart w:id="118" w:name="__RefHeading___Toc15922632_1280447820"/>
      <w:bookmarkStart w:id="119" w:name="_Toc39"/>
      <w:bookmarkEnd w:id="118"/>
      <w:r>
        <w:rPr>
          <w:rtl w:val="true"/>
        </w:rPr>
        <w:t>اشارة</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الشوارع العامة في مظاهرها المتعددة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المشتركة في الإعمار والأستثمار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الشوارع المفتوحة من قِبل الدولة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المياه والأنهار والآبار والعيون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الأرض الموات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8924_201813"/>
      <w:bookmarkStart w:id="121" w:name="pg18924_201813"/>
      <w:bookmarkEnd w:id="121"/>
    </w:p>
    <w:p>
      <w:pPr>
        <w:pStyle w:val="Heading3"/>
        <w:numPr>
          <w:ilvl w:val="2"/>
          <w:numId w:val="1"/>
        </w:numPr>
        <w:rPr/>
      </w:pPr>
      <w:bookmarkStart w:id="122" w:name="pg18924_201813"/>
      <w:bookmarkStart w:id="123" w:name="__RefHeading___Toc15922634_1280447820"/>
      <w:bookmarkStart w:id="124" w:name="_Toc40"/>
      <w:bookmarkEnd w:id="122"/>
      <w:bookmarkEnd w:id="123"/>
      <w:r>
        <w:rPr>
          <w:rtl w:val="true"/>
        </w:rPr>
        <w:t>(</w:t>
      </w:r>
      <w:r>
        <w:rPr/>
        <w:t>1</w:t>
      </w:r>
      <w:r>
        <w:rPr>
          <w:rtl w:val="true"/>
        </w:rPr>
        <w:t xml:space="preserve">) </w:t>
      </w:r>
      <w:r>
        <w:rPr>
          <w:rtl w:val="true"/>
        </w:rPr>
        <w:t>الشوارع العامة في مظاهرها المتعددة</w:t>
      </w:r>
      <w:bookmarkEnd w:id="124"/>
    </w:p>
    <w:p>
      <w:pPr>
        <w:pStyle w:val="BookText"/>
        <w:rPr/>
      </w:pPr>
      <w:r>
        <w:rPr>
          <w:rFonts w:ascii="Amiri" w:hAnsi="Amiri" w:eastAsia="Amiri" w:cs="Amiri"/>
          <w:color w:val="111111"/>
          <w:sz w:val="28"/>
          <w:sz w:val="28"/>
          <w:szCs w:val="28"/>
          <w:rtl w:val="true"/>
          <w:lang w:bidi="ar-SA"/>
        </w:rPr>
        <w:t xml:space="preserve">يتحقق لغة واصطلاحاً اسم الشارع العام ، إذا توافرت المواصفات السكانية والعمرانية والتخطيطية فيه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الاستطراق والتردد ومرور القوافل في الأرض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الإنسان ملكه شارعاً وتسبيله تسبيلاً دائمياً لسلوك عامة الناس ، فإنه يصير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للمسبّل الرجوع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شخص أو جهة بتخطيط طريق في الأرض الموات وتعبيده وجعله طريقاً لسلوك عامة الناس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جماعة أرضاً مواتاً وتركهم طريقاً نافذاً بين الدور والمساكن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والشارع قد يتسع عرضاً وقد يتضيق ، ولكل منهما أحكامه الخاصة كما سيأتي ، وقد يكون مسبّلاً وقد يكون أحياءً ولكل منهما أحكامه الخاصة به كما سترى ، وقد تستمر به المارّة في الاستطراق وقد تنقطع ، وكل له أحكامه ، وقد فصل سماحة السيد دام ظله الشريف القول في كل ذلك ، وكشف المجهول في ارتياد مظان البحث الموضوعي ، والمسائل الآتية فتوائياً تضع الشيء في نصابه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الشارع العام واقعاً بين الأملاك فلا حدّ له ، كما إذا كانت قطعة أرض موات بين الأملاك عرضها ثلاثة أذرع أو أقلّ أو أكثر ، واستطرقها الناس حتى أصبحت جادة ، فلا يجب على المالكين توسيعها ، وإن تضيقت على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لو سبّل شخصٌ في وسط ملكه ، أو من طرف ملكه المجاور لملك غيره مقداراً لعبور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الشارع العام محدوداً بالموات من أحد طرفيه أو كليهما ، وكان عرضه أقلّ من خمسة أذرع ، لم يجز إحياء الأراضي المتصلة به بحيث يبقى ضيّقاً على حاله بل لا بد من مراعاة أن لا يقلّ الفاصل المشتمل عليه عن خمسة أذرع ، والأفضل أن لا يقلّ عن سبعة أذرع ، فلو أقدم أحدُ على إحياء حريمه متجاوزاً على الحد المذكور لزم هدم المقدار الزائد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يلزم ولي المسلمين حسب ما يراه من المصلحة أن يكون الفاصل أزيد من خمسة أذرع ، وإلاّ وجب أتّباع أمره ، ولا يجوز التجاوز على الحد الذي يعيّنه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انقطعت المارّة عن الطريق ولم يرج عودهم إليه جاز لكل أحد إحياؤه ، سواء أكان ذلك لعدم وجودهم ، أو لمنع قاهر أياهم ، أو لهجرهم إياه واستطراقهم غيره ، أو لغيرها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مسبّلاً ، وإلاّ ففي جواز إحيائه من دون مراجعة ولي الأمر إشكال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 عرض الطريق عن خمسة أذرع ، فإن كان مسبّلاً لم يجز لأحد اقتطاع ما زاد عليها وإخراجه عن كونه طريقاً ، وأمّا أذا كان غير مسبّل فإن كان الزائد مورداً لاستفادة المستطرقين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الأحيان والحالات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ذلك أيضاً ، وإلاّ في جوازه إشكالٌ ، والأحوط العدم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25" w:name="pg18924_201817"/>
    </w:p>
    <w:p>
      <w:pPr>
        <w:pStyle w:val="Heading3"/>
        <w:numPr>
          <w:ilvl w:val="2"/>
          <w:numId w:val="1"/>
        </w:numPr>
        <w:rPr/>
      </w:pPr>
      <w:bookmarkStart w:id="126" w:name="__RefHeading___Toc15922636_1280447820"/>
      <w:bookmarkStart w:id="127" w:name="_Toc41"/>
      <w:bookmarkEnd w:id="125"/>
      <w:bookmarkEnd w:id="126"/>
      <w:r>
        <w:rPr>
          <w:rtl w:val="true"/>
        </w:rPr>
        <w:t>(</w:t>
      </w:r>
      <w:r>
        <w:rPr/>
        <w:t>2</w:t>
      </w:r>
      <w:r>
        <w:rPr>
          <w:rtl w:val="true"/>
        </w:rPr>
        <w:t xml:space="preserve">) </w:t>
      </w:r>
      <w:r>
        <w:rPr>
          <w:rtl w:val="true"/>
        </w:rPr>
        <w:t>الطرق المشتركة في الإعمار والاستثمار</w:t>
      </w:r>
      <w:bookmarkEnd w:id="127"/>
    </w:p>
    <w:p>
      <w:pPr>
        <w:pStyle w:val="BookText"/>
        <w:rPr/>
      </w:pPr>
      <w:r>
        <w:rPr>
          <w:rFonts w:ascii="Amiri" w:hAnsi="Amiri" w:eastAsia="Amiri" w:cs="Amiri"/>
          <w:color w:val="111111"/>
          <w:sz w:val="28"/>
          <w:sz w:val="28"/>
          <w:szCs w:val="28"/>
          <w:rtl w:val="true"/>
          <w:lang w:bidi="ar-SA"/>
        </w:rPr>
        <w:t xml:space="preserve">يشترك المسلمون في الإفادة من الطرق العامة النافذة اشتراكاً فعلياً في الإعمار والاستثمار شريطة أن لا يضر بالمستطرقين سلوكاً واستطراقاً وعائدية ، والطريق بعامة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وغير نافذ ، وقد أولى الشرع الشريف عناية فائقة بالقسمين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النافذ ، وهو الشارع العام ؛ والناس فيه شرع سواء ، ولا يجوز التصرف لأحد في أرضه ببناء حائط ، أو حفر بئر ، أو شق نهر ، أو نصب دكة ، أو غرس أشجار ونحو ذلك ، وإن لم يكن مضرّاً بالمستطرقين ، نعم لا بأس بما يعدّ من مكملاته ومحسناته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يشق فيه المجاري لتجتمع فيها مياه الأمطار ونحوها ، ومنها أن يجعل فيه حاويات الأزبال والنفايات ، ومنها غرس الأشجار ، ونصب المضلات وأعمدة الإنارة في الأماكن المناسبة منه كما هو المتعارف بالنسبة إلى جملة من الشوارع والطرق في العصر الحاضر ، فإن هذا كله مما لا بأس به إذا لم يكن مضراً بالمستطرقين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وههنا مسائل محكمة في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الاستفادة من فضاء الطرق النافذة والشوارع العامة بإحداث جناح أو نحوه إذا لم يكن مضراً بالمستطرقين بوجه ، وليس لأحد منع القائم بذلك حتى صاحب الدار المقابلة ، وإن استوعب الجناح عرض الطريق بحيث كان مانعاً عن إحداث جناح في مقابله ما لم يضع منه شيئاً على جداره ، نعم إذا استلزم الإشراف على دار الجار ففي جوازه إشكال ، وإن قيل بجواز مثله في تعلية البناء في ملكه ،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أحدث جناحاً على الشارع العام ثم انهدم أو هُدم ؛ فإن كان من قصده تجديده ثانياً ؛ فالظاهر أنه لا يجوز للطرف الآخر إشغال ذلك القضاء ، وإن لم يكن من قصده تجديده جاز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أحدث شخص جناحاً على الطريق العام فلا إشكال في أنه يجوز للطرف المقابل إحداث جناح آخر في طرفه سواء أكان أعلى من الجناح الأول أو أدنى منه ، أو موازياً له ، بشرط أن لا يكون مانعاً بوجه من استفادة الأول من جناحه كما هو الحال في الشوارع الوسيعة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مانعاً منها ولو بلحاظ إشغال الفضاء الذي يحتاج إليه صاحب الجناح الأول بحسب العادة ، ففي جواز إحداثه من دون إذنه إشكال بل منع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إحداث الأجنحة على الشوارع العامة يجوز فتح الأبواب المستجدة فيها سواء أكانت له باب أخرى أم لا ، </w:t>
      </w:r>
    </w:p>
    <w:p>
      <w:pPr>
        <w:pStyle w:val="BookText"/>
        <w:rPr/>
      </w:pPr>
      <w:r>
        <w:rPr>
          <w:rFonts w:ascii="Amiri" w:hAnsi="Amiri" w:eastAsia="Amiri" w:cs="Amiri"/>
          <w:color w:val="111111"/>
          <w:sz w:val="28"/>
          <w:sz w:val="28"/>
          <w:szCs w:val="28"/>
          <w:rtl w:val="true"/>
          <w:lang w:bidi="ar-SA"/>
        </w:rPr>
        <w:t xml:space="preserve">وكذا فتح الشبابيك والروازن عليها ، ونصب الميزاب فيها ، وكذا بناء ساباط عليها إذا لم يكن معتمداً على حائط غيره مع عدم إذنه ، ولم يكن مضرّاً بالمارة ولو من جهة الظلام ، وإذا فرض أنه كما يضرهم من جهة ينفعهم من جهة كالوقاية من الحرّ والبرد ، فلا بدّ من مراجعة ولي الأمر ليوازن بين الجهتين ، ويراعي ما هو الأصلح ، وكذا يجوز نقب سرداب تحت الجادة مع إحكام أساسه وبنيانه وسقفه بحيث يؤمن من الثقب والخسف والانهدام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غير النافذ ، وهو الذي لا يسلك منه إلى طريق آخر ، أو أرض مباحة ، لكونه محاطاً بالدور من جوانبه الثلاثة ، وهو المسمى بالسكة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عائد إلى مستطرقيه ، وهم أرباب الدور المفتوحة أبوابها إليه ، دون كل من كان حائط داره إليه ، وهو مشترك بينهم في حق الاستطراق بمقدار ما يشتركون في استطراقه ، فيكون أوله مشتركاً بين جميعهم ، ويقل عدد الشركاء كلما قرب إلى آخره ، وربما ينحصر ذو الحق في واحد ، وهو فيما إذا اختص آخر الدريبة بفتح باب واحد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يعلم كون الدريبة عائدة لبعضهم بالخصوص ، أو عائدة للجميع على وجه التساوي أو التفاضل وإلا ترتبت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مسائل في المقام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لمن له باب في الدريبة فتح باب آخر فيها أُدخِل من الباب الأول ، سواء مع سدّ الباب الأول أم بدونه ، إلا </w:t>
      </w:r>
    </w:p>
    <w:p>
      <w:pPr>
        <w:pStyle w:val="BookText"/>
        <w:rPr/>
      </w:pPr>
      <w:r>
        <w:rPr>
          <w:rFonts w:ascii="Amiri" w:hAnsi="Amiri" w:eastAsia="Amiri" w:cs="Amiri"/>
          <w:color w:val="111111"/>
          <w:sz w:val="28"/>
          <w:sz w:val="28"/>
          <w:szCs w:val="28"/>
          <w:rtl w:val="true"/>
          <w:lang w:bidi="ar-SA"/>
        </w:rPr>
        <w:t>مع الاستئذان في ذلك ممن له حق الاستطراق في المكان الثاني من أرباب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كان حائط داره إلى الدريبة إحداث جناح ، أو بناء ساباط ، أو نصب ميزاب ، أو ثقب سرداب ، أو غير ذلك من التصرفات فيها إلا بإذن أربابها ، كما لا يجوز له فتح باب إليها للاستطراق إلا بإذنهم ، نعم له فتح ثقبة وشباك إليها ، وأما فتح باب لا للاستطراق بل لمجرد التهوية أو الاستضاءة فلا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أصحاب الدريبة استطراقها والجلوس فيها من غير مزاحمة المستطرقين ، وكذا التردد منها إلى داره بنفسه وعائلته وضيوفه وكل ما يتعلق بشؤونه من دون إذن باقي الشركاء وإن كان فيهم القصّر ، ومن دون رعاية المساواة معهم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الانتفاع العام فمظنته الشوارع العامة ، إذ يجوز لكل أحد الجلوس فيها أو النوم أو الصلاة أو البيع أو الشراء أو نحو ذلك ما لم يكن مزاحماً للمستطرقين ، وليس لأحد منعه عن ذلك وإزعاجه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وههنا ثلاث مسائل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 أحد في موضع من الطريق ثم قام عنه ، فإن كان جلوسه جلوس استراحة ونحوها جاز لغيره أن يشغل موضع جلوسه ، وإن كان لحرفة ونحوها فإن كان قيامه بعد استيفاء </w:t>
      </w:r>
    </w:p>
    <w:p>
      <w:pPr>
        <w:pStyle w:val="BookText"/>
        <w:rPr/>
      </w:pPr>
      <w:r>
        <w:rPr>
          <w:rFonts w:ascii="Amiri" w:hAnsi="Amiri" w:eastAsia="Amiri" w:cs="Amiri"/>
          <w:color w:val="111111"/>
          <w:sz w:val="28"/>
          <w:sz w:val="28"/>
          <w:szCs w:val="28"/>
          <w:rtl w:val="true"/>
          <w:lang w:bidi="ar-SA"/>
        </w:rPr>
        <w:t>غرضه ، أو أنه لا ينوي العود كان الحال كذلك وليس للأول منعه ، وإن كان قيامه قبل استيفاء غرضه وكان ناوياً للعود فعندئذٍ إن بقي منه فيه متاع أو رحل أو بساط لم يجز لغيره إزاحته وإشغال ذلك الموضع ، وإلا ففي جوازه إشكال ، والاحتياط لا يترك فيما إذا كان في يوم واحد ، وأما إذا كان في يوم آخر فالظاهر إنه لا إشكال في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يجوز مزاحمة الجالس في موضع جلوسه ، كذلك لا يجوز مزاحمته فيما حوله قدر ما يحتاج إليه لوضع متاعه ووقوف المتعاملين فيه ، بل ليس لغيره أن يقعد حيث يمنع من رؤية متاعه أو وصول المتعاملين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للجالس للمعاملة أو نحوها أن يظل على موضع جلوسه بما لا يضر المارة بثوب أو بارية أو نحوهما ، وليس له بناء دكة ونحوها فيه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28" w:name="pg18924_201825"/>
    </w:p>
    <w:p>
      <w:pPr>
        <w:pStyle w:val="Heading3"/>
        <w:numPr>
          <w:ilvl w:val="2"/>
          <w:numId w:val="1"/>
        </w:numPr>
        <w:rPr/>
      </w:pPr>
      <w:bookmarkStart w:id="129" w:name="__RefHeading___Toc15922638_1280447820"/>
      <w:bookmarkStart w:id="130" w:name="_Toc42"/>
      <w:bookmarkEnd w:id="128"/>
      <w:bookmarkEnd w:id="129"/>
      <w:r>
        <w:rPr>
          <w:rtl w:val="true"/>
        </w:rPr>
        <w:t>(</w:t>
      </w:r>
      <w:r>
        <w:rPr/>
        <w:t>3</w:t>
      </w:r>
      <w:r>
        <w:rPr>
          <w:rtl w:val="true"/>
        </w:rPr>
        <w:t xml:space="preserve">) </w:t>
      </w:r>
      <w:r>
        <w:rPr>
          <w:rtl w:val="true"/>
        </w:rPr>
        <w:t>الشوارع المفتوحة من قبل الدولة</w:t>
      </w:r>
      <w:bookmarkEnd w:id="1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بغية تخطيط المدن تخطيطاً عمرانياً ، ونتيجة للكثافة السكانية ، وحلاً لظاهرة تزاحم المواصلات ، فقد تلجأ الدول إلى فتح الشوارع العامة فتستملك الدور والعقارات ، وتعوّض عادة المالكين ، وقد يشمل هذا الفتح المساجد والمعابد ضمن مساحات تلك الأراضي المستملكة ، ويترتب على ذلك حكم هذه الأرض ، فهل ترتب عليها آثار المسجدية أو آثار الوقفية ، وكيف؟ وما هو شأن أنقاضها في الأحكام ، فهل تصرف بأعيانها على عمارة مسجد آخر ، وهل يجوز بيعها من قبل المتولي إذا رأى المصلحة في ذلك ، وإلى ماذا تكون عائدية ثمنها ، فهل تصرف على مسجد آخر ، أم تعود للأوقاف العامة ، وما هو شأن المقابر الموجودة في تلك الطرق ، وما هو شأن المدارس والحسينيات الواقعة في الشوارع أو المتبقي شيء منها في أرصفتها المستحدثة ، وأخيراً ما هو حكم الاستطراق والمرور ، وأحكام الفضلات المتصلة بالأرصفة ، وغير هذا ما تجيب عليه المسائل الآتية المعبرة عن الحكم الشرعي عند سماحة السيد دام ظله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استطراق الشوارع والأرصفة المستحدثة الواقعة على الدور والأملاك الشخصية للناس التي تستملكها الدولة وتجعلها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علم أن موضعاً خاصاً منها قد قامت الدولة باستملاكه قهراً على صاحبه من دون إرضائه بتعويض أو ما بحكمه ، جرى عليه حكم الأرض المغصوبة ، فلا يجوز له التصرّف فيه حتى بمثل الاستطراق إلا مع استرضاء صاحبه أو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 أو الجدّ أو القيّم المنصوب من قبل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يعلم صاحبه جرى عليه حكم المجهول مالكه ، فيراجع بشأنه الحاكم الشرعي ، ومنه يظهر حكم الفضلات الباقية منها ، فإنه لا يجوز التصرف فيها إلا بإذن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العبور والمرور من أراضي المساجد الواقعة في الطرق ، وكذا يجوز الجلوس فيها ونحوه من التصرفات ، وهكذا الحال في أراضي الحسينيات والمقابر وما يشبههما من الأوقاف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أراضي المدارس وما شاكلها ففي جواز التصرّف فيها بمثل ذلك لغير الموقوف عليهم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المساجد الواقعة في الشوارع والأرصفة المستحدثة لا تخرج عرصتها عن الوقفية ، ولكن لا تترتب عليها الأحكام المترتبة على عنوان المسجد الدائرة مداره وجوداً وعدماً ، كحرمة تنجيسه ، ووجوب إزالة النجاسة عنه ، وعدم جواز مكث الجنب والحائض والنفساء فيه ، وما شاكل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الفضلات الباقية منها ، فإن لم تخرج عن عنوان </w:t>
      </w:r>
    </w:p>
    <w:p>
      <w:pPr>
        <w:pStyle w:val="BookText"/>
        <w:rPr/>
      </w:pPr>
      <w:r>
        <w:rPr>
          <w:rFonts w:ascii="Amiri" w:hAnsi="Amiri" w:eastAsia="Amiri" w:cs="Amiri"/>
          <w:color w:val="111111"/>
          <w:sz w:val="28"/>
          <w:sz w:val="28"/>
          <w:szCs w:val="28"/>
          <w:rtl w:val="true"/>
          <w:lang w:bidi="ar-SA"/>
        </w:rPr>
        <w:t xml:space="preserve">المسجدية ترتبت عليها جميع أحكامه ، وأمّا إذا 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جعلها الظالم دكّاناً أو محلاً أو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تترتب عليها تلك الأحكام ، ويجوز الانتفاع منها بجميع الانتفاعات المحللة الشرعية إلاّ ما يعدّ منها تثبيتاً للغصب ، فإنه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الأنقاض الباقية من المساجد بعد 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كأحجارها وأخشابها ، وآلاتها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كفرشها ، ووسائل إنارتها وتبريديها وتدفئتها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وقفاً عليها وجب صرفها في مسجد آخر ، فإن لم يمكن ذلك جعلت في المصالح العامة ، وإن لم يمكن الانتفاع بها إلا ببيعها باعها المتولي أو من بحكمه وصرف ثمنها على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أنقاض المسجد ملكاً له ، كما لو كانت قد اشتريت من منافع العين الموقوفة على المسجد ، فلا يجب صرف تلك الأنقاض بأنفسها على مسجد آخر ، بل يجوز للمتولي أو من بحكمه أن يبيعها إذا رأى المصلحة في ذلك ، فيصرف ثمنها على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التفصيل يجري أيضاً في أنقاض المدارس والحسينيات ونحوهما من الأوقاف العامة الواقعة في الطرقات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مقابر المسلمين الواقعة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الأملاك الشخصية أو من الأوقاف العامة ، فقد ظهر حكمها ممّا سبق ، هذا إذا لم يكن العبور والمرور عليها هتكاً لموتى المسلمين ، وإلاّ فلا يجوز</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تكن ملكاً ولا وقفاً فلا بأس بالتصرف فيها ما </w:t>
      </w:r>
    </w:p>
    <w:p>
      <w:pPr>
        <w:pStyle w:val="BookText"/>
        <w:rPr/>
      </w:pPr>
      <w:r>
        <w:rPr>
          <w:rFonts w:ascii="Amiri" w:hAnsi="Amiri" w:eastAsia="Amiri" w:cs="Amiri"/>
          <w:color w:val="111111"/>
          <w:sz w:val="28"/>
          <w:sz w:val="28"/>
          <w:szCs w:val="28"/>
          <w:rtl w:val="true"/>
          <w:lang w:bidi="ar-SA"/>
        </w:rPr>
        <w:t>لم يكن هتكاً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حال الأراضي الباقية منها ، فإنها على الغرض الأول لا يجوز التصرف فيها وشراؤها إلا بإذن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الغرض الثاني لا يجوز ذلك إلا بإذن المتولي ومن بحكمه ، فيصرف ثمنها في مقابر أخرى للمسلمين مع مراعاة الأقرب فالأقرب على الأحوط</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الغرض الثالث ، يجوز ذلك من دون حاجة إلى إذن أحد ، ما لم يستلزم التصرّف في ملك الغير كآثار القبور المهدّمة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31" w:name="pg18924_201832"/>
    </w:p>
    <w:p>
      <w:pPr>
        <w:pStyle w:val="Heading3"/>
        <w:numPr>
          <w:ilvl w:val="2"/>
          <w:numId w:val="1"/>
        </w:numPr>
        <w:rPr/>
      </w:pPr>
      <w:bookmarkStart w:id="132" w:name="__RefHeading___Toc15922640_1280447820"/>
      <w:bookmarkStart w:id="133" w:name="_Toc43"/>
      <w:bookmarkEnd w:id="131"/>
      <w:bookmarkEnd w:id="132"/>
      <w:r>
        <w:rPr>
          <w:rtl w:val="true"/>
        </w:rPr>
        <w:t>(</w:t>
      </w:r>
      <w:r>
        <w:rPr/>
        <w:t>4</w:t>
      </w:r>
      <w:r>
        <w:rPr>
          <w:rtl w:val="true"/>
        </w:rPr>
        <w:t xml:space="preserve">) </w:t>
      </w:r>
      <w:r>
        <w:rPr>
          <w:rtl w:val="true"/>
        </w:rPr>
        <w:t>المياه والأنهار والآبار والعيون</w:t>
      </w:r>
      <w:bookmarkEnd w:id="133"/>
    </w:p>
    <w:p>
      <w:pPr>
        <w:pStyle w:val="BookText"/>
        <w:rPr/>
      </w:pPr>
      <w:r>
        <w:rPr>
          <w:rFonts w:ascii="Amiri" w:hAnsi="Amiri" w:eastAsia="Amiri" w:cs="Amiri"/>
          <w:color w:val="111111"/>
          <w:sz w:val="28"/>
          <w:sz w:val="28"/>
          <w:szCs w:val="28"/>
          <w:rtl w:val="true"/>
          <w:lang w:bidi="ar-SA"/>
        </w:rPr>
        <w:t xml:space="preserve">وهي الأصل في استصلاح الأراضي ، واستنزال البركات ، ففيها تزدهر البلاد وتعمر الديار ، وفيها حياة الناس والحيوان والمزارع ، وعليها يقوم سلّم الحضارة فيبلغ ذروته في الإعمار والاستثمار والخيرات ، وعليها مدار الحياة البشرية في بلوغ النعم وسدّ متطلبات العيش الرغيد ، فلا حياة بلا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المباحات لكل أحد ، وفي ضوء مصادره وتملكه وإباحته ومسلتزماته وتبعاته تنطلق عدة مسائل تحدد الأحكام الشرعية المناطة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مياه الشطوط والأنهار الكبار كدجلة والفرات وما شاكلهما ، وهكذا الصغار التي جرت بنفسها من العيون أو السيول ، أو ذوبان الثلوج ، وكذا العيون المتفجرة من الجبال أو في أراضي الموات ونحوها ، كلها من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مملوكة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حاز منها شيئاً بآنية أو حوض أو غيرهما ، وقصد تملكه ملكه من غير فرق في ذلك بين المسلم والكافر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ماء من مطر أو غيره لو أجتمع بنفسه في مكان بلا يد خارجية عليه ؛ فهو من المباحات الأصلية ، فمنحازه بإناء أو غيره وقصد تملكه ملكه من دون فرق بين المسلم والكافر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مياه الآبار والعيون والقنوات التي جرت بالحفر لا بنفسها ملك الحافر ، فلا يجوز لأحد التصرف فيها بدون إذن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شقّ نهراً من بعض الأنهار الكبار سواء أكان بشقه في أرض مملوكة له ، أو بشقه في الموات بقصد إحيائه نهراً ، ملك ما يدخل فيه من الماء إذا قصد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النهر لأشخاص متعددين ، ملك كل منهم مقدار حصته من النهر ، فإن كانت حصة كل منهم من النهر بالسوية اشتركوا في الماء بالسوية ، وإن كانت بالتفاوت ملكوا الماء بتلك النسبة ، ولا تتبع نسبة استحقاق الماء نسبة استحقاق الأراضي التي تُسقى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الجاري في النهر المشترك حكمه حكم سائر الأموال المشتركة فلا يجوز لكل واحد من الشركاء التصرف فيه بدون إذن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أباح كل منهم لسائر شركائه أن يقضي حاجته منه في كل وقت وزمان ، وبأي مقدار شاء جاز له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بين الشركاء تعاسر وتشاجر ؛ فإن تراضوا بالتناوب والمهاباة بالأيام أو الساعات فهو ، وإلاّ فلا محيص من </w:t>
      </w:r>
    </w:p>
    <w:p>
      <w:pPr>
        <w:pStyle w:val="BookText"/>
        <w:rPr/>
      </w:pPr>
      <w:r>
        <w:rPr>
          <w:rFonts w:ascii="Amiri" w:hAnsi="Amiri" w:eastAsia="Amiri" w:cs="Amiri"/>
          <w:color w:val="111111"/>
          <w:sz w:val="28"/>
          <w:sz w:val="28"/>
          <w:szCs w:val="28"/>
          <w:rtl w:val="true"/>
          <w:lang w:bidi="ar-SA"/>
        </w:rPr>
        <w:t>تقسيمه بينهم بالأجزاء ، بأن توضع في فم النهر حديدة مثلاً ذات ثقوب متعددة متساوية ، ويجعل لكل منهم من الثقوب بمقدار حصته ، ويوصل كل منهم ما يجري في الثقبة المختصة به إلى ساقيته ، فإن كانت حصة أحدهم سدساً ، والآخر ثلثاً والثالث نصفاً ، فلصاحب السدس ثقب واحد ، ولصاحب الثالث ثقيان ، ولصاحب النصف ثلاثة ثقوب ، فلامجموع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بحسب الأجزاء لازمة ليس لأحدهم الرجوع عنها بعد وقوعها ، والظاهر أنها قسمة إجبار ، فإذا طلبها أحد الشركاء أجبر الممتنع منهم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القسمة بالمهاباة والتناوب فهي ليست بلازمة ، فيجوز لكل منهم الرجوع عنها حتى فيما إذا استوفى تمام نوبته ، ولم يستوف ألآخر نوبته ، وإن ضمن المستوفي حينئذٍ مقدار ما استوفاه بالمثل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اجتمعت أملاك على ماء عينٍ ، أو وادٍ ، أو نهر ، أو نحو ذلك من المشتركات كان للجميع حقّ السقي منه ، وليس لأحد منهم إحداث سدّ فوقها ليقبض الماء كله أو ينقصه عن مقدار احتياج الباقين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فإن كفى الماء للجميع من دون مراجعة فهو ، وإلاّ قدّم الأسبق فالأسبق في الأحياء إن كان عُلم السابق ، وإلا قدّم الأعلى فالأعلى والأقرب فالأقرب إلى فوهة العين أو أصل النهر ، وكذا الحال في الأنهار المملوكة المنشقة من الشطوط ، فإن كفى الماء للجميع وإلا قدّم الأسبق فالأسبق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w:t>
      </w:r>
    </w:p>
    <w:p>
      <w:pPr>
        <w:pStyle w:val="BookText"/>
        <w:rPr/>
      </w:pPr>
      <w:r>
        <w:rPr>
          <w:rFonts w:ascii="Amiri" w:hAnsi="Amiri" w:eastAsia="Amiri" w:cs="Amiri"/>
          <w:color w:val="111111"/>
          <w:sz w:val="28"/>
          <w:sz w:val="28"/>
          <w:szCs w:val="28"/>
          <w:rtl w:val="true"/>
          <w:lang w:bidi="ar-SA"/>
        </w:rPr>
        <w:t xml:space="preserve">شق نهره أسبق من شق نهر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سابق ولاحق وعُلِم ، وإلا فيقبض الأعلى بمقدار ما يحتاج إليه ثم ما يليه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تنقية النهر المشترك وإصلاحه ونحوهما على الجميع بنسبة ملكهم إذا كانوا مقدمين على ذلك باختيارهم ، وإما إذا لم يقدم على ذلك إلا البعض لم يجبر الممتنع ، كما أنه لا يجوز التصرف فيه لغيره إلا بإذنه ، وإذا أذن لهم بالتصرف فليس لهم مطالبته بحصته من المؤنة إلا إذا كان إقدامهم بطلبه وتعهده ببذل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النهر مشتركاً بين القاصر وغيره ، وكان إقدام غير القاصر متوقفاً على مشاركة القاصر ، إمّا لعدم اقتداره بدونه أو لغير ذلك ، وجب على ولي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إشراكه في التنقية والتعمير ونحوهما ، وبذل المؤنة من مال القاصر بمقدار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لصاحب النهر تحويل مجراه إلا بإذن صاحب الرحى المنصوبة عليه بإذنه ، وكذا غير الرحى أيضاً من الأشجار المغروسة على حافتيه وغيرها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لأحد أن يحمي المرعى ويمنع غيره عن رعي مواشيه إلاّ أن يكون المرعى ملكاً له ، فيجوز له أن يحميه حينئذٍ ، نعم لولي المسلمين أن يحمي المراعي العامة ، ويمنع من الرعي فيها حسب ما تقتضيه المصلحة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الاستيعاب الشامل لمسائل المياه والأنهار والآبار والعيون وما استلحق بها من التنقية والإصلاح والإعمار وحماية المراعي لهو بحق تسخيرٌ للموارد البشرية في استثمارها على الوجه الأكمل الذي أراده الله لعباده من أجل إعمار الأرض واستصلاحها بما فيه خير المجتمع الإنساني ، لينهض بحضارته إلى القمة في الحضارات</w:t>
      </w:r>
      <w:r>
        <w:rPr>
          <w:rFonts w:eastAsia="Amiri" w:cs="Amiri" w:ascii="Amiri" w:hAnsi="Amiri"/>
          <w:color w:val="111111"/>
          <w:sz w:val="28"/>
          <w:szCs w:val="28"/>
          <w:rtl w:val="true"/>
          <w:lang w:bidi="ar-SA"/>
        </w:rPr>
        <w:t xml:space="preserve">. </w:t>
      </w:r>
      <w:bookmarkStart w:id="134" w:name="pg18924_201840"/>
    </w:p>
    <w:p>
      <w:pPr>
        <w:pStyle w:val="Heading3"/>
        <w:numPr>
          <w:ilvl w:val="2"/>
          <w:numId w:val="1"/>
        </w:numPr>
        <w:rPr/>
      </w:pPr>
      <w:bookmarkStart w:id="135" w:name="__RefHeading___Toc15922642_1280447820"/>
      <w:bookmarkStart w:id="136" w:name="_Toc44"/>
      <w:bookmarkEnd w:id="134"/>
      <w:bookmarkEnd w:id="135"/>
      <w:r>
        <w:rPr>
          <w:rtl w:val="true"/>
        </w:rPr>
        <w:t>(</w:t>
      </w:r>
      <w:r>
        <w:rPr/>
        <w:t>5</w:t>
      </w:r>
      <w:r>
        <w:rPr>
          <w:rtl w:val="true"/>
        </w:rPr>
        <w:t xml:space="preserve">) </w:t>
      </w:r>
      <w:r>
        <w:rPr>
          <w:rtl w:val="true"/>
        </w:rPr>
        <w:t>إحياء الأرض الموات</w:t>
      </w:r>
      <w:bookmarkEnd w:id="136"/>
    </w:p>
    <w:p>
      <w:pPr>
        <w:pStyle w:val="BookText"/>
        <w:rPr/>
      </w:pPr>
      <w:r>
        <w:rPr>
          <w:rFonts w:ascii="Amiri" w:hAnsi="Amiri" w:eastAsia="Amiri" w:cs="Amiri"/>
          <w:color w:val="111111"/>
          <w:sz w:val="28"/>
          <w:sz w:val="28"/>
          <w:szCs w:val="28"/>
          <w:rtl w:val="true"/>
          <w:lang w:bidi="ar-SA"/>
        </w:rPr>
        <w:t xml:space="preserve">المراد بالموات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المتروكة التي لا ينتفع بها انتفاعاً معتدّاً به ، ولو بسبب انقطاع الماء عنها ، أو استيلاء المياه أو الأحجار أو الرمال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وكالأرض التي ينبت فيها الحشيش فتكون مرعى للدواب والأنعام ، وأما الغابات التي تكثر فيها الأشجار فليست من الموات بل هي من الأراضي العامرة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والموات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الموات بالأصل ، وهو ما لم تعرض عليه الحياة من قبل ، وما هو في حكمه كأكثر البراري والمفاوز والبوادي وسفوح 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الموات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عرض عليه الخراب والمَوَتان بعد الحياة والعمران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والموات بالأصل ملك للإمام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الأنفال ، ولكن يجوز إحياؤه لكل أحد ، فلو أحياه كان أحقّ به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لم يطرأ عنوان ثانوي يقتضي المنع من إحيائه ، كأن يكون حريماً لملك الغير ، أو كون إحيائه خلاف 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يجري فيه حكم الأنفال ويجوز إحياؤه من الأراضي الموات بالعارض قسمان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باد أهله ، أو هاجروا عنه ، وعدّ بسبب تقادم السنين ومرور الأزمنة مالاً بلا مالك كالأراضي المندرسة المتروكة ، والقرى الداثرة ، والبلاد الخربة ، والقنوات الطامسة ، والتي كانت للأمم الماضية الذين لم يبق منهم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عامراً حين الفتح ، ولكن طرأ عليه الخراب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الأراضي كما يجوز إحياؤها ، وإعمار خرابها ، كذلك يجوز حيازة موادها وأجزائها الباقية من الأخشاب والأحجار والآجر ، وما شاكل ذلك ، ويملكها الحائز إذا أخذها بقصد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أحيا أرضاً مواتاً تبعها حريمها بعد الإحياء ، وحريم كل شيء مقدار ما يتوقف عليه الانتفاع به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الإحياء هو الأصلاح الزراعي بعينه ، فقد أبيح للناس إحياء الأرض ، وفي هذا الضوء تجري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لمن أحياها ، بل ويضاف إليها حريمها في كل الصور والأحوال ، ليكون بها التصرف حراً طليقاً ، وتكون السيطرة عليها متمكنة ، والطريف أن لا يكون هذا الحريم مطلقاً ملكاً لمالك ماله </w:t>
      </w:r>
    </w:p>
    <w:p>
      <w:pPr>
        <w:pStyle w:val="BookText"/>
        <w:rPr/>
      </w:pPr>
      <w:r>
        <w:rPr>
          <w:rFonts w:ascii="Amiri" w:hAnsi="Amiri" w:eastAsia="Amiri" w:cs="Amiri"/>
          <w:color w:val="111111"/>
          <w:sz w:val="28"/>
          <w:sz w:val="28"/>
          <w:szCs w:val="28"/>
          <w:rtl w:val="true"/>
          <w:lang w:bidi="ar-SA"/>
        </w:rPr>
        <w:t xml:space="preserve">الحريم ، سواء أكان حريم قناة أو بئر أو قرية أو بستان أو دار أو نهر أو غيره ذلك ، وإنما لا يجوز لغيره مزاحمته فيه ، باعتبار أنه من متعلقات حقه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 هذا ، وبغية توضيح الأمر ، نحدد فيما يأتي مساحة حريم كلّ ما له علاقة بالبحث أصلاً ومتفرعاً في ضوء رأي سماحة السيد مدّ ظله الوارف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الدار ، عبارة عن مسلك الدخول إليها والخروج منها في الجهة التي يفتح إيها باب الدار ، ومطرح ترابها ، ورمادها ، وثلوجها ، ومصبّ مائها ، وما شاكل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حائط البستان ونحوه ، مقدار طرح ترابه ، والآلات ، والطين والجص إذا احتاج إلى الترميم والبناء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النهر ، مقدار طرح ترابه وطينه إذا احتاج إلى الإصلاح والتنقية والمجاز على حافتيه للمواظبة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البئر ؛ موضع وقوف النازح إذا كان الإستقاء منها باليد ، موضع البهيمة والدولاب والمضخة ، والموضع الذي يجتمع فيه الماء للزرع أو نحوه ، ومصبّه ، ومطرح ما يخرج منها من الطين عند الحاجة ونحو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 القرية ؛ ما تحتاج إليه في حفظ مصلحها ومصالح أهلها من مجمع ترابها وكناستها ، ومطرح سمادها ورمادها ، ومجمع أهاليها لمصالحهم ، ومسيل مائها ، والطرق </w:t>
      </w:r>
    </w:p>
    <w:p>
      <w:pPr>
        <w:pStyle w:val="BookText"/>
        <w:rPr/>
      </w:pPr>
      <w:r>
        <w:rPr>
          <w:rFonts w:ascii="Amiri" w:hAnsi="Amiri" w:eastAsia="Amiri" w:cs="Amiri"/>
          <w:color w:val="111111"/>
          <w:sz w:val="28"/>
          <w:sz w:val="28"/>
          <w:szCs w:val="28"/>
          <w:rtl w:val="true"/>
          <w:lang w:bidi="ar-SA"/>
        </w:rPr>
        <w:t>المسلوكة منها وإليها ، ومدفن موتاهم ، ومرعى ماشيتهم ، ومحتطبهم ،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بمقدار حاجة أهل القرية بحيث لو زاحم مزاحم لوقعوا في ضيق وحرج ، وهي تختلف باختلاف سعة القرية وضيقها ، وكثرة أهلِها وقلتهم ، وكثرة مواشيها ودوابها وقلتها ، وهكذا ، وليس لها ضابط غير ذلك ، وليس لأحد أن يزاحم أهاليها في هذه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حريم المزرعة ؛ ما يتوقف عليه الانتفاع منها ، ويكون من مرافقها كمسالك الدخول إليها والخروج منها ، ومحل بيادرها ، وحظائرها ، ومجتمع سمادها ، ومرعى مواشيها ، ونحو ذلك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وههنا مسألتان مهمتان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صدق إحياء الموات من العمل فيها إلى حد يصدق عليه أحد العناوين العامرة كالدار والبستان والمزرعة والحظيرة والبئر والقناة والنهر وما شاكل ذلك ، ولذلك يختلف ما اعتبر في الإحياء باختلاف العمارة ، فما اعتبر في إحياء البستان والمزرعة ونحوهما غير ما هو معتبر في إحياء الدار وما شاكلها ، وعليه فحصول الأولوية تابعٍ لصدق أحد هذه العناوين ونحوها ، ويدور مداره وجوداً وعدماً ، وعند الشك في حصولها يحكم بعدمها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الأراضي المنسوبة إلى طوائف العرب والعجم وغيرهم لمجاورتها لبيوتهم ومساكنهم من دون أحقيتهم بها بالإحياء ؛ باقيةٌ على إباحتها الأصلية ، فلا يجوز منع غيرهم من الانتفاع بها ، ولا يجوز لهم أخذ الأجرة ممن ينتفع بها ، وإذا قسّموها فيما بينهم لرفع التشاجر والنزاع لا تكون القسمة صحيحة فيجوز لكل من المتقاسمين التصرف فيما يختص بالآخر بحسب القسمة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كانوا يحتاجون إليها لرعي الحيوان أو نحو ذلك كانت من حريم أملاكهم ، ولا يجوز لغيرهم مزاحمتهم وتعطيل حوائجهم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37" w:name="pg18924_201848"/>
    </w:p>
    <w:p>
      <w:pPr>
        <w:pStyle w:val="Heading2"/>
        <w:numPr>
          <w:ilvl w:val="1"/>
          <w:numId w:val="1"/>
        </w:numPr>
        <w:rPr/>
      </w:pPr>
      <w:bookmarkStart w:id="138" w:name="__RefHeading___Toc15922644_1280447820"/>
      <w:bookmarkStart w:id="139" w:name="_Toc45"/>
      <w:bookmarkEnd w:id="137"/>
      <w:bookmarkEnd w:id="138"/>
      <w:r>
        <w:rPr>
          <w:rtl w:val="true"/>
        </w:rPr>
        <w:t xml:space="preserve">الفصل الرابع </w:t>
      </w:r>
      <w:r>
        <w:rPr>
          <w:rtl w:val="true"/>
        </w:rPr>
        <w:t xml:space="preserve">: </w:t>
      </w:r>
      <w:r>
        <w:rPr>
          <w:rtl w:val="true"/>
        </w:rPr>
        <w:t>السفر إلى أوروبا والخطوط الجوية والقبلة في نيويورك</w:t>
      </w:r>
      <w:bookmarkEnd w:id="139"/>
    </w:p>
    <w:p>
      <w:pPr>
        <w:pStyle w:val="Heading3"/>
        <w:numPr>
          <w:ilvl w:val="2"/>
          <w:numId w:val="1"/>
        </w:numPr>
        <w:rPr/>
      </w:pPr>
      <w:bookmarkStart w:id="140" w:name="__RefHeading___Toc15922646_1280447820"/>
      <w:bookmarkStart w:id="141" w:name="_Toc46"/>
      <w:bookmarkEnd w:id="140"/>
      <w:r>
        <w:rPr>
          <w:rtl w:val="true"/>
        </w:rPr>
        <w:t>اشارة</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إلى البلدان الأوروبية والأجنبية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السفر الجوية في تأصيل حضاري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 في نيويورك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متفرقات في أحكام السفر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8924_201851"/>
      <w:bookmarkStart w:id="143" w:name="pg18924_201851"/>
      <w:bookmarkEnd w:id="143"/>
    </w:p>
    <w:p>
      <w:pPr>
        <w:pStyle w:val="Heading3"/>
        <w:numPr>
          <w:ilvl w:val="2"/>
          <w:numId w:val="1"/>
        </w:numPr>
        <w:rPr/>
      </w:pPr>
      <w:bookmarkStart w:id="144" w:name="pg18924_201851"/>
      <w:bookmarkStart w:id="145" w:name="__RefHeading___Toc15922648_1280447820"/>
      <w:bookmarkStart w:id="146" w:name="_Toc47"/>
      <w:bookmarkEnd w:id="144"/>
      <w:bookmarkEnd w:id="145"/>
      <w:r>
        <w:rPr>
          <w:rtl w:val="true"/>
        </w:rPr>
        <w:t>(</w:t>
      </w:r>
      <w:r>
        <w:rPr/>
        <w:t>1</w:t>
      </w:r>
      <w:r>
        <w:rPr>
          <w:rtl w:val="true"/>
        </w:rPr>
        <w:t xml:space="preserve">) </w:t>
      </w:r>
      <w:r>
        <w:rPr>
          <w:rtl w:val="true"/>
        </w:rPr>
        <w:t>السفر إلى البلدان الأوروبية والأجنبية</w:t>
      </w:r>
      <w:bookmarkEnd w:id="1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تقتضي حياة الإنسان الاقتصادية أو السياسية أو المَرضية أن يهجر بلده الإسلامي هجرة موقتة أو دائمة ، وهذا مما لا مانع فيه بشروطه وأحكامه كما سيأتي ، بل قد يستحسن إذا كان الهدف منه الأمر بالمعروف والنهي عن المنكر ، وإقامة شرائع الدين ، ولكنه قد يحرم إذا استلزم التعرب بعد الهجرة ، ونقص الدين ، والاستهتار بشريعة سيد المرسلين ، نعم إذا حكمت الضرورة على المسلم أن يهاجر إلى البلاد غير الإسلامية مع علمه بأن تلك الهجرة تستوجب نقصاناً في دينه ، كما لو سافر لإنقاذ نفسه من الموت المحتّم أو غير ذلك من الأمور المهمة ، جاز له السفر حينئذٍ بالقدر الذي يرفع الضرورة دون ما يزيد عليها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مانع أن يقيم في البلدان الأوروبية والاجنبية وهو ملتزم بدينه ، غير مخلًّ بواجباته الشرعية ، وغير معرض نفسه وأهله وأبناءه لمخاطر الانحراف عن الجادة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يأمن مع بقاءه بتلك </w:t>
      </w:r>
    </w:p>
    <w:p>
      <w:pPr>
        <w:pStyle w:val="BookText"/>
        <w:rPr/>
      </w:pPr>
      <w:r>
        <w:rPr>
          <w:rFonts w:ascii="Amiri" w:hAnsi="Amiri" w:eastAsia="Amiri" w:cs="Amiri"/>
          <w:color w:val="111111"/>
          <w:sz w:val="28"/>
          <w:sz w:val="28"/>
          <w:szCs w:val="28"/>
          <w:rtl w:val="true"/>
          <w:lang w:bidi="ar-SA"/>
        </w:rPr>
        <w:t xml:space="preserve">البلدان على دينه ولم يأمن أن يؤدي إلى تقصير شرعي في أداء واجباته ، أو يؤدي إلى عدم حفاظ أبنائه وعائلته على المستلزمات الشرعية ، فيجب عليه العودة إلى بلاده حيث لا يحتمل تفريطه بالدين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فقد أفتى سماحة السيد دام ظله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 السفر إلى البلدان غير الإسلامية أينما كانت في شرق الأرض وغربها ، إذا استوجب ذلك السفر نقصاناً في دين المسلم ، سواء أكان الغرض من ذلك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السياحة أم التجارة أم الدراسة أم الإقامة الموقتة أم السكنى الدائمة ، أم غير ذلك من الأسباب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المناخ المتقلب في ظروفه ودواعيه ومشكلاته أولاه سماحة السيد دام ظله العالي أولويات اهتماماته العلمية من أجل إيضاح الأمر بين يدي السالكين ، وليكون كل عند موقعه المناسب معرفة بأحكامه الشرعية ، ومتدبراً لأمره فلا ينقض اليوم ما أبرمه بالأمس ، ولا يتجاوز حدود ما سمحت به الشريعة الغراء ، ليكون على سلامة من دينه ، وبصيرة من أمره ، وقد أجاب سماحة السيد دام ظله الوريف على عدة مسائل في هذا الشأن ، نختار أعلقها بالموضوع صلة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التعرب بعد الهجرة الذي هو من الذنوب الكبيرة؟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إنه ينطبق في هذا الزمان على الإقامة في البلاد التي ينقص فيها الدين ؛ والمقصود هو أن ينتقل المكلّف من بلد يتمكن فيه من تعلم ما يلزمه من المعارف الدينية والأحكام الشرعية ، ويستطيع فيه أداء ما وجب عليه في الشريعة المقدسة ، وترك ما حُرّمَ عليه فيها إلى بلد لا يستطيع فيه على ذلك كلاً أو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يشعر الساكن في أوروبا وأمريكا وأضرابهما بغربته عن أجوائه الدينية التي نشأ عليها وتربى فيها ، فلا صوت للقرآن يسمع ، ولا صوت الأذان يعلو ، ولا الزيارة للمشاهد المقدسة وأجوائها الروحية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يعدّ تركه لأجوائه الإسلامية في بلده وما يصاحبها من أعمال خيرية ، ثم معيشته هنا بعيداً عنها ، نقصاناً في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ذلك نقصاناً يحرم بسبب السكن في تلك البلدان نعم الابتعاد عن الأجواء الدينية ربما يؤدي بمرور الزمن إلى ضعف الجانب الإيماني في الشخص إلى الحد الذي يستصغر معه ترك بعض الواجبات ، أو ارتكاب بعض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المكلّف يخاف أن ينقص دينه بالحد المذكور جرّاء الإقامة في تلك البلدان ، لم يجز له الإقامة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لا يقع الساكن في أوروبا وأمريكا وأضرابهما بمحرمات لا يقع بها لو بقي في بلده الإسلامي ، فمظاهر الحياة العادية بما فيها من إثارة ، تجرّ المكلّف إلى الحرام عادةً ، حتى لو لم يكن راغباً بذلك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يعدّ هذا نقصاناً في الدين يوجب حرمة السكن تبعاً؟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إلا إذا كانت من الصغائر التي تقع أحياناً ومن غير إصرار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ازدادت حالات الوقوع في الحرام عما كانت عليه سابقاً من مبلّغ إسلامي حريص على دينه ، وذلك لخصوصيات البيئة والمجتمع ، كانتشار حالات التبرج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يحرم عليه البقاء في بلدان كهذه ، فيتحتم عليه ترك التبليغ والعودة لوطنه؟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يبتلى ببعض الصغائر اتفاقاً ، لم يحرم عليه البقاء فيها ، إذا كان واثقاً من عدم انجراره إلى ما هو أعظم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خاف المهاجر من نقصان دين أولاده ، فهل يحرم عليه البقاء في بلدانٍ كهذه؟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كما في الحال بالنسبة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استطاع المكلّف أن يدعو غير المسلمين للإسلام ، أو أن يزيد في تثبيت دين المسلمين في البلدان غير الإسلامية من دون خوف من النقصان في دينه ، فهل يجب عليه التبليغ؟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كفايةً عليه ، وعلى سائر من يستطيع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البقاء في دول غير إسلامية على ما فيها من منكرات تعرض للإنسان في الشارع أو المدرسة أو التلفزيون أو ما شاكل ذلك ، مع إمكانه الانتقال إلى دول إسلامية ، ولكن الانتقال يسبب له مشاكل في الإقامة وخسارة مادية ، وضيقاً في الأمور الدنيوية ، ونقصاً في الرفاهية ، وإذا كان لا يجوز له البقاء ، فهل </w:t>
      </w:r>
    </w:p>
    <w:p>
      <w:pPr>
        <w:pStyle w:val="BookText"/>
        <w:rPr/>
      </w:pPr>
      <w:r>
        <w:rPr>
          <w:rFonts w:ascii="Amiri" w:hAnsi="Amiri" w:eastAsia="Amiri" w:cs="Amiri"/>
          <w:color w:val="111111"/>
          <w:sz w:val="28"/>
          <w:sz w:val="28"/>
          <w:szCs w:val="28"/>
          <w:rtl w:val="true"/>
          <w:lang w:bidi="ar-SA"/>
        </w:rPr>
        <w:t>يجوزه له كونه مهتماً بأمور التبليغ بين المسلمين هنا ، مذكراً لهم ببعض واجباتهم ، ومنبهاً إلى ما يجب عليهم تركه من محرمات؟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تحرم الإقامة في تلك البلاد إذا لم تكن عائقاً عن قيامه بالتزاماته الشرعية بالنسبة إلى نفسه وعائلته فعلاً ومستقبلاً ، وإلاّ فلا تجوز وإن كان قائماً ببعض الأمور التبليغية ، والله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8924_201859"/>
    </w:p>
    <w:p>
      <w:pPr>
        <w:pStyle w:val="Heading3"/>
        <w:numPr>
          <w:ilvl w:val="2"/>
          <w:numId w:val="1"/>
        </w:numPr>
        <w:rPr/>
      </w:pPr>
      <w:bookmarkStart w:id="148" w:name="__RefHeading___Toc15922650_1280447820"/>
      <w:bookmarkStart w:id="149" w:name="_Toc48"/>
      <w:bookmarkEnd w:id="147"/>
      <w:bookmarkEnd w:id="148"/>
      <w:r>
        <w:rPr>
          <w:rtl w:val="true"/>
        </w:rPr>
        <w:t>(</w:t>
      </w:r>
      <w:r>
        <w:rPr/>
        <w:t>2</w:t>
      </w:r>
      <w:r>
        <w:rPr>
          <w:rtl w:val="true"/>
        </w:rPr>
        <w:t xml:space="preserve">) </w:t>
      </w:r>
      <w:r>
        <w:rPr>
          <w:rtl w:val="true"/>
        </w:rPr>
        <w:t>حركة السفر الجوية في تأصيل حضاري</w:t>
      </w:r>
      <w:bookmarkEnd w:id="14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تطورت حركة السفر بين الأقطار والأقاليم ، فانتقلت من الوسائل البدائية إلى السيارات والقاطرات والطائرات ، واستقر التنقل في المسافات البعيدة بل وحتى القريبة على الخطوط الجوية بمختلف وسائلها العاديّة المحركات والنفاثة التصميم ، وما يدرينا فلعل هذا النوع من التنقل الذي أصبح اعتيادياً ، أن يتطور في قفزة أخرى إلى ما هو أكثر سرعة قد لا تحد بحدود ، وكان هذا التقدم الحضاري في المواصلات قد فرض كيانه في استحصال طائفة من الأحكام المتعلقة به ، فكان الفقه الحضاري مواكباً لهذا الازدهار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حدب سماحة السيد دام ظله الشريف أن يتعقب ما يجري على الساحة التكنولوجية والصناعية متابعاً تطورها وتسابقها في مجال التأهيل الصناعي واقعاً وافتراضاً باحتمال تطوره أكثر فأكثر ، وكان هذا الالتفات يشكل انعطافاً فقهياً جديداً يحقق آمال المعنيين في الشؤون الدينية طلباً لأحكامهم الشرعية في ضوء هذه المستجدات المعاصرة ، لأنها تفرض بطبيعتها مرونة جديدة تسايرها فيها </w:t>
      </w:r>
    </w:p>
    <w:p>
      <w:pPr>
        <w:pStyle w:val="BookText"/>
        <w:rPr/>
      </w:pPr>
      <w:r>
        <w:rPr>
          <w:rFonts w:ascii="Amiri" w:hAnsi="Amiri" w:eastAsia="Amiri" w:cs="Amiri"/>
          <w:color w:val="111111"/>
          <w:sz w:val="28"/>
          <w:sz w:val="28"/>
          <w:szCs w:val="28"/>
          <w:rtl w:val="true"/>
          <w:lang w:bidi="ar-SA"/>
        </w:rPr>
        <w:t xml:space="preserve">الأحكام مسايرة الظل للشاخص ، وهي تؤثر في ديناميكية الحكم الشرعي في ضوء ظروفه الجديدة ، لا سيما في الأركان التي يقوم عليها الدين في أصوله الأولى كالصلاة والصيام وجزئيات أحكامهما التي يعنى بها المسلمون تعبداً وتكليفاً ، فكان لا بد للشرع الشريف أن يعطي رأيه في ذلك لأنه محل ابتلاء العاملين بمسائل الدين ، ولقد استقصى سماحة السيد دام ظله الوارف احتمالات هذا التطور ، وقلّب الأمر على وجوهه كافة ، فخرج بطائفة يعتد بها من المسائل والأحكام التي قد تعرض للمسلم المعاصر ، فوضع في نصابها ، وترجمها بأبوابها ، فكان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سافر الصائم في شهر رمضان جواً بعد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يفطر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الغرب ، فوصل إلى مكان لم تغرب الشمس فيه بعد ، فهل يجب عليه الإمساك إلى الغروب؟</w:t>
      </w:r>
    </w:p>
    <w:p>
      <w:pPr>
        <w:pStyle w:val="BookText"/>
        <w:rPr/>
      </w:pPr>
      <w:r>
        <w:rPr>
          <w:rFonts w:ascii="Amiri" w:hAnsi="Amiri" w:eastAsia="Amiri" w:cs="Amiri"/>
          <w:color w:val="111111"/>
          <w:sz w:val="28"/>
          <w:sz w:val="28"/>
          <w:szCs w:val="28"/>
          <w:rtl w:val="true"/>
          <w:lang w:bidi="ar-SA"/>
        </w:rPr>
        <w:t>الظاهر عدم الوجوب وإن كان ذلك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صلى المكلّف صلاة الصبح في بلده ، ثم سافر إلى جهة الغرب فوصل إلى بلد لم يطلع فيه الفجر بعد ، ثم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صلى صلاة الظهر في بلده ، ثم سافر جواً فوصل إلى بلد لم تزل الشمس فيه بعد ، ثم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صلى صلاة المغرب فيه ، ثم سافر فوصل إلى بلد لم تغرب الشمس فيه ، ثم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تجب عليه إعادة الصلاة في جميع هذه الفروض؟</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الوجوب ، والأظهر عدمه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وقت الصلاة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طلعت الشمس أو غربت ولم يصل الصبح أو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 جواً فوصل إلى بلد </w:t>
      </w:r>
    </w:p>
    <w:p>
      <w:pPr>
        <w:pStyle w:val="BookText"/>
        <w:rPr/>
      </w:pPr>
      <w:r>
        <w:rPr>
          <w:rFonts w:ascii="Amiri" w:hAnsi="Amiri" w:eastAsia="Amiri" w:cs="Amiri"/>
          <w:color w:val="111111"/>
          <w:sz w:val="28"/>
          <w:sz w:val="28"/>
          <w:szCs w:val="28"/>
          <w:rtl w:val="true"/>
          <w:lang w:bidi="ar-SA"/>
        </w:rPr>
        <w:t>لم تطلع الشمس فيه ، أو لم تغرب بعد ، فهل عليه الصلاة أداءً أو قضاءً أو بقصد ما في الذمة؟</w:t>
      </w:r>
    </w:p>
    <w:p>
      <w:pPr>
        <w:pStyle w:val="BookText"/>
        <w:rPr/>
      </w:pPr>
      <w:r>
        <w:rPr>
          <w:rFonts w:ascii="Amiri" w:hAnsi="Amiri" w:eastAsia="Amiri" w:cs="Amiri"/>
          <w:color w:val="111111"/>
          <w:sz w:val="28"/>
          <w:sz w:val="28"/>
          <w:szCs w:val="28"/>
          <w:rtl w:val="true"/>
          <w:lang w:bidi="ar-SA"/>
        </w:rPr>
        <w:t>فيه وجوه ، والأحوط هو الاتيان بها بقصد ما في الذمة ، أي الأعم من الأداء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سافر جواً بالطائرة وأراد الصلاة فيها ، فإن تمكّن من الإتيان بها إلى القبلة واجداً لشرطَي الاستقبال والاستقرار ولغيرهما من الشرائط صحّت ، وإلا لم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سعة الوقت ، بحيث يتمكن من الإتيان بها واجدة للشرائط بعد النزول من الطائرة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ضاق الوقت ، وجب عليه الإتيان بها فيها ، وعندئذٍ إن علم بكون القبلة في جهة خاصة صلى إليها ، ولا تصح صلاته لو أخلّ بالاستقبال إلاّ مع الضرورة ، وحينئذٍ ينحرف إلى القبلة كلّما انحرفت الطائرة ، ويسكت عن القراءة والذكر في حال الانحراف ، وإن لم يتمكن من استقبال عين القبلة فعليه مراعاة أن تكون بين اليمين واليسار ، وإن لم يعلم بالجهة التي توجد فيها القبلة بذل جهده في معرفتها ، ويعمل على ما يحصل له من الظّن ، ومع تعذره يكتفي بالصلاة إلى أي جهة يحتمل وجود القبلة فيها ، وإن كان الأحوط الإتيان بها 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تمكن من الاستقبال ، وإن لم يتمكن منه إلاّ في تكبيرة الإحرام اقتصر عليه ، وإن لم يتمكن منه أصلاً سقط</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جواز ركوب الطائرة ونحوها اختياراً قبل دخول </w:t>
      </w:r>
    </w:p>
    <w:p>
      <w:pPr>
        <w:pStyle w:val="BookText"/>
        <w:rPr/>
      </w:pPr>
      <w:r>
        <w:rPr>
          <w:rFonts w:ascii="Amiri" w:hAnsi="Amiri" w:eastAsia="Amiri" w:cs="Amiri"/>
          <w:color w:val="111111"/>
          <w:sz w:val="28"/>
          <w:sz w:val="28"/>
          <w:szCs w:val="28"/>
          <w:rtl w:val="true"/>
          <w:lang w:bidi="ar-SA"/>
        </w:rPr>
        <w:t>الوقت وإن علم أنه يضطر إلى أداء الصلاة فيها فاقداً لشرطي الاستقبال والاستقرار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ركب طائرة كانت سرعتها سرعة حركة الأرض ، وكانت متجهة من الشرق إلى الغرب ، ودارت حول الأرض مدة من الزمن ، فالأحوط الإتيان بالصوات الخمس بنية القربة المطلقة في كل أربع وعشرين ساعة ، وأما الصيام فيجب 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سرعتها ضعف سرعة الأرض فعندئذٍ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الدورة في كل اثنتي عشر ساعة ، وفي هذه الحالة هل يجب عليه الإتيان بصلاة الصبح عند كل فجر ، وبالظهرين عند كل زوال ، وبالعشائين عند كل غروب؟</w:t>
      </w:r>
    </w:p>
    <w:p>
      <w:pPr>
        <w:pStyle w:val="BookText"/>
        <w:rPr/>
      </w:pP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دارت حول الأرض بسرعة فائقة حيث تتم كل دورة في ثلاث ساعات مثلاً أو أقل ، فالظاهر عدم وجوب الصلاة عليه عند كل فجرٍ وزوالٍ وغيروب ، والأحوط حينئذٍ الإتيان بها في كل أربع وعشرين ساعة بنية القربة المطلقة ، مراعياً وقوع صلاة الصبح بين طلوعين ، والظهرين بين زوال وغروب بعدها ، والعشائين بين غروب ونصف ليل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حال ما إذا كانت حركة الطائرة من الغرب إلى الشرق ، وكانت سرعتها مساوية لسرعة حركة الأرض ، فإن الأظهر حينئذ الإتيان بالصلوات في أوقاتها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فيما إذا كانت سرعتها أقل من سرعة الأرض ، وأما إذا كانت سرعتها أكثر من سرعة الأرض بكثير ، بحيث تتم </w:t>
      </w:r>
    </w:p>
    <w:p>
      <w:pPr>
        <w:pStyle w:val="BookText"/>
        <w:rPr/>
      </w:pPr>
      <w:r>
        <w:rPr>
          <w:rFonts w:ascii="Amiri" w:hAnsi="Amiri" w:eastAsia="Amiri" w:cs="Amiri"/>
          <w:color w:val="111111"/>
          <w:sz w:val="28"/>
          <w:sz w:val="28"/>
          <w:szCs w:val="28"/>
          <w:rtl w:val="true"/>
          <w:lang w:bidi="ar-SA"/>
        </w:rPr>
        <w:t>الدورة في ثلاث ساعات مثلاً أو أقلّ ، فيظهر حكمه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وظيفته الصيام في السفر ، وطلع عليه الفجر في بلده ، ثم سافر جواً ناوياً للصوم ، ووصل إلى بلد آخر لم يطلع في الفجر بعد ، فهل يجوز له الأكل والشرب ونحوهما؟ الظاهر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سافر في شهر رمضان من بلده بعد الزوال ووصل إلى بلد لم تزل فيه الشمس بعد ، فهل يجب عليه الإمساك وإتمام الصوم؟ الأحوط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وضيفته الصيام في السفر ، إذا سافر من بلده الذي رؤي فيه هلال رمضان إلى بلد لم يُرَ فيه الهلال بعد ، لاختلافهما في الأفق ، لم يجب عليه صيام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عيّد في بل رؤي فيه هلال شوال ، ثم سافر إلى بلد لم يُرَ فيه الهلال ، لاختلاف أفقهما ، فالأحوط له الإمساك بقية ذلك اليوم وقضاؤه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فُرِضَ كون المكلّف في مكان نهاره ستة أشهر ، وليله ستة أشهر مثلاً ، فالأحوط له في الصلاة ملاحظة أقرب الأماكن التي لها ليل ونهار كل أربع وعشرين ساعة ، فيصلي الخمس على حسب أوقاتها بنية القربة المطلقة ، وأما في الصوم فيجب عليه الانتقال إلى بلد يتمكن فيه من الصيام إمّا في شهر رمضان او من بعده ، وإن لم يتمكن من ذلك فعليه الفدية بدل الصوم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في بلد له في كل أربع وعشرين ساعة ليل </w:t>
      </w:r>
    </w:p>
    <w:p>
      <w:pPr>
        <w:pStyle w:val="BookText"/>
        <w:rPr/>
      </w:pPr>
      <w:r>
        <w:rPr>
          <w:rFonts w:ascii="Amiri" w:hAnsi="Amiri" w:eastAsia="Amiri" w:cs="Amiri"/>
          <w:color w:val="111111"/>
          <w:sz w:val="28"/>
          <w:sz w:val="28"/>
          <w:szCs w:val="28"/>
          <w:rtl w:val="true"/>
          <w:lang w:bidi="ar-SA"/>
        </w:rPr>
        <w:t xml:space="preserve">ونهار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نهاره ثلاثاً وعشرين ساعة ، وليله ساعة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الصلاة يدور مدار الأوقات الخاصة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صوم شهر رمضان فيجب عليه أداؤه مع التمكن منه ، ويسقط مع عدم التمكن ، فإن تمكن من قضائه وجب ، وإلاّ فعليه الفدية بدله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150" w:name="pg18924_201869"/>
    </w:p>
    <w:p>
      <w:pPr>
        <w:pStyle w:val="Heading3"/>
        <w:numPr>
          <w:ilvl w:val="2"/>
          <w:numId w:val="1"/>
        </w:numPr>
        <w:rPr/>
      </w:pPr>
      <w:bookmarkStart w:id="151" w:name="__RefHeading___Toc15922652_1280447820"/>
      <w:bookmarkStart w:id="152" w:name="_Toc49"/>
      <w:bookmarkEnd w:id="150"/>
      <w:bookmarkEnd w:id="151"/>
      <w:r>
        <w:rPr>
          <w:rtl w:val="true"/>
        </w:rPr>
        <w:t>(</w:t>
      </w:r>
      <w:r>
        <w:rPr/>
        <w:t>3</w:t>
      </w:r>
      <w:r>
        <w:rPr>
          <w:rtl w:val="true"/>
        </w:rPr>
        <w:t xml:space="preserve">) </w:t>
      </w:r>
      <w:r>
        <w:rPr>
          <w:rtl w:val="true"/>
        </w:rPr>
        <w:t>القبلة في نيويورك</w:t>
      </w:r>
      <w:bookmarkEnd w:id="152"/>
    </w:p>
    <w:p>
      <w:pPr>
        <w:pStyle w:val="BookText"/>
        <w:rPr/>
      </w:pPr>
      <w:r>
        <w:rPr>
          <w:rFonts w:ascii="Amiri" w:hAnsi="Amiri" w:eastAsia="Amiri" w:cs="Amiri"/>
          <w:color w:val="111111"/>
          <w:sz w:val="28"/>
          <w:sz w:val="28"/>
          <w:szCs w:val="28"/>
          <w:rtl w:val="true"/>
          <w:lang w:bidi="ar-SA"/>
        </w:rPr>
        <w:t xml:space="preserve">ما زالت القبلة في الولايات المتحدة وفي نيويورك بخاصة مثار جدل واختلاف نظر عند الفقهاء ، فبعضهم يرجح فيها الاتجاه إلى المشرق المتمايل إلى الجنوب بحجة أن مكة المكرمة تقع تحت خط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ونيويورك تقع فوق خط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التدقيق أن اتجاه الكعبة في نيويورك بالنسبة للمتجه إليها متمايلاً إلى الجنوب دون الشمال ، بينما الذي يختاره سماحة السيد دام ظله الشريف الاتجاه نحو الشمال الشرقي باعتبار أن الخطوط المتوازية بالنسبة لبدن المصلي تكون في خط مقوس نظراً لتقوس ظهر الأرض فتصل إلى الكعبة ولو احتمالاً ، وهو في هذا الضوء يعطي التفصيل الآتي تغطية لأبعاد الموضوع من وجهاته كافة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سماحة السيد أعز الله مجده الوريف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استقبال القبلة في الأماكن البعيدة التي يجول بينها وبين الكعبة المعظمة تقوس الأرض إنما يتحقق بأن تتجه الخطوط المتوازية المبدوءة من مقاديم بدن المصلي والمقوسة بتقوّس سطح الأرض إلى الجهة </w:t>
      </w:r>
    </w:p>
    <w:p>
      <w:pPr>
        <w:pStyle w:val="BookText"/>
        <w:rPr/>
      </w:pPr>
      <w:r>
        <w:rPr>
          <w:rFonts w:ascii="Amiri" w:hAnsi="Amiri" w:eastAsia="Amiri" w:cs="Amiri"/>
          <w:color w:val="111111"/>
          <w:sz w:val="28"/>
          <w:sz w:val="28"/>
          <w:szCs w:val="28"/>
          <w:rtl w:val="true"/>
          <w:lang w:bidi="ar-SA"/>
        </w:rPr>
        <w:t>التي تقع فيها الكعبة المعظمة بحيث تنتهي إليها ولو احتمالاً ، ويتضح جلياً اتجاه هذه الخطوط إذا ربطنا بين موقف المصلي والكعبة المعظمة على الخارطة الكروية بخيط ، مراعين استقامته وعدم انحرافه يميناً أو شمالاً ، وحسب اختبارنا يكون اتجاه هذا الخيط في مثل نيويورك من مناطق أمريكا الشمالية نحو الشرق المتمايل إلى الشمال بالمقدار الذي يشير إليه الخط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من أن مكة المكرمة تقع تحت خط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ونيويورك تقع فوق خط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 يكون الواقف في نيويورك إلى جهة الكعبة المشرفة متمايلاً إلى الجنوب دون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أن هذا إنما يصح بالنظر إلى الخارطة المسطحة دون الكروية ، بل إن تغيّر اتجاه الخيط المذكور في الخارطة الكروية إنما نشأ من اختلاف أجزائه الواقعة بين النقطتين إذا لوحظت بالقياس إلى قطبي الشمال والجنوب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 أنا لو أغمضنا النظر إلى الجهات الأربع الثابتة للكرة ولم نأخذها بعين الاعتبار ، وأدرنا الخارطة الكروية وجعلنا مكة المكرمة واقعة في قمتها بمنزلة قطب الشمال ، لاحظنا أن اتجاه الخيط المذكور هو نفس الاتجاه السابق الذكر من دون تغيّر ، وأن الواقف في نيويورك إذا أراد التوجه نحو الكعبة المعظمة يلزمه الوقوف باتجاه هذه الخط لا منحرفاً عنه إلى جانب اليمين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الأرجح في النظر بناءً على ما تقدم في كيفية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الاستقبال هو ما ذكرناه بل الظاهر أنه هو الأرجح أيضاً بناءً على لزوم رعاية الخط الوهمي المارّ في عمق الأرض مستقيماً بين موقف المصلي والكعبة المعظمة ، فإن هذا الخط بما أنه لا يمكن التوجه نحوه حال الصلاة فيتعين الاتجاه نحو الخط المقوس الموازي له والمار على سطح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 الموازي المذكور هو نفس الخط الذي مرّ ذكره والذي يكون اتجاهه في نيويورك نحو الشمال الشرقي هذا ، ومع ذلك تكون صلاة من يتجه إلى الشرق المتمايل إلى الجنوب عملاً بالحجة الشرعية القائمة عنده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53" w:name="pg18924_201874"/>
    </w:p>
    <w:p>
      <w:pPr>
        <w:pStyle w:val="Heading3"/>
        <w:numPr>
          <w:ilvl w:val="2"/>
          <w:numId w:val="1"/>
        </w:numPr>
        <w:rPr/>
      </w:pPr>
      <w:bookmarkStart w:id="154" w:name="__RefHeading___Toc15922654_1280447820"/>
      <w:bookmarkStart w:id="155" w:name="_Toc50"/>
      <w:bookmarkEnd w:id="153"/>
      <w:bookmarkEnd w:id="154"/>
      <w:r>
        <w:rPr>
          <w:rtl w:val="true"/>
        </w:rPr>
        <w:t>(</w:t>
      </w:r>
      <w:r>
        <w:rPr/>
        <w:t>4</w:t>
      </w:r>
      <w:r>
        <w:rPr>
          <w:rtl w:val="true"/>
        </w:rPr>
        <w:t xml:space="preserve">) </w:t>
      </w:r>
      <w:r>
        <w:rPr>
          <w:rtl w:val="true"/>
        </w:rPr>
        <w:t>متفرقات في أحكام السفر</w:t>
      </w:r>
      <w:bookmarkEnd w:id="155"/>
    </w:p>
    <w:p>
      <w:pPr>
        <w:pStyle w:val="BookText"/>
        <w:rPr/>
      </w:pPr>
      <w:r>
        <w:rPr>
          <w:rFonts w:ascii="Amiri" w:hAnsi="Amiri" w:eastAsia="Amiri" w:cs="Amiri"/>
          <w:color w:val="111111"/>
          <w:sz w:val="28"/>
          <w:sz w:val="28"/>
          <w:szCs w:val="28"/>
          <w:rtl w:val="true"/>
          <w:lang w:bidi="ar-SA"/>
        </w:rPr>
        <w:t xml:space="preserve">تعرض للإنسان حالات يحتاج معها إلى الدليل الكاشف بين يديه لامتثال أمره تعالى ، وفي السفر في الوسائل الحديثة والخطوط الجوية قد يواجه بعض الإشكالات ، منها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نُصلّي صلاتنا الواجبة في الطائرة والقبلة مجهولة والطمأنينة مفقودة؟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القبلة فيمكن تحديد جهتها بالسؤال من القبطان أو المضيفين ، فإنّ أجوبتهم تورث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أو الظن فليزم العمل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الاستقرار فتسقط شرطيته مع عدم إمكان التحفظ عليه ، ولكن لا بد من رعاية سائر الشروط حسب المستطاع ، ولا يجوز تأخير الصلاة عن وقتها في كل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نصلي صلاتنا في القطارات والسيارات؟ وهل يجب أن نسجد على شيء ، أو لا يجب ذلك ويكفي الانحناء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أداء الصلاة فيها وفق صلاة المختار إن أمكن ، فتلزم رعاية الاستقبال في جميع حالات الصلاة إن تيسرت ، وإلا</w:t>
      </w:r>
    </w:p>
    <w:p>
      <w:pPr>
        <w:pStyle w:val="BookText"/>
        <w:rPr/>
      </w:pPr>
      <w:r>
        <w:rPr>
          <w:rFonts w:ascii="Amiri" w:hAnsi="Amiri" w:eastAsia="Amiri" w:cs="Amiri"/>
          <w:color w:val="111111"/>
          <w:sz w:val="28"/>
          <w:sz w:val="28"/>
          <w:szCs w:val="28"/>
          <w:rtl w:val="true"/>
          <w:lang w:bidi="ar-SA"/>
        </w:rPr>
        <w:t xml:space="preserve">ففي حال تكبيرة الإحرام مع التمكن منه ، وإلا تسقط شرطية الاستقبال ، كما أنه مع التمكن من الإتيان بالركوع والسجود الاختياريين يتعين الإتيان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تيسرت الصلاة في ممر القطار أو الباص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التمكن منهما ، فإن تيسر الانحناء بمقدار صدق اسميهما لزم وتعين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ويراعى في السجود وضع الجبهة على المسجد ولو برفعة ، ومع عدم تيسر الانحناء بالمقدار المذكور يكفي الإيماء بدلاً عنهما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سافر مسافرٌ من بلده بعد أذان الظهر مباشرة من دون أن يصلي ، ووصل لمقصده بعد الغروب ، فهل يأثم؟ وهل يجب عليه قضاء صلاة الظهر؟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هو آثم بتركه الفريضة في الوقت ، وعليه قضاؤها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8924_201877"/>
    </w:p>
    <w:p>
      <w:pPr>
        <w:pStyle w:val="Heading2"/>
        <w:numPr>
          <w:ilvl w:val="1"/>
          <w:numId w:val="1"/>
        </w:numPr>
        <w:rPr/>
      </w:pPr>
      <w:bookmarkStart w:id="157" w:name="__RefHeading___Toc15922656_1280447820"/>
      <w:bookmarkStart w:id="158" w:name="_Toc51"/>
      <w:bookmarkEnd w:id="156"/>
      <w:bookmarkEnd w:id="157"/>
      <w:r>
        <w:rPr>
          <w:rtl w:val="true"/>
        </w:rPr>
        <w:t xml:space="preserve">الفصل الخامس </w:t>
      </w:r>
      <w:r>
        <w:rPr>
          <w:rtl w:val="true"/>
        </w:rPr>
        <w:t xml:space="preserve">: </w:t>
      </w:r>
      <w:r>
        <w:rPr>
          <w:rtl w:val="true"/>
        </w:rPr>
        <w:t>شؤون الأطعمة واللحوم والأغذية والمعلبات</w:t>
      </w:r>
      <w:bookmarkEnd w:id="158"/>
    </w:p>
    <w:p>
      <w:pPr>
        <w:pStyle w:val="Heading3"/>
        <w:numPr>
          <w:ilvl w:val="2"/>
          <w:numId w:val="1"/>
        </w:numPr>
        <w:rPr/>
      </w:pPr>
      <w:bookmarkStart w:id="159" w:name="__RefHeading___Toc15922658_1280447820"/>
      <w:bookmarkStart w:id="160" w:name="_Toc52"/>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في الدول الأجنبية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التذكية واللحوم وطعام غير المسلمين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ريادة المطاعم المشبوهة والعمل فيه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المعلّبات والمنتجات في الدول الأوروبية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حضارية في الإغذية والأشربة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8924_201880"/>
      <w:bookmarkStart w:id="162" w:name="pg18924_201880"/>
      <w:bookmarkEnd w:id="162"/>
    </w:p>
    <w:p>
      <w:pPr>
        <w:pStyle w:val="Heading3"/>
        <w:numPr>
          <w:ilvl w:val="2"/>
          <w:numId w:val="1"/>
        </w:numPr>
        <w:rPr/>
      </w:pPr>
      <w:bookmarkStart w:id="163" w:name="pg18924_201880"/>
      <w:bookmarkStart w:id="164" w:name="__RefHeading___Toc15922660_1280447820"/>
      <w:bookmarkStart w:id="165" w:name="_Toc53"/>
      <w:bookmarkEnd w:id="163"/>
      <w:bookmarkEnd w:id="164"/>
      <w:r>
        <w:rPr>
          <w:rtl w:val="true"/>
        </w:rPr>
        <w:t>(</w:t>
      </w:r>
      <w:r>
        <w:rPr/>
        <w:t>1</w:t>
      </w:r>
      <w:r>
        <w:rPr>
          <w:rtl w:val="true"/>
        </w:rPr>
        <w:t xml:space="preserve">) </w:t>
      </w:r>
      <w:r>
        <w:rPr>
          <w:rtl w:val="true"/>
        </w:rPr>
        <w:t>التذكية واللحوم وطعام غير المسلمين</w:t>
      </w:r>
      <w:bookmarkEnd w:id="165"/>
    </w:p>
    <w:p>
      <w:pPr>
        <w:pStyle w:val="BookText"/>
        <w:rPr/>
      </w:pPr>
      <w:r>
        <w:rPr>
          <w:rFonts w:ascii="Amiri" w:hAnsi="Amiri" w:eastAsia="Amiri" w:cs="Amiri"/>
          <w:color w:val="111111"/>
          <w:sz w:val="28"/>
          <w:sz w:val="28"/>
          <w:szCs w:val="28"/>
          <w:rtl w:val="true"/>
          <w:lang w:bidi="ar-SA"/>
        </w:rPr>
        <w:t xml:space="preserve">أحل الله الطيبات من الرزق وحرّم الخبائث منها ، وكان ما أحله الله تعالى أكثر مما حرمه ، وعائدية هذا التحليل والتحريم معاً إنما شرعت لمصلحة الإنسان الصحية والنفسية ، وكان تفضل الله عميماً على البشرية أن أباح لها السمك من حيوان البحر ، وحرّم غيره من حيوانه حتى المسمى باسم ما يؤكل من حيوان البرّ كبقره وفرسه ، وكذا الضفدع والسرطان والسلحفاة ، ولا يحل من السمك إلا ما كان له فلسٌ ولو بالأصل ، فيحل الكنعت والربيثا والبز والبني والشبوط والقطان والطبراني والأبلامي والأربيان ، ولا يحل ما ليس له فلس في الأصل كالبحري والزمّير والزهو والمار ماهي ، وإذا شك في وجود الفلس وعدمه بنى على العدم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وأحل الله من البهائم البرية صنفين من الأهلية والوحشية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الأهلية فيحل منها جميع أصناف الغنم والبقر والإبل ، ويكره </w:t>
      </w:r>
    </w:p>
    <w:p>
      <w:pPr>
        <w:pStyle w:val="BookText"/>
        <w:rPr/>
      </w:pPr>
      <w:r>
        <w:rPr>
          <w:rFonts w:ascii="Amiri" w:hAnsi="Amiri" w:eastAsia="Amiri" w:cs="Amiri"/>
          <w:color w:val="111111"/>
          <w:sz w:val="28"/>
          <w:sz w:val="28"/>
          <w:szCs w:val="28"/>
          <w:rtl w:val="true"/>
          <w:lang w:bidi="ar-SA"/>
        </w:rPr>
        <w:t>الخيل والبغال والحمير ، ويحرم منها الكلب والهر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الوحشية فتحل منها الظباء والغزلان والبقر والكباش الجبلية واليحامير والحمر والوحشية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وتحرم منها السباع ، وهي ما كان مفترساً وله ظفر أو ناب قوياً كان كالأسد والنمر والفهد والذئب ، أو ضعيفاً كالثعلب والضبع وابن آوى ، كما تحرم المسوخ ومنها الخنزير والقرد والفيل والدبّ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كل طائر ذي ريش فيحل أكل لحمه إلا السباع ، فيحلّ الحمام بجميع أصنافه ، كما يحل الدجاج بجميع أقسامه ، والعصفور بجميع أنواعه ومنه البلبل والزرزور والقبرة ، ويحل الهدهد والخطاف والشقراق ، وتحل النعامة والطاووس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كل ذي مخلب كالبازي والصقر والعقاب والشاهين والباشق والنسر والبغاث ، وكذا الغراب </w:t>
      </w:r>
      <w:r>
        <w:rPr>
          <w:rStyle w:val="FootnoteAnchor"/>
          <w:rtl w:val="true"/>
        </w:rPr>
        <w:footnoteReference w:id="52"/>
      </w:r>
      <w:r>
        <w:rPr>
          <w:rFonts w:ascii="Amiri" w:hAnsi="Amiri" w:eastAsia="Amiri" w:cs="Amiri"/>
          <w:color w:val="111111"/>
          <w:sz w:val="28"/>
          <w:sz w:val="28"/>
          <w:szCs w:val="28"/>
          <w:rtl w:val="true"/>
          <w:lang w:bidi="ar-SA"/>
        </w:rPr>
        <w:t>ويشترط في حلية أكل ما تقدم التذكية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السمك فتحصل ذكاته بأخذه من داخل الماء إلى خارجه حياً باليد أو الشبكة والشعب أو الغالة أو غيرها ، وفي أخذه هذا يكون ذكياً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ذكاة الذبيحة فيشترط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الذابح مسلماً أو من بحكمه كالمتولد منه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الذبح بالحديد مع الإمكان ، فلو ذبح بغيره مع التمكن لم يحل وإن كان من المعادن المنطبعة كالصفر والنحاس </w:t>
      </w:r>
    </w:p>
    <w:p>
      <w:pPr>
        <w:pStyle w:val="BookText"/>
        <w:rPr/>
      </w:pPr>
      <w:r>
        <w:rPr>
          <w:rFonts w:ascii="Amiri" w:hAnsi="Amiri" w:eastAsia="Amiri" w:cs="Amiri"/>
          <w:color w:val="111111"/>
          <w:sz w:val="28"/>
          <w:sz w:val="28"/>
          <w:szCs w:val="28"/>
          <w:rtl w:val="true"/>
          <w:lang w:bidi="ar-SA"/>
        </w:rPr>
        <w:t xml:space="preserve">والذهب والفضة والرصاص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عدم الذبح بالاستيل مع التمكن من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الذبح بفري الأوداج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الاستقبال بالذبيحة حال الذبح إلى القبلة ، فإن أخلّ بالاستقبال عالماً عامداً 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الإخلال بالاستقبال لإعتقاد الذابح عدم لزومه شرعاً فلا يضر بذكاة ذبيحته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الذابح عليها حين الشروع بالذبح أو متصلاً به عرفاً ، ولا تجزيء تسمية غير الذابح عليها ، والمدار في التسمية ذكر اسم الله وحده عليها ، فيكفي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أو الله أكبر ، أو الحمد لله ، أو لا إله إلا الله ،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الأعضاء الأربعة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مجرى الطعام ، والحلقوم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مجرى النفس ومحله فوق المريء ، والودجان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عرقان غليظان محيطان بالحلقوم والمريء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الأعضاء الأربعة يستلزم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بالرأس ، فلو بقي شيء منها في الجسد لم يتحقق قطع 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الدم المتعارف منها حال الذبح ، فلو لم يخرج منها الدم ، أو كان الخارج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انجماد الدم في عروقها أو نحوه لم 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عدم خروجه من جهة نزيف قبل الذبح حلّ</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تتحرك الذبيحة بعد تمامية الذبح ولو حركة يسيرة ، </w:t>
      </w:r>
    </w:p>
    <w:p>
      <w:pPr>
        <w:pStyle w:val="BookText"/>
        <w:rPr/>
      </w:pPr>
      <w:r>
        <w:rPr>
          <w:rFonts w:ascii="Amiri" w:hAnsi="Amiri" w:eastAsia="Amiri" w:cs="Amiri"/>
          <w:color w:val="111111"/>
          <w:sz w:val="28"/>
          <w:sz w:val="28"/>
          <w:szCs w:val="28"/>
          <w:rtl w:val="true"/>
          <w:lang w:bidi="ar-SA"/>
        </w:rPr>
        <w:t>بأن تطرف عينها ، أو تحرك رجلها أو ذنبها ، هذا إذا شك في حياتها عند الذبح ، وإلا فلا تعتبر الحركة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وتختص الإبل من بين البهائم بأن تذكيتها بالنحر ، ولا يجوز ذلك في غيرها ، وكيفيته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الآلة من سكين أو غيره من الآلات الحادة الحديدية في لبتها ، وهو الموضع المنخفض الواقع في أعلى الصدر متصلاً بالعنق ، والشروط المعتبرة في الذبح تعتبر نظائرها في النحر ، عدا الشرط السادس ، وهو قطع الأعضاء الأربعة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وأغلب المشاكل التي يتعرض لها المسلمون والمغتربون منهم بصورة خاصة هي مشكلة التذكية ، أو تقديم ما ليس بمذكّى ، أو اللحم غير المباح ، مما تفرضه طبيعة المناخ الذي يتواجدون فيه ، مما يلزم العسر والحرج أحياناً ، ويقتضي التأمل والتثبت أحياناً أخرى ، وثمت مشكلة أخرى وهي تناول الطعام المعدُّ من غير المسلمين ، ومشكلة المعلبات والأجبان ، وشراء اللحم من غير المسلم ، ومشكلة الذبح بالأجهزة الحديثة ، ومشكلة شراء اللحم ممن يبيع الخمر ، وهكذا مما ستراه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دأب سماحة السيد دام ظله الشريف على تذليل الصعوبات ، واحتواء العقبات في الطريق واستوعب هذه المشاكل بأبعادها فأبان رأي الشرع الشريف بما لا عسر فيه ولا حرج ضمن المسائل المهمة الآتية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 للمسلم أن يتناول الطعام المعدّ من قبل الكافر غير الكتابي ، إذا لم يعلم المسلم أو يطمئن بأن ذلك الكافر قد مسّه مع البلل ، شرط أن لا يعلم أو يطمئن المسلم باحتواء ذلك الطعام على ما يحرم تناوله كالخمر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 للمسلم أن يتناول أي طعام أعدّه صانعه للأكل ، إذا جهل المسلم معتقد ودين ومبدأ ذلك المعدّ للطعام ، سواء مسّه معدّه مع البلل ، أو لم يمسّه ، شرط أن لا يعلم أو يطمئن المسلم باحتواء ذلك الطعام على ما يحرم عليه تناوله كالخمر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وللحوم والشحوم ومشتقاتها حكم خاص سيأتي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يجب على المسلم يؤال معدّ الطعام عن إيمانه أو كفره ، أو عن مسّه الطعام أو عدمه ، حتى وإن كان ذلك السؤال سهلاً يسيراً عليه ، وطبيعياً على ما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فإن المأكولات بأنواعها المختلفة عدا اللحوم والشحوم ومشتقاتها ، يحق للمسلم تناولها ، حتى إذا ظن بأن في محتوياتها ما لا يجوز له أكله ، أو ظن أن صانعها أياً كان قد مسّها مع البلل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مسألتان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للمسلم طبخ غير المُذكّى؟ علماً أن لا علاقة له بالبيع أو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هو حكم تقديم الطعام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نقله لغير المسلمين؟ وهل يفرق في هذا بين الخنزير وغيره؟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 طبخ غير المذكى ، ولا تقديمه إلى مُستحلّيه ، ويشكل بيعه منهم ، لكن لا مانع من أخذ المال إزاء التنازل عنه أو استنقاذاً ، وأما الخنزير فيشكل تقديمه لمستحلية ، ولا يجوز بيعه بلا إشكال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يصح للمسلم امتلاك مطعم يقدم فيه اللحم غير المذكّى ، علماً بأنه لا يمارس العمل بنفسه ، بل يشرف على المشروع ويديره؟ وعلى فرض عدم الجواز كيف يصحح امتلاك العوائد؟ وما هو موقف من يعتمد في نفقته عليه كزوجته وأطفاله؟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بامتلاكه ذلك إذا كان تقديم اللحم غير المذكى إلى المستحلين له ، وإن قدمه إلى مسلم أخبره بالحال إن احتمل تأثير الأخبار في حقه ، وإلاّ لم يجب ، وأما العوائد فليصحح امتلاكها بطريقة الاستنقاذ أو التنازل حسبما مرّ ، دون البيع ، فإن صحّحها هو حلّت أيضاً لمن يعيلهم ، وإن لم يفعل فليقصدوا تملك ما يدفعه إليهم من أعيانهم فتحل لهم ، والله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8924_201889"/>
    </w:p>
    <w:p>
      <w:pPr>
        <w:pStyle w:val="Heading3"/>
        <w:numPr>
          <w:ilvl w:val="2"/>
          <w:numId w:val="1"/>
        </w:numPr>
        <w:rPr/>
      </w:pPr>
      <w:bookmarkStart w:id="167" w:name="__RefHeading___Toc15922662_1280447820"/>
      <w:bookmarkStart w:id="168" w:name="_Toc54"/>
      <w:bookmarkEnd w:id="166"/>
      <w:bookmarkEnd w:id="167"/>
      <w:r>
        <w:rPr>
          <w:rtl w:val="true"/>
        </w:rPr>
        <w:t>(</w:t>
      </w:r>
      <w:r>
        <w:rPr/>
        <w:t>2</w:t>
      </w:r>
      <w:r>
        <w:rPr>
          <w:rtl w:val="true"/>
        </w:rPr>
        <w:t xml:space="preserve">) </w:t>
      </w:r>
      <w:r>
        <w:rPr>
          <w:rtl w:val="true"/>
        </w:rPr>
        <w:t>ريادة المطاعم المشبوهة والعمل فيها</w:t>
      </w:r>
      <w:bookmarkEnd w:id="168"/>
    </w:p>
    <w:p>
      <w:pPr>
        <w:pStyle w:val="BookText"/>
        <w:rPr/>
      </w:pPr>
      <w:r>
        <w:rPr>
          <w:rFonts w:ascii="Amiri" w:hAnsi="Amiri" w:eastAsia="Amiri" w:cs="Amiri"/>
          <w:color w:val="111111"/>
          <w:sz w:val="28"/>
          <w:sz w:val="28"/>
          <w:szCs w:val="28"/>
          <w:rtl w:val="true"/>
          <w:lang w:bidi="ar-SA"/>
        </w:rPr>
        <w:t xml:space="preserve">هناك مطاعم ومحلات يختلط فيها الحابل بالنابل ، فكما تبيع المذكى تبيع غير المذكى ، وكما تستعمل المحلل تستعمل المحرم ، وقد تتجاوز هذا إلى بيع لحم الخنزير وتقديم الخمر وأشباه ذلك ، وقد يلتبس الحال فلا ندري المحتويات محللةً أو محرمةً ، وللإجابة عن هذه المشكلات نضع أمام المسلم المعاصر الفتاوى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ندخل محلات في الدول الغربية تبيع مأكولات لا ندري محتوياتها ، فربما هي خالية مما يحرم أكله أو شربه ، وربما فيها شيء يحرم أكله أو شربه ، فهل يحق لنا أكلها دون النظر لمحتوياتها أو السؤال عن محتوياتها ، أو لا يحق لنا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ما لم يعلم اشتمالها على شيء من اللحوم والشحوم ومشتقاتها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للمسلم العمل في المطاعم التي تقدم لحم الخنزير أو الخمر؟ وإذا كان لا يجوز فهل يشمل الحكم غسل الصحون وما شابه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الخمر إلى الغير محرم ، وإن كان المقدّم إليه مستحلاً لها ، وكذا غسل الأواني إذا كان مقدمة لشرب الخمر فيها أو تقديمها إلى 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وجوبا عدم تقديم لحم الخنزير حتى إلى مستحليه ولا يجوز بيعه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وإجازة المسلم نفسه للعمل المحرم عليه باطلة ، وأخذ الأجرة عليه حرام ، نعم لا بأس بتملك بدل العمل استنقاذاً من غير محترمي المال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للمسلم العمل في المطاعم التي تقدم اللحم غير المذكى؟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جوازه فيما إذا كان يقدم إلى مستحله بل مطلقاً مع الإعلام بالحال إذا احتمل تأثيره في حقه بارتداعه عن تناوله وإلا لم يجب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حكم الأجور التي يتقاضاها العامل في تلك المطاعم؟ هل تعتبر من الأموال المختلطة بالحرام كما هي أساساً ، أو تعتبر حلالاً بالنسبة للعامل كونها أجرة من عمل حلال؟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الأموال التي يتسلمها المسلم من غير المسلمين بأزاء عمل محلل لهم يحكم بحليتها وإن اكتسبوها بالمكاسب المحرمة في شريعتنا إذا كانت محللة عندهم كبيع الخمر والخنزير من غير المسلم ، ولا تعد تلك الأموال من الحلال المختلط بالحرام ليجب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للمسلم العمل في محلات بيع الخمور أو الملاهي في غير تقديم الخمر أو المحرمات الأخرى وذلك من قبيل تنظيف الأواني وترتيب المقاعد وما شابه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ذلك في محلات بيع الخمور ، والأحوط لزوماً تركه في محلات الملاهي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مسلم يملك فندقاً وأكثر زبائنه من الكفار ، فهل يجوز له أن يقدم لهم الخمر أو اللحوم غير الحلال؟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ظهر مما تقدم عدم جواز التقديم بالنسبة إلى الخمر ، وجوازه من حيث هو في اللحم غير المذكى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للمسلم بيع اللحوم غير المذكاة لغير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جوازه لا يخلو عن إشكال ، نعم لا مانع من أخذ المال إزاء تنازل أو استنقاذاً من غير محترمي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للمسلم أن يحضر في المجالس التي يقدم فيها الخمور؟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الأكل والشرب في تلك المجالس محرم ، وأما مجرد</w:t>
      </w:r>
    </w:p>
    <w:p>
      <w:pPr>
        <w:pStyle w:val="BookText"/>
        <w:rPr/>
      </w:pPr>
      <w:r>
        <w:rPr>
          <w:rFonts w:ascii="Amiri" w:hAnsi="Amiri" w:eastAsia="Amiri" w:cs="Amiri"/>
          <w:color w:val="111111"/>
          <w:sz w:val="28"/>
          <w:sz w:val="28"/>
          <w:szCs w:val="28"/>
          <w:rtl w:val="true"/>
          <w:lang w:bidi="ar-SA"/>
        </w:rPr>
        <w:t xml:space="preserve">الحضور فحرمته تبتني على الاحتياط اللزومي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لغرض النهي عن المنكر إذا كان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للمسلم أن يعمل في محلات البقالة التي يباع الخمر في زاوية منها ، وعمله فقط استلام النقود؟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له تسلم ثمن غير الخمر ، وكذا ثمن الخمر إذا كان المتبايعان من غير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8924_201896"/>
    </w:p>
    <w:p>
      <w:pPr>
        <w:pStyle w:val="Heading3"/>
        <w:numPr>
          <w:ilvl w:val="2"/>
          <w:numId w:val="1"/>
        </w:numPr>
        <w:rPr/>
      </w:pPr>
      <w:bookmarkStart w:id="170" w:name="__RefHeading___Toc15922664_1280447820"/>
      <w:bookmarkStart w:id="171" w:name="_Toc55"/>
      <w:bookmarkEnd w:id="169"/>
      <w:bookmarkEnd w:id="170"/>
      <w:r>
        <w:rPr>
          <w:rtl w:val="true"/>
        </w:rPr>
        <w:t>(</w:t>
      </w:r>
      <w:r>
        <w:rPr/>
        <w:t>3</w:t>
      </w:r>
      <w:r>
        <w:rPr>
          <w:rtl w:val="true"/>
        </w:rPr>
        <w:t xml:space="preserve">) </w:t>
      </w:r>
      <w:r>
        <w:rPr>
          <w:rtl w:val="true"/>
        </w:rPr>
        <w:t>المعلّبات والمنتجاب في الدول الأوروبية</w:t>
      </w:r>
      <w:bookmarkEnd w:id="171"/>
    </w:p>
    <w:p>
      <w:pPr>
        <w:pStyle w:val="BookText"/>
        <w:rPr/>
      </w:pPr>
      <w:r>
        <w:rPr>
          <w:rFonts w:ascii="Amiri" w:hAnsi="Amiri" w:eastAsia="Amiri" w:cs="Amiri"/>
          <w:color w:val="111111"/>
          <w:sz w:val="28"/>
          <w:sz w:val="28"/>
          <w:szCs w:val="28"/>
          <w:rtl w:val="true"/>
          <w:lang w:bidi="ar-SA"/>
        </w:rPr>
        <w:t xml:space="preserve">تزخر الأسواق في البلاد الإسلامية بجملة من معلبات اللحوم والأسماك والأجبان ، قد يكتب على بعضها بالنسبة للحوم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مذبوح على الطريقة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مستوردة من الدول غير الإسلامية ، وقد تذبح الشركات المتعاقدة مع المسلمين كميات من الدجاج بالأجهزة الحديثة إلا أن المباشر لذلك مسلم يكبّرعند الذبح ، وقد نجد الأجبان المصنوعة في بلد أوروبي وهي تشتمل على أنفحة الحيوانات التي لا نعلم طريقة ذبحها ، وقد تتوافر الأسماك من خلال صيد السفن الكبيرة المعدّة لذلك الأمر ، وقد نبصر الجلاتين والصابون ، والأول يشتمل على مادة عظمية ، وقد نبصر الجلاتين والصابون ، والأول يشتمل على مادة عظيمة ، وقد يشتمل الثاني على شحوم الخنزير ، كل هذه الإشكالات في إيرادها يجيب عنها سماحة سيدنا المفدّى بما يقطع الشك ، وفي هذا المجال ، فإننا نورد أسئلة المقام ، ومن ثم الإجابة عليها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تكتب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مذبوح على الطريقة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لحوم منتجة في دول إسلامية من قبل شركات غير إسلامية ، فهل يجوز تناولها؟ وهل يجوز تناولها إذا كان منشأ هذه اللحوم شركة </w:t>
      </w:r>
    </w:p>
    <w:p>
      <w:pPr>
        <w:pStyle w:val="BookText"/>
        <w:rPr/>
      </w:pPr>
      <w:r>
        <w:rPr>
          <w:rFonts w:ascii="Amiri" w:hAnsi="Amiri" w:eastAsia="Amiri" w:cs="Amiri"/>
          <w:color w:val="111111"/>
          <w:sz w:val="28"/>
          <w:sz w:val="28"/>
          <w:szCs w:val="28"/>
          <w:rtl w:val="true"/>
          <w:lang w:bidi="ar-SA"/>
        </w:rPr>
        <w:t>إسلامية في دولة غير إسلامية؟ ثم ما هو الحال لو كان المنشأ شركة أجنبية في دولة أجنبية؟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اعتبار بالكتابة ، فإن كان المنتج لها مسلماً أو انتجت في بلد يغلب فيه المسلمون ، ولم يعلم أن المنتج لها من غير المسلمين جاز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المنتج غير مسلم ، أو أنتجت في بلد ليست غالبيته من المسلمين ، ولم يعلم كون المنتج مسلماً ، فلا يجوز تناولها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ندخل بعض الأسواق الكبيرة بأوروبا ، فنجد لحوماً معلبة منتجة من قبل شركة أوروبية مكتوب على العلبة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مذبوحة على الطريقة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شراؤها وأكلها؟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أثر للكتابة إذا لم توجب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تذبح الشركات كميات كبيرة من الدجاج مرة واحدة ، فإذا كان مشغل الجهاز مسلماً يكبر ويذكر اسم الله عند الذبح مرة واحدة للجميع ، فهل يحلّ أكلها؟ وإذا شككنا في حلية أكلها ، فهل نستطيع أكلها ونعتبرها طاهرة؟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يكرر التسمية ما دام الجهاز مشتغلاً بالذبح كفى ، ومع الشك في الحلية من جهة الشك في وقوع التسمية تعتبر طاهرة ويحلّ أكلها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ترمي سفن الصيد الكبيرة شباكها فتخرج أطناناً من السمك وتطرح صيدها في الأسواق ، وقد بات معروفاً أن طريقة الصيد الحديثة تقوم على أساس إخراج السمك من الماء حيّاً ، بل </w:t>
      </w:r>
    </w:p>
    <w:p>
      <w:pPr>
        <w:pStyle w:val="BookText"/>
        <w:rPr/>
      </w:pPr>
      <w:r>
        <w:rPr>
          <w:rFonts w:ascii="Amiri" w:hAnsi="Amiri" w:eastAsia="Amiri" w:cs="Amiri"/>
          <w:color w:val="111111"/>
          <w:sz w:val="28"/>
          <w:sz w:val="28"/>
          <w:szCs w:val="28"/>
          <w:rtl w:val="true"/>
          <w:lang w:bidi="ar-SA"/>
        </w:rPr>
        <w:t xml:space="preserve">ربما ترمي الشركات السمك الذي يموت في الماء خوفاً من التلوث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يحق لنا الشراء من المحلات التي تبيع فيها غير المسلمين هذا السمك؟ وهل يحق لنا الشراء من المحلات التي يبيع فيها المسلمون غير الملتفتين للحكم الشرعي هذا السمك ، علماً بأن إحراز أن هذه السمكة التي أمامي قد أخرجت حيّة من الماء ، أو تحصيل شاهد مطلّع ثقة يقول بذلك ، أمرٌ صعبٌ جداً ، بل هو غير عملي ولا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من حلّ لمشكلة المسلمين المتثبتين الذي يعانون صعوبة في إحراز تذكية لحوم الدجاج والبقر والغنم فيهرعون إلى السمك؟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بشرائها من مسلم أو غير مسلم ، كما لا بأس بأكلها إذا وثق بأن صيدها يتم على النهج المذكور ، وأحرز أيضاً كونها من ذوات الفلس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نلقي ضوءً على مسألة المعلبات وما بحكمها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بعض أنواع الصابون المستورد ، يستعمل في جزء من تركيباته شحوم خنزير ولكن في النهاية لا يبقى فيه سوى خمسة في المائة ، فهل في هذه الحالة يجري عليه حكم الاستحالة ، ويحكم بطهارته أم يبقى على نجاسته؟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يبقى على نجاسته ، والله العالم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الأجبان المستوردة من الدول غير الإسلامية إن علم </w:t>
      </w:r>
    </w:p>
    <w:p>
      <w:pPr>
        <w:pStyle w:val="BookText"/>
        <w:rPr/>
      </w:pPr>
      <w:r>
        <w:rPr>
          <w:rFonts w:ascii="Amiri" w:hAnsi="Amiri" w:eastAsia="Amiri" w:cs="Amiri"/>
          <w:color w:val="111111"/>
          <w:sz w:val="28"/>
          <w:sz w:val="28"/>
          <w:szCs w:val="28"/>
          <w:rtl w:val="true"/>
          <w:lang w:bidi="ar-SA"/>
        </w:rPr>
        <w:t>باشتمالها على أنفحة العجل أو الجدي هل يجوز أكلها؟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أكلها إذا لم تكن الأنفحة لحيوان غير مذكى حيث يجب غسل ظاهر الأنفحة فإن شك فيه حكم بنجاسته ، وينجس به الجبن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تصنع مادة الجلاتين وتدخل في العديد من المشروبات والمأكولات في الغرب ، فهل يجوز لنا تناولها ، ونحن لا نعلم ما إذا كانت مستخلصة من النبات أو الحيوان ، وإذا كانت من الحيوان ، فهل هي مستخلصة من عظامه أو مما يحيط بالعظام من الأنسجة ، ثم لا ندري هل إن ذلك الحيوان محلّل الأكل أو محرّمه؟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تناولها فيما لو شك في كونها مستخلصة من الحيوان أو من النبات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والجيلاتين الحيواني إن لم يحرز نجاسة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احتمل كونه مأخوذاً من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بطهارته ولكن لا يضاف منه إلى الأطعمة إلاّ بمقدار مستهلك فيها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يحرز كونه مأخوذاً من المذكى المحلل لحمه ، أو يُحرز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كونه مأخوذاً مما تحلّه الحياة كالغضروف وغيره كالعظام على الأحوط في الأخير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أُحرز نجاسة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كونه مأخوذاً من نجس العين ، أو من غضاريف غير المذكى ، أو من عظامه قبل تطهيرها ، فإنها تكون متنجسة بملاقاة الميتة بالرطوبة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w:t>
      </w:r>
    </w:p>
    <w:p>
      <w:pPr>
        <w:pStyle w:val="BookText"/>
        <w:rPr/>
      </w:pPr>
      <w:r>
        <w:rPr>
          <w:rFonts w:ascii="Amiri" w:hAnsi="Amiri" w:eastAsia="Amiri" w:cs="Amiri"/>
          <w:color w:val="111111"/>
          <w:sz w:val="28"/>
          <w:sz w:val="28"/>
          <w:szCs w:val="28"/>
          <w:rtl w:val="true"/>
          <w:lang w:bidi="ar-SA"/>
        </w:rPr>
        <w:t>بطهارته وجواز استعماله في الأطعمة منوط باحراز استحالته ، وهذا مما يرجع فيه إلى العرف ، وقد تقدم بيان ضابطه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غذاء الدواجن يخلط فيه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عظام الخنزي مما يرفع وزن الدجاجة خلال أربعين يوماً إلى زنة كيلوين ، فما الحكم في هذا ، وهل فيه إشكال؟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يمنع ذلك من حلية أكل لحمه وطهارته بالتذكية ، لكن الأولى تجنيب الحيوان من هذا الغذاء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صانعو الأغذية والمعلبات والحلويات بذكر محتويات البضاعة التي تباع للمستهلك ، وبما أن الأغذية معرضة للفساد فإنهم يضيفون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مواداً 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أصلها حيوانياً ويرمزون لها بحرف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مقترناً بأعداد مثل </w:t>
      </w:r>
      <w:r>
        <w:rPr>
          <w:rFonts w:eastAsia="Times New Roman" w:cs="Times New Roman" w:ascii="Times New Roman" w:hAnsi="Times New Roman"/>
          <w:color w:val="111111"/>
          <w:sz w:val="28"/>
          <w:szCs w:val="28"/>
          <w:lang w:val="en-US" w:bidi="en-US"/>
        </w:rPr>
        <w:t>E450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الحكم في الحالات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المكلّف حقيقة هذه المكونات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المكلّف قائمة صادرة ممن لا يعرفون شيئاً عن الاستحالة تقول بأن أرقاماً معينة يذكرونها محرّمة لأنها من أصل حيواني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جملة منها ، والتأكد من أنها لم تبق على حالها بل تبدلت صورتها النوعية واستحالت إلى مادة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له المأكولات المشتملة عليها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يحرز كونها من أصل حيواني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جاز أكلها ، وكذا إذا أحرز ذلك ولكن لم يحرز كونها من الميتة النجسة وكان ما يضاف منها إلى الأطعمة بمقدار مستهلك فيها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الطهارة والحلية مع صدق الاستحالة بتغير الصورة النوعية وعدم بقاء شيء من مقومات الحقيقة السابقة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يلحق بهذا الباب القول بطهارة الجلود المأخوذة من غير المسلم ، وجواز بيع اللحوم والشحوم والجلود المستوردة من البلاد غير الإسلامية ، وإليك نص فتوى سماحة السيد طال عمره الشريف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بيع الجلود واللحوم والشحوم المستوردة من البلاد غير الإسلامية ، والمأخوذة من يد الكافر ، وكذا يحكم بطهارتها وجواز الصلاة فيها فيما إذا احتمل احتمالاً معتداً به أن تكون من الحيوان المذكى ، ولكن يحرم أكلها ما لم يعلم ذلك ، إلا إذا كان مصنوعاً في أرض الإسلام أو مسبوقاً بسوق المسلمين ، أو بيد المسلم بالشرط المتقدم ، وهكذا الحال فيما أخذه من يد المسلم إذا علم أنه قد أخذه من يد الكافر من غير استعلام عن تذكيته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8924_201905"/>
    </w:p>
    <w:p>
      <w:pPr>
        <w:pStyle w:val="Heading3"/>
        <w:numPr>
          <w:ilvl w:val="2"/>
          <w:numId w:val="1"/>
        </w:numPr>
        <w:rPr/>
      </w:pPr>
      <w:bookmarkStart w:id="173" w:name="__RefHeading___Toc15922666_1280447820"/>
      <w:bookmarkStart w:id="174" w:name="_Toc56"/>
      <w:bookmarkEnd w:id="172"/>
      <w:bookmarkEnd w:id="173"/>
      <w:r>
        <w:rPr>
          <w:rtl w:val="true"/>
        </w:rPr>
        <w:t>(</w:t>
      </w:r>
      <w:r>
        <w:rPr/>
        <w:t>4</w:t>
      </w:r>
      <w:r>
        <w:rPr>
          <w:rtl w:val="true"/>
        </w:rPr>
        <w:t xml:space="preserve">) </w:t>
      </w:r>
      <w:r>
        <w:rPr>
          <w:rtl w:val="true"/>
        </w:rPr>
        <w:t>فتاوى حضارية في الأغذية والأشربة</w:t>
      </w:r>
      <w:bookmarkEnd w:id="174"/>
    </w:p>
    <w:p>
      <w:pPr>
        <w:pStyle w:val="BookText"/>
        <w:rPr/>
      </w:pPr>
      <w:r>
        <w:rPr>
          <w:rFonts w:ascii="Amiri" w:hAnsi="Amiri" w:eastAsia="Amiri" w:cs="Amiri"/>
          <w:color w:val="111111"/>
          <w:sz w:val="28"/>
          <w:sz w:val="28"/>
          <w:szCs w:val="28"/>
          <w:rtl w:val="true"/>
          <w:lang w:bidi="ar-SA"/>
        </w:rPr>
        <w:t>هناك مسائل متفرقة تلحق بهذا الفصل بل هي من صميمه على وجه ، وقد أفتى بها سماحة السيد 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الكحول في تركيب كثير من العقاقير والأدوية ، فهل يجوز شربها؟ وهل هي طاهرة؟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طاهرة ، وحيث أن الكحول المستخدم فيها بمقدار مستهلك فإنه يجوز شربها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يحل شرب البيرة المكتوب عليها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الكحول؟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يحل إذا كان المراد بالبيرة الفقاع الموجب للنشوة ، وهي السكر الخفيف ، وأما إذا كان المراد بها ماء الشعير الذي لا يوجب النشوة ، فلا بأس 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 المصنوع من الخمر ، بمعنى أنه كان خمراً وحوّلوه خلاً في المعمل ، ولذلك يكتبون على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تميزاً له من خل الشعير والأنواع الأخرى ، ومن علائم </w:t>
      </w:r>
    </w:p>
    <w:p>
      <w:pPr>
        <w:pStyle w:val="BookText"/>
        <w:rPr/>
      </w:pPr>
      <w:r>
        <w:rPr>
          <w:rFonts w:ascii="Amiri" w:hAnsi="Amiri" w:eastAsia="Amiri" w:cs="Amiri"/>
          <w:color w:val="111111"/>
          <w:sz w:val="28"/>
          <w:sz w:val="28"/>
          <w:szCs w:val="28"/>
          <w:rtl w:val="true"/>
          <w:lang w:bidi="ar-SA"/>
        </w:rPr>
        <w:t xml:space="preserve">ذلك أن زجاجات هذا الخل موضوعة في الرفوف الخاصة للخل ، ولم يحدث مطلقاً أن يوضع ضمن الرفوف الخاصة بالخمر كما جرّب مراراً ، ولم يلحظ أيّ فرق بينه وبين الخل المصنوع من الثمر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على هذا الخمر المتبدل إلى خلّ أنه خلٌّ تبعاً لقاعدة الانقلاب؟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صدق الخل عليه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استعمال دهن الحوت ، والأسماك غير الجائزة الأكل ، والقواقع في الأكل ، وفي الاستعمالات الأخرى؟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أكلها ، ويجوز غيره من الاستعمالات ،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يحل أكل سرطان البحر ، وأم الروبيان ، والقواقع البحرية؟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يحل من حيوان البحر إلا السمك الذي له فلس ، ومنه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السمك الذي لا فلس له ، فلا يجوز أكله ، والله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بيض السمك تتبع السمك ، فبيض المحلل حلال وإن كان أملس ، وبيض المحرم حرام وإن كان خشناً ، وإذا أشتبه أنه من المحلل أو المحرّم فلا بد من الاجتناب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الحشرات ويقصد بها الدواب الصغار التي تسكن باطن الأرض كالضب والفأر واليربوع والقنفذ والحية ونحوها ، كما يحرم القمل والبرغوت والجعل ودودة القز بل مطلق الديدان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اللحم فلم يعلم أنه مذكى أم لا ، ولم تكن عليه إحدى أمارات التذكية كيد المسلم ، وسوق المسلمين ، والصنع في بلاد الإسلام ، لم يحلّ أكله ، وأما لو اشتبه اللحم المحرز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بإحدى إماراتها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أنه من النوع الحلال أو الحرام حكم بحله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بيع لحم الخنزير ولو على مستحليه ، من دون فرق بين المباشرة والتسبب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تقديم لحم الخنزير لمستحلية ففيه إشكال ، ويجب الاحتياط بتركه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حقيقة قائمة أجاب عنها سماحة السيد دام ظله العالي يتضمنها السؤال الجريء الآتي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تمتلىء الحانات بروادها من الكفار في بعض الليالي ، حتى إذا أثقلهم الشراب خرجوا يبحثون عن مطاعم يأكلون فيها ، فهل يجوز لمسلم أن يستغل تلك الحاجة ، فيفتح مطعماً يقدم فيه الأكل </w:t>
      </w:r>
    </w:p>
    <w:p>
      <w:pPr>
        <w:pStyle w:val="BookText"/>
        <w:rPr/>
      </w:pPr>
      <w:r>
        <w:rPr>
          <w:rFonts w:ascii="Amiri" w:hAnsi="Amiri" w:eastAsia="Amiri" w:cs="Amiri"/>
          <w:color w:val="111111"/>
          <w:sz w:val="28"/>
          <w:sz w:val="28"/>
          <w:szCs w:val="28"/>
          <w:rtl w:val="true"/>
          <w:lang w:bidi="ar-SA"/>
        </w:rPr>
        <w:t>الحلال للسكارى وغيرهم؟ وهل في ذلك إثم إذا كان الطعام المحلل هذا يعينهم على تخفيف أثر الشراب عليهم أو ما شاكل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 ذلك في حدّ ذاته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8924_201911"/>
    </w:p>
    <w:p>
      <w:pPr>
        <w:pStyle w:val="Heading2"/>
        <w:numPr>
          <w:ilvl w:val="1"/>
          <w:numId w:val="1"/>
        </w:numPr>
        <w:rPr/>
      </w:pPr>
      <w:bookmarkStart w:id="176" w:name="__RefHeading___Toc15922668_1280447820"/>
      <w:bookmarkStart w:id="177" w:name="_Toc57"/>
      <w:bookmarkEnd w:id="175"/>
      <w:bookmarkEnd w:id="176"/>
      <w:r>
        <w:rPr>
          <w:rtl w:val="true"/>
        </w:rPr>
        <w:t xml:space="preserve">الفصل السادس </w:t>
      </w:r>
      <w:r>
        <w:rPr>
          <w:rtl w:val="true"/>
        </w:rPr>
        <w:t xml:space="preserve">: </w:t>
      </w:r>
      <w:r>
        <w:rPr>
          <w:rtl w:val="true"/>
        </w:rPr>
        <w:t>مظاهر الحياة العامة والعلاقات المحرمة</w:t>
      </w:r>
      <w:bookmarkEnd w:id="177"/>
    </w:p>
    <w:p>
      <w:pPr>
        <w:pStyle w:val="Heading3"/>
        <w:numPr>
          <w:ilvl w:val="2"/>
          <w:numId w:val="1"/>
        </w:numPr>
        <w:rPr/>
      </w:pPr>
      <w:bookmarkStart w:id="178" w:name="__RefHeading___Toc15922670_1280447820"/>
      <w:bookmarkStart w:id="179" w:name="_Toc58"/>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والجائزة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المسلم بسواه من غير المسلمين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الاختلاط المزدوج في المدارس والمسابح والحفلات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الإحساس الجنسي ودرجات التلذذ الشهوي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يجوز للمرأة وما يجوز</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مشاهد المجون والرقص والموسيقى والغناء والقمار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8924_201914"/>
      <w:bookmarkStart w:id="181" w:name="pg18924_201914"/>
      <w:bookmarkEnd w:id="181"/>
    </w:p>
    <w:p>
      <w:pPr>
        <w:pStyle w:val="Heading3"/>
        <w:numPr>
          <w:ilvl w:val="2"/>
          <w:numId w:val="1"/>
        </w:numPr>
        <w:rPr/>
      </w:pPr>
      <w:bookmarkStart w:id="182" w:name="pg18924_201914"/>
      <w:bookmarkStart w:id="183" w:name="__RefHeading___Toc15922672_1280447820"/>
      <w:bookmarkStart w:id="184" w:name="_Toc59"/>
      <w:bookmarkEnd w:id="182"/>
      <w:bookmarkEnd w:id="183"/>
      <w:r>
        <w:rPr>
          <w:rtl w:val="true"/>
        </w:rPr>
        <w:t>(</w:t>
      </w:r>
      <w:r>
        <w:rPr/>
        <w:t>1</w:t>
      </w:r>
      <w:r>
        <w:rPr>
          <w:rtl w:val="true"/>
        </w:rPr>
        <w:t xml:space="preserve">) </w:t>
      </w:r>
      <w:r>
        <w:rPr>
          <w:rtl w:val="true"/>
        </w:rPr>
        <w:t>علاقة المسلم بسواه من غير المسلمين</w:t>
      </w:r>
      <w:bookmarkEnd w:id="1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دين الاجتماع والتآلف والحب المتبادل ، والمسلم الملتزم هو الذي يطبق على نفسه وعائلته الظواهر الإنسانية التي يدعو إليها الدين الحنيف ، ومع اتساع خطوط الاتصال في شرق الدنيا وغربها ، تتلاحم القوى البشرية فيما بينها صلة ومعروفاً وإنسانية ، ولمّا كان الإسلام دين المودّة الخالصة والحب المتبادل ، وشريعته شريعة اليسر والسماح ، فما على المسلم من بأس أن يتخذ له أصدقاء وأحباء من غير المسلمين ، لا أولياء بالمعنى الشرعي المحدد ، فالصداقة شيء ، والموالاة شيء آخر ، وإباحة الصداقة لا تعني إباحة الموالاة ، وفي هذا الضوء فلا مانع من الاتصال المباشر وغير المباشر مع غير المسلمين ، إذا كانوا لا يعادون الإسلام ، وإنما هم من سائر الناس في الشعور والتفكير والمعاناة ، يحترمون شعائر الآخرين ، ولا يكيدون للإسلام والمسلمين ، وفي هذا المضمار قد تستحسن مجاملتهم بل والإحسان إليهم تحبيباً للإسلام من نفوسهم ، واحتفاءً بالمسلمين في شمائلهم ومشاعرهم ، وقد دأب سماحة سيدنا المفدى دام ظله </w:t>
      </w:r>
    </w:p>
    <w:p>
      <w:pPr>
        <w:pStyle w:val="BookText"/>
        <w:rPr/>
      </w:pPr>
      <w:r>
        <w:rPr>
          <w:rFonts w:ascii="Amiri" w:hAnsi="Amiri" w:eastAsia="Amiri" w:cs="Amiri"/>
          <w:color w:val="111111"/>
          <w:sz w:val="28"/>
          <w:sz w:val="28"/>
          <w:szCs w:val="28"/>
          <w:rtl w:val="true"/>
          <w:lang w:bidi="ar-SA"/>
        </w:rPr>
        <w:t xml:space="preserve">الشريف على استيعاب أكبر عدد متعاطف مع المسلمين من كل الجنسيات والديانات فذهب إلى طهارة الكتابيين من اليهود والنصارى ، ولكنه لم يترك الاحتياط الاستحبابي في الموضوع ، وكان سيدنا الإمام الحكيم قدس سره العظيم قد أفتى من ذي قبل بطهارتهم خلافاً للمشهور ، أما سيدنا السيستاني فقد أفتى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نجاسته ، ولكن لا يبعد الحكم بطهارته ، وإن كان الاحتياط لا ينبغي تركه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سيدنا المفدى أن تكون العلاقات العامة بين المسلمين وسواهم قائمة على أساس التفاهم والودّ البريء ، فسيّر بذلك الفتاوى الآتية ضمن الإجابة عن الأسئلة الموجهة لسماحته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تبادل الودّ والمحبة مع غير المسلم ، إذا كان جاراً ، أو شريكاً في عمل ، أو ما شابه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يظهر المعاداة للإسلام والمسلمين بقول أو فعل ، فلا بأس بالقيام بما يقتضيه الودّ والمحبّة من البرّ والإحسان إليه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السير في موكب جنازة غير مسلم لتشييعه ، إذا كان جاراً مثلاً؟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هو ، ولا أصحاب الجنازة ، معروفين</w:t>
      </w:r>
    </w:p>
    <w:p>
      <w:pPr>
        <w:pStyle w:val="BookText"/>
        <w:rPr/>
      </w:pPr>
      <w:r>
        <w:rPr>
          <w:rFonts w:ascii="Amiri" w:hAnsi="Amiri" w:eastAsia="Amiri" w:cs="Amiri"/>
          <w:color w:val="111111"/>
          <w:sz w:val="28"/>
          <w:sz w:val="28"/>
          <w:szCs w:val="28"/>
          <w:rtl w:val="true"/>
          <w:lang w:bidi="ar-SA"/>
        </w:rPr>
        <w:t>بمعاداتهم للإسلام والمسلمين ، فلا بأس بالمشاركة في تشييعه ، ولكن الأفضل المشي خلف الجنازة ، لا أمامها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دخول أصحاب الديانات السابقة من الكتابيين ، ودخول الكفّار من غيرهم ، المساجد ودور العبادة الإسلامية؟ وهل يجب علينا إلزام غير المحجبات بارتداء الحجاب ، ثم الدخول إذا كان دخولهن جائزاً؟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على الأحوط دخولهم في المساجد ، وأمّا دخولهم في دور العبادة وغيرها ، فلا بأس به ، وتلزم النساء بالتحجب ، إذا لزم من تركه الهتك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التصدّق على الكفّار الفقراء كتابين كانوا أو غير كتابيين؟ وهل يثاب المتصدّق على فعله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بالتصدق على من لا ينصب العداوة للحق وأهله ، ويثاب المتصدّق على فعله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إزعاج الجار اليهودي ، أو الجار المسيحي ، أو الجار الذي لا يؤمن بدينٍ أصلاً؟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إزعاجه من دون مبرّر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الأمر بالمعروف والنهي عن المنكر ، إذا كان المأمور ليس موالياً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الكتابيين الذين يحتمل التأثير فيهم مع الأمن من الضرر؟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يجبان مع توفر بقية الشروط في وجوبهما ، ومنها أن لا يكون الفاعل معذوراً في ارتكاب المنكر أو ترك المعروف ،</w:t>
      </w:r>
    </w:p>
    <w:p>
      <w:pPr>
        <w:pStyle w:val="BookText"/>
        <w:rPr/>
      </w:pPr>
      <w:r>
        <w:rPr>
          <w:rFonts w:ascii="Amiri" w:hAnsi="Amiri" w:eastAsia="Amiri" w:cs="Amiri"/>
          <w:color w:val="111111"/>
          <w:sz w:val="28"/>
          <w:sz w:val="28"/>
          <w:szCs w:val="28"/>
          <w:rtl w:val="true"/>
          <w:lang w:bidi="ar-SA"/>
        </w:rPr>
        <w:t>ومن غير المعذور الجاهل المقصّر ، فيرشد إلى الحكم أولاً ، ثم يؤمر أو ينهى إن أراد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كان المنكر مما أحرز أن الشارع لا يرضى بوقوعه مطلقاً ، كالإفساد في الأرض ، وقتل النفس المحترمة ، ونحو ذلك فلا بد من الردع عنه ، ولو كان الفاعل جاهلاً قاصراً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للمسلم أن يسرق من الكفّار في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يحتال عليهم في أخذ الأموال بالطريقة المتعارفة لديهم؟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تجوز السرقة من أموالهم الخاصة والعامة ، وكذا إتلافها إذا كان ذلك يسيء إلى سمعة الإسلام والمسلمين بشكل عام ، وكذا لا يجوز إذا لم يكن كذلك ، ولكن عدّ غدراً ونقضاً للأمان الضمني المعطى لهم حين طلب رخصة الدخول في بلادهم ، أو طلب رخصة الإقامة فيها ، لحرمة الغدر ونقض الأمان بالنسبة إلى كل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 ولو أن كتابياً أو كافراً محترم المال ، أو حربياً مباح المال ، قد أودع مسلماً وديعة ما ، فيجب ردها ، ويحرم خيانته بجحدها ، وإذا طالبه بها فالواجب عليه رفع يده عنها ، والتخلية بين المالك وبينها ، وهذه فتوى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الوديعة عند المطالبة في أول وقت الإمكان ، وإن كان المودّع كافراً محترم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 بل وإن كان حربياً مباح المال ، فإنه تحرم خيانته ، ولا يصح تملك وديعته ولا بيعها على الأحوط ، والواجب عليه رفع يده عنها ، والتخلية بين المالك وبينها لا نقلها إلى المالك ، فلو كانت في صندوق مقفل أو بيت مغلق ففتحهما عليه فقال ها هي وديعتك خذها ، فقد أدى ما هو تكليفه ، وخرج عن عهدته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85" w:name="pg18924_201922"/>
    </w:p>
    <w:p>
      <w:pPr>
        <w:pStyle w:val="Heading3"/>
        <w:numPr>
          <w:ilvl w:val="2"/>
          <w:numId w:val="1"/>
        </w:numPr>
        <w:rPr/>
      </w:pPr>
      <w:bookmarkStart w:id="186" w:name="__RefHeading___Toc15922674_1280447820"/>
      <w:bookmarkStart w:id="187" w:name="_Toc60"/>
      <w:bookmarkEnd w:id="185"/>
      <w:bookmarkEnd w:id="186"/>
      <w:r>
        <w:rPr>
          <w:rtl w:val="true"/>
        </w:rPr>
        <w:t>(</w:t>
      </w:r>
      <w:r>
        <w:rPr/>
        <w:t>2</w:t>
      </w:r>
      <w:r>
        <w:rPr>
          <w:rtl w:val="true"/>
        </w:rPr>
        <w:t xml:space="preserve">) </w:t>
      </w:r>
      <w:r>
        <w:rPr>
          <w:rtl w:val="true"/>
        </w:rPr>
        <w:t>الاختلاط المزدوج في المدارس والمسابح والحفلات</w:t>
      </w:r>
      <w:bookmarkEnd w:id="187"/>
    </w:p>
    <w:p>
      <w:pPr>
        <w:pStyle w:val="BookText"/>
        <w:rPr/>
      </w:pPr>
      <w:r>
        <w:rPr>
          <w:rFonts w:ascii="Amiri" w:hAnsi="Amiri" w:eastAsia="Amiri" w:cs="Amiri"/>
          <w:color w:val="111111"/>
          <w:sz w:val="28"/>
          <w:sz w:val="28"/>
          <w:szCs w:val="28"/>
          <w:rtl w:val="true"/>
          <w:lang w:bidi="ar-SA"/>
        </w:rPr>
        <w:t xml:space="preserve">تقتضي مظاهر الحياة العامة ، وتفرض طبيعتها في أوروبا ، الاختلاط بين الجنسين في المعاهد والمدارس وحفلات الرقص والموسيقى وأضراب ذلك ، وهذا وإن اعتبر طبيعياً عند الأوروبيين ولكن عليه كثيراً من التحفظ والرفض عند المسلمين بعامة ، والملتزمين منهم بخاصة ، وقد عالج سماحة السيد دام ظله جملة من هذه المظاهر ، وشدد في النكير على الشاذ منها ، وما كان منها على سبيل لا يختلف مع سنة الدين أباحه ، وقد التزم دام ظله بالتفريق الدقيق بين الحالات التي قد تبدو متماثلة ولكنها في واقعها غير متماثلة ، وإن كانت متقاربة ، ولكنها تختلف في وجه أو وجوه ، ولك أن تلمس هذا من خلال الفتاوى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اختلاف الجنسين في المدارس المتوسطة والثانوية إذا علم الإنسان أن ذلك الاختلاف سيؤدي حتماً في يوم ما إلى وقوع محرم لطالب أو طالبة ، ولو كان بالنظر المحرم؟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في الصورة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للرجل المسلم أن يذهب إلى المسابح المختلطة ، خصوصاً وأنهن قد ألقين جلباب العفاف عن أنفسهن ، وممن لا ينتهين إذا نهين؟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من دون ريبة ولا تلذذ شهوي إلى المكشفات اللأئي لا ينتهين إذا نهين عن التكشف وإن كان جائزاً ، ولكن الحضور في هذه الأماكن الخلاعية غير جائز مطلقاً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للساكنين في الغرب إرسال بناتهم المحجبات إلى مدارس مختلطة للتعلم في ظل إلزامية التعليم أو عدمها مع وجود مدارس غير مختلطة ولكنها غالية ، أو بعيدة ، أو ضعيفة المستوى؟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إذا كانت تفسد أخلاقهن فضلاً عما إذا كانت تضر بعقائدهن والتزامهن الديني كما هو كذلك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اصطحاب الفتيات اللواتي يدرسن مع الشاب المسلم في الجامعات الأجنبية لغرض التنزّه في السفرات السياحية وغيرها؟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 إلا مع الأمن من الوقوع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أوروبية في ملاكها مدرسون لا يؤمنون بدين ينكرون أمام التلاميذ وجود الله ، فهل يجوز إبقاء الطلاب المسلمين بها ، رغم أن تأثرهم بأساتذتهم محتمل جداً؟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 وولي الطفل يتحمل كامل المسؤولية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السباحة في مسبح مختلط من دون أن يكون القصد من السباحة هو التلذذ؟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الذهاب إلى أماكن الفساد مطلقاً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قصد سواحل البحر والحدائق العامة في الأيام المشمسة للتنزه ، وفيها مشاهد مخلّة بالآداب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مع عدم الأمن من الوقوع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الدول يصافح القادم كل الجالسين حتى النساء دون تلذذ ، ولو امتنع عن مصافحة النساء أثار سلوكه الاستغراب ، وغالباً ما يعد إساءة للمرأة واحتقاراً لها ، مما ينعكس سلباً على نظرتهم إليه ، فهل يجوز مصافحتهن؟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 وليعالج الموقف بترك مصافحة الجميع أو بلبس الكفوف مثلاً ، ولو لم يتيسر له ذلك ووجد أن في الامتناع عن المصافحة حرجاً شديداً لا يتحمل عادة ، جازت له عندئذ ، هذا كلّه على فرض ضرورة تدعو للحضور في مجلس كهذا ، وإلاّ فلو لم يمكنه اجتناب الحرام لم يجز له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تعتبر المصافحة من وسائل التحية والسلام في البلدان الغربية ، وقد يؤدي تركها إلى الطرد أو الحرمان من فرص العمل أو الدراسة أحياناً ، فهل يجوز للمسلم مصافحة المرأة؟ أو المسلمة مصافحة الرجل في الحالات الاضطرارية؟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يمكن التخلص من الملامسة بلبس الكفوف أو نحوه جازت حيث يؤدي تركها إلى ضرر معتد به أو حرج شديد لا يتحمل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يدرس الطالب في المدارس الرسمية البريطانية وربما غيرها ، مادة تهتم بتعلم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أنغام موسيقى خاصة ، توجه حركات الراقصين أثناء الرقص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حضور درسٍ كهذا؟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الوالدين منع أولادهم من الحضور للدرس إذا رغب الشاب أو الشابة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إذا كانت تؤثر سلباً على تربيتهم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إقامة حفلات راقصة ، يرقص فيها كل زوج مع زوجته فقط على أنغام موسيقى هادئة ، وبملابس غير مبتذلة؟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رقص النساء أمام النساء ، أو رقص الرجال أمام الرجال ، في حفلة غير مختلطة مع الموسيقى أو بدونها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رقص النساء أمام النساء ، أو رقص الرجال أمام الرجال محل إشكال ، فالأحوط تركه ، وقد مرّ حكم الموسيقى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تجبر المدارس في بعض البلاد الغربية الطلاب والطالبات على تعلم فن الرقص ، هذا الرقص ليس مقترناً بالغناء المتعارف ، وليس من أجل اللهو ، وإنما هو جزء من المادة الدراسية ، فهل يحرم على الآباء السماح لأبنائهم وبناتهم بالحضور في هذه الدروس؟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يحرم ، إذا كانت تنافي التربية الدينية ، بل مطلقاً على الأحوط مع فرض بلوغ المتعلم ، إلا إذا كانت له حجة شرعية على جواز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يقلّد من يفتي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حينئذٍ من السماح له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للرجل المسلم أن يذهب للمسابح المختلطة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قصد الريبة ، خصوصاً وأنهن قد ألقين جلباب العفاف عن أنفسهن ، وممن لا ينتهين إذا نهين؟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دون ريبة ولا تلذذ شهوي إلى المكشفات اللائي لا ينتهين إذا نهين عن التكشف وإن كان جائزاً ، ولكن الحضور في هذه الأماكن الخلاعية غير جائز مطلقاً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للمسلم أن يرسل ابنه إلى إحدى المعاهد الموسيقية لتعلم فنون الموسيقى كفن على شرط أن لا يستعمل فنه في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 تعلم الموسيقى المحللة في حد ذاته ، ولكن لإرسال الأطفال إلى المعاهد الموسيقية لا بد من إحراز أن ذلك لا يؤثر سلباً على نشئتهم الدينية ، والله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للمرأة المسلمة الالتحاق بالكليات المختلطة في الغرب ، رغم وجود تحلل في سلوك بعض الطلاب والطالبات هناك؟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تثق مع ذلك بتمكنها من الحفاظ على سلامة دينها ، والقيام بالتزاماتها الشرعية ومنها الحجاب ، والتجنب عن النظر واللمس المحرمين ، وعدم التأثر بما يحيط بها من أجواء التحلل والانحراف ، فلا بأس به ، وإلاّ لم يجز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8924_201932"/>
    </w:p>
    <w:p>
      <w:pPr>
        <w:pStyle w:val="Heading3"/>
        <w:numPr>
          <w:ilvl w:val="2"/>
          <w:numId w:val="1"/>
        </w:numPr>
        <w:rPr/>
      </w:pPr>
      <w:bookmarkStart w:id="189" w:name="__RefHeading___Toc15922676_1280447820"/>
      <w:bookmarkStart w:id="190" w:name="_Toc61"/>
      <w:bookmarkEnd w:id="188"/>
      <w:bookmarkEnd w:id="189"/>
      <w:r>
        <w:rPr>
          <w:rtl w:val="true"/>
        </w:rPr>
        <w:t>(</w:t>
      </w:r>
      <w:r>
        <w:rPr/>
        <w:t>3</w:t>
      </w:r>
      <w:r>
        <w:rPr>
          <w:rtl w:val="true"/>
        </w:rPr>
        <w:t xml:space="preserve">) </w:t>
      </w:r>
      <w:r>
        <w:rPr>
          <w:rtl w:val="true"/>
        </w:rPr>
        <w:t>الإحساس الجنسي ودرجات التلذذ الشهوي</w:t>
      </w:r>
      <w:bookmarkEnd w:id="190"/>
    </w:p>
    <w:p>
      <w:pPr>
        <w:pStyle w:val="BookText"/>
        <w:rPr/>
      </w:pPr>
      <w:r>
        <w:rPr>
          <w:rFonts w:ascii="Amiri" w:hAnsi="Amiri" w:eastAsia="Amiri" w:cs="Amiri"/>
          <w:color w:val="111111"/>
          <w:sz w:val="28"/>
          <w:sz w:val="28"/>
          <w:szCs w:val="28"/>
          <w:rtl w:val="true"/>
          <w:lang w:bidi="ar-SA"/>
        </w:rPr>
        <w:t>الحاجة إلى الجنس حاجة فسلجية لا تقل عن حاجة الجسم إلى الغذاء والماء ، ولقد ذهب الدور الذي يتحاشى فيه الفقيه الخوض في موضوعاته الصارخة ، وعاد من المنطق الالتفات إلى مجمل مشكلاته الكبرى ، ووضع الحلول المناسبة لها في ضوء معطيات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 القول في رسائل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بلا ريبة ، النظر دون شهوة ، النظر دون تلذذ ، النظرة المحرمة ، النظرة الأولى ، النظرة الثانية ، التلذذ الشهوي ، الإحساس الجنسي ، التلذذ الجنسي ، وأمثال ذلك من التعبير الفقهي المهذّب الذي لا يجرح عاطفة ، ولا يمس شعوراً بخدش ، وكل ذلك من التعبير الرقيق الذي يناسب موضوعه الرقيق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وجهت إلى سماحة سيدنا المفدى أطال الله أيام إفاضته الشريفة ، عدة استفتاءات من شرق الأرض وغربها ، فكان دقيقاً في الإجابة ، رفيقاً بالمشاعر ، ناهضاً بعبء المسؤولية </w:t>
      </w:r>
    </w:p>
    <w:p>
      <w:pPr>
        <w:pStyle w:val="BookText"/>
        <w:rPr/>
      </w:pPr>
      <w:r>
        <w:rPr>
          <w:rFonts w:ascii="Amiri" w:hAnsi="Amiri" w:eastAsia="Amiri" w:cs="Amiri"/>
          <w:color w:val="111111"/>
          <w:sz w:val="28"/>
          <w:sz w:val="28"/>
          <w:szCs w:val="28"/>
          <w:rtl w:val="true"/>
          <w:lang w:bidi="ar-SA"/>
        </w:rPr>
        <w:t xml:space="preserve">الشرعية ، ومن أبرز فتاواه ما أحاول أن أضعه أمامك مع أسئلته المثيرة أحياناً عملاً بالقاعدة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حياء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حدّ اللذة المحرمة؟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أدنى 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بالحدّ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درجة من الإحساس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حرمة النظر للمرأة ترد عبارات غير واضحة الحدود عند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الريبة والتلذذ والشهوة؟ يرجى إيضاح ذلك للمكلفين ، وهل هذه كلها بمعنى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التلذذ والشهوة يراد بهما التلذذ الجنسي الشهوي لا مطلق التلذذ ، ولا التلذذ الجبلّي للبشر الحاصل من النظر إلى المناظر الجميلة ، والمراد بالريبة خوف الافتتان والوقوع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المقصود بالقول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الأولى لك والثانية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إطالة النظرة الأولى للمرأة والتمعن بها بحجة أنها لا زالت نظرة أولى جائزة كما يدعّي البعض؟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المقصود بالقول المذكور هو التفريق بين النظرتين من حيث الأولى اتفاقية عابرة فتكون بريئة ، ولا يقصد بها التلذذ الشهوي ، بخلاف الثانية فإنها تكون مقصودة وهادفة طبعاً ، فتقترن بنوع من التلذذ ، وبذلك تكون خسارة ، ومن هنا ورد في بعض النصوص عن أبي عبد 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بعد النظرة تزرع في القلب الشهوة ، وكفى بها لصاحبها فتنة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 فمن الواضح أن القول المذكور ليس في مقام تحديد النظر السائغ على أساس العدد بحيث يعني تجويز النظرة </w:t>
      </w:r>
    </w:p>
    <w:p>
      <w:pPr>
        <w:pStyle w:val="BookText"/>
        <w:rPr/>
      </w:pPr>
      <w:r>
        <w:rPr>
          <w:rFonts w:ascii="Amiri" w:hAnsi="Amiri" w:eastAsia="Amiri" w:cs="Amiri"/>
          <w:color w:val="111111"/>
          <w:sz w:val="28"/>
          <w:sz w:val="28"/>
          <w:szCs w:val="28"/>
          <w:rtl w:val="true"/>
          <w:lang w:bidi="ar-SA"/>
        </w:rPr>
        <w:t xml:space="preserve">الأولى وإن كانت هادفة وغير بريئة في أول حدوثها ، أو انقلبت إلى ذلك في حالة بقائها واستمرارها ، لأن الناظر لا تطاوعه نفسه من غمض النظر عن المنظور إليها ، وتحريم النظرة الثانية وإن كانت للحظة واحدة بلا تلذذ أصلاً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اقتصر النظر بغير شهوة على المحارم والمُماثل في الشرعية ، وبشهوة على الزوجة فحسب ، وههنا مسائل أدلى بها سماحة السيد 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أن ينظر إلى جسد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تلذذ شهوي ولا ريبة ، والمراد بالمحارم من يحرم عليه نكاحهن أبداً من جهة النسب أو الرضاع او المصاهرة دون غيرها كالزنا واللواط واللعان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للرجل أن ينظر إلى ما عدا الوجه والكفين من جسد المرأة الأجنبية وشعرها ، سواء أكان بتلذذ شهوي أو مع الريبة أم لا ، وكذا إلى الوجه والكفين إذا كان النظر بتلذذ شهوي أو مع الريبة ، وأما بدونهما فلا يبعد جواز النظر ، وإن كان الأحوط تركه أيضاً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المرأة النظر إلى بدن الرجل الأجنبي بتلذذ شهوي أو مع الريبة ، بل الأحوط لزوماً أن لا تنظر إلى غير ما جرت السيرة على عدم الالتزام بستره كالرأس واليدين والقدمين ونحوها وإن كان بلا تلذذ شهوي ولا ريبة ، وأما نظرها إلى هذه </w:t>
      </w:r>
    </w:p>
    <w:p>
      <w:pPr>
        <w:pStyle w:val="BookText"/>
        <w:rPr/>
      </w:pPr>
      <w:r>
        <w:rPr>
          <w:rFonts w:ascii="Amiri" w:hAnsi="Amiri" w:eastAsia="Amiri" w:cs="Amiri"/>
          <w:color w:val="111111"/>
          <w:sz w:val="28"/>
          <w:sz w:val="28"/>
          <w:szCs w:val="28"/>
          <w:rtl w:val="true"/>
          <w:lang w:bidi="ar-SA"/>
        </w:rPr>
        <w:t>المواضع من بدنه من دون ريبة ولا تلذذ شهوي فالظاهر جوازه ، وإن كان الأحوط تركه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يريد أن يتزوج امرأة أن ينظر إلى محاسنها كوجهها وشعرها ورقبتها وكفّيها ومعاصمها وساقيها ونحو ذلك ، ولا يشترط أن يكون ذلك بإذنها ورضاها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بقصد التلذذ الشهوي وإن علم أنه يحصل بالنظر إليها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يخاف الوقوع في الحرام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أن لا يكون هناك مانع من التزويج بها فعلاً مثل ذات العدة وأخت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أيضاً أن لا يكون مسبوقاً بحالها ، وأن يحتمل اختيارها وإلاّ فلا يجوز ، والأحوط وجوباً الاقتصار على ما إذا كان قاصداً التزويج بها بالخصوص فلا يعم الحكم ما إذا كان قاصداً لمطلق التزويج ، وكان بصدد تعيين الزوجة بهذا الاختبار ، ويجوز تكرر النظر إذا لم يحصل الاطلاع عليها بالنظرة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سماع صوت الأجنبية مع عدم التلذذ الشهوي ولا الريبة ، كما يجوز لها إسماع صوتها للأجانب إلاّ مع خوف الوقوع في الحرام ، نعم لا يجوز لها ترقيق الصوت وتحسينه على نحو يكون عادة مهيجاً للسامع ، وإن كان محرماً لها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أسئلة أجاب عنها سماحة سيدنا دام ظله في ضوء متطلبات الحياة العامة ، ولكنها متقيدة بالشروط نفسها في عدم </w:t>
      </w:r>
    </w:p>
    <w:p>
      <w:pPr>
        <w:pStyle w:val="BookText"/>
        <w:rPr/>
      </w:pPr>
      <w:r>
        <w:rPr>
          <w:rFonts w:ascii="Amiri" w:hAnsi="Amiri" w:eastAsia="Amiri" w:cs="Amiri"/>
          <w:color w:val="111111"/>
          <w:sz w:val="28"/>
          <w:sz w:val="28"/>
          <w:szCs w:val="28"/>
          <w:rtl w:val="true"/>
          <w:lang w:bidi="ar-SA"/>
        </w:rPr>
        <w:t>التلذذ الشهوي ، أو الريبة المحرمة ، أو الأفتان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التحدث مع النساء حديثاً غزلياً دون ريبة أو تلذذ؟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التغزل نظماً أو نثراً بامرأة غير معينة أو بالنساء عموماً؟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خلا عن تمني الحرام ونحوه ، ولم تترتب عليه مفسدة أخرى ،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التحدث مع النساء من دون تلذّذ شهوي وبقصد الاقتناع بواحدة منهن ، ثم طلب عقد الزواج المؤقّت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خلا الحديث عمّا لا يجوز التحدث بشأنه مع المرأة الأجنبية ،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النظر لصورة أمرأة محجبة معروفة ظهرت في الصورة دون حجاب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ترك النظر إلى ما سوى الوجه والكفين منها ، أما هما فيجوز من دون ريبة أو تلذذ شهوي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النظر إلى صورة لصبية أجنبية وهي الآن بالغة ومحافظة على سترها؟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الصورة لا تطابقها وهي بالغة لتغيّر أوصافها فلا يبعد جواز النظر إلى الصورة في حد ذاته وأما لو كانت</w:t>
      </w:r>
    </w:p>
    <w:p>
      <w:pPr>
        <w:pStyle w:val="BookText"/>
        <w:rPr/>
      </w:pPr>
      <w:r>
        <w:rPr>
          <w:rFonts w:ascii="Amiri" w:hAnsi="Amiri" w:eastAsia="Amiri" w:cs="Amiri"/>
          <w:color w:val="111111"/>
          <w:sz w:val="28"/>
          <w:sz w:val="28"/>
          <w:szCs w:val="28"/>
          <w:rtl w:val="true"/>
          <w:lang w:bidi="ar-SA"/>
        </w:rPr>
        <w:t>تطابقها فالاحوط وجوباً ترك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النظر إلى الوجه والكفين من الصورة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تصنع بعض الشركات جهازاً يشبه مهبل المرأة يضعه بعض الرجال على أجهزتهم التناسلية أثناء النوم للذة ، فهل يعدّ هذا من أنواع الاستمناء المحرّم؟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إذا استتبع الإمناء مع كونه مقصوداً له ، أو كان من عادته ذلك ، بل الأحوط لزوماً الاجتناب عنه حتى مع الاطمئنان بعدم حصول الأمناء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عناق الرجل للرجل بشهوة ، وتقبيل بعضهم بعضاً مع الالتذاذ الجنسي ، وماذا لو زاد الأمر عن هذا الحد؟ فدخل في خانة الفعل الشاذ؟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ذلك كله ، وإن تفاوت في درجات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8924_201941"/>
    </w:p>
    <w:p>
      <w:pPr>
        <w:pStyle w:val="Heading3"/>
        <w:numPr>
          <w:ilvl w:val="2"/>
          <w:numId w:val="1"/>
        </w:numPr>
        <w:rPr/>
      </w:pPr>
      <w:bookmarkStart w:id="192" w:name="__RefHeading___Toc15922678_1280447820"/>
      <w:bookmarkStart w:id="193" w:name="_Toc62"/>
      <w:bookmarkEnd w:id="191"/>
      <w:bookmarkEnd w:id="192"/>
      <w:r>
        <w:rPr>
          <w:rtl w:val="true"/>
        </w:rPr>
        <w:t>(</w:t>
      </w:r>
      <w:r>
        <w:rPr/>
        <w:t>4</w:t>
      </w:r>
      <w:r>
        <w:rPr>
          <w:rtl w:val="true"/>
        </w:rPr>
        <w:t xml:space="preserve">) </w:t>
      </w:r>
      <w:r>
        <w:rPr>
          <w:rtl w:val="true"/>
        </w:rPr>
        <w:t>ما لا يجوز للمرأة وما يجوز</w:t>
      </w:r>
      <w:bookmarkEnd w:id="193"/>
    </w:p>
    <w:p>
      <w:pPr>
        <w:pStyle w:val="BookText"/>
        <w:rPr/>
      </w:pPr>
      <w:r>
        <w:rPr>
          <w:rFonts w:ascii="Amiri" w:hAnsi="Amiri" w:eastAsia="Amiri" w:cs="Amiri"/>
          <w:color w:val="111111"/>
          <w:sz w:val="28"/>
          <w:sz w:val="28"/>
          <w:szCs w:val="28"/>
          <w:rtl w:val="true"/>
          <w:lang w:bidi="ar-SA"/>
        </w:rPr>
        <w:t>لم تعد المرأة متأقلمة بإطارها القديم ، وقد بعثت روح الحضارة جذوة التفتح على الحياة الماصرة ، وقد أخذت المرأة من ذلك جزءاً لا يستهان به من الصحوة ، ولكن هذا لا يعني لها أن تخرج عن أصول الدين وسنن الشريعة ، فذلك رابط مقدسٌ يصونها عن الانحراف ، ويحميها من التدهور والانحطاط ، ويخلق منها نموذجاً رائعاً من نماذج القصد والاعتدال والاستقامة ، ولمّا كانت إفرازات العصر كثيرة ، كان التحرز والتحفظ منها بنسبتها ، ولقد اختطت الشريعة الغراء للمرأة المسلمة بلغت الذورة في الصفة والكمال ، وتسنمت مدارج الرفقة إلى الحياة الحرة الكريمة ، ولمّا كانت مفردات شؤون المرأة متعددة الجوانب في الإفتاء ، وهي منتشرة في مظانها من المصادر والمراجع فسأقتصر بالحديث عما لا يجوز للمرأة وما يجوز لها في حدود على سبيل النموذج والمثال لا الحصر والاستقصاء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أولى سيدنا المفدى دام ظله الوريف عنايته الفائقة لهذا </w:t>
      </w:r>
    </w:p>
    <w:p>
      <w:pPr>
        <w:pStyle w:val="BookText"/>
        <w:rPr/>
      </w:pPr>
      <w:r>
        <w:rPr>
          <w:rFonts w:ascii="Amiri" w:hAnsi="Amiri" w:eastAsia="Amiri" w:cs="Amiri"/>
          <w:color w:val="111111"/>
          <w:sz w:val="28"/>
          <w:sz w:val="28"/>
          <w:szCs w:val="28"/>
          <w:rtl w:val="true"/>
          <w:lang w:bidi="ar-SA"/>
        </w:rPr>
        <w:t xml:space="preserve">الجانب في كل المستويات من أجل إسعاد المرأة المسلمة ، والنهوض بها إلى المكان اللائق المرموق الذي يجب أن تحتله في الساحة ، فبحث مشكلاتها في ضوء المنطق الصحيح ، وأعطى الحلول الشرعية المناسبة لكل حادث ومستجد في مسيرتها في ظل الحضارة المعاصرة ، وإليك جزءاً من الفتاوى التي خصصت للموضوع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المرأة أن تستر شعرها ، وما عدا الوجه والكفين من بدنها عن غير الزوج والمحارم ، وأما الوجه والكفان فالأظهر جواز إيدائهما إلاّ مع خوف الوقوع في الحرام أو كونه بداعي إيقاع الرجل في النظر المحرّم فيحرم الإيداء حينئذٍ حتى بالنسبة إلى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المرأة المسنّة التي لا ترجو النكاح ، وأما هي فيجوز لها إبداء شعرها وذراعها ونحوهما مما لا يستره الخمار والجلباب عادة ولكن من دون أن تتبرج بزينة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يستثنى من حرمة النظر واللمس ووجوب التستر صورة الاضطرار ، كما إذا توقف استنقاذ الأجنبية من الغرق أو الحرق أو نحوهما على النظر واللمس المحرّم فيجوز حينئذٍ ، ولكن إذا اقتضى الاضطرار النظر دون اللمس أو العكس اقتصر على ما اضطر إليه ، وبمقداره لا أزيد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العلاج من مرض ، وكان الرجل الأجنبي أرفق بعلاجها جاز له النظر إلى بدنها ولمسه بيده إذا توقف عليهما معالجته ، ومع إمكان الاكتفاء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اللمس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الآخر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النظر واللمس من المرأة للصبي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التلذذ الشهوي والريبة ، ولا يجب عليها التستر عنه ما لم يبلغ مبلغاً يمكن أن يترتب على نظره إليها ثوران الشهوة ، وإلا وجب التستر عنه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لمس بدن الغير وشعره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بتلذذ شهوي أو مع الريبة ، وأما اللمس من دونهما فيجوز بالنسبة إلى شعر المحرم والمماثل وما يجوز النظر إليه من بدنهما ، وأما بدن الأجنبي والأجنبية وشعرهما فلا يجوز لمسهما مطلقاً حتى المواضع التي يجوز النظر إليها ، فتحرم المصافحة بين الأجنبي والأجنبية إلا من وراء الثوب ونحوه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أسئلة مهمة في الموضوع أجاب عنها سماحته استفتاء ، نضع السؤال بين يدي القاريء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رسالتكم العملية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للرجل الأجنبي النظر إلى عورة المرأة وكذلك العكس حتى في مقام العلاج إلا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في الضرورة كون الشخص في مقام التدريب كطالب الطب 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يكفي إلا إذا توقف عليه ولو في المستقبل دفع ضرر عظيم عن مسلم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يكفي صدق عنوان الضرورة علاج الحالة النفسية ، كالمرأة التي يسبب لها كثرة الحمل الانزعاج الشديد والتذمر </w:t>
      </w:r>
    </w:p>
    <w:p>
      <w:pPr>
        <w:pStyle w:val="BookText"/>
        <w:rPr/>
      </w:pPr>
      <w:r>
        <w:rPr>
          <w:rFonts w:ascii="Amiri" w:hAnsi="Amiri" w:eastAsia="Amiri" w:cs="Amiri"/>
          <w:color w:val="111111"/>
          <w:sz w:val="28"/>
          <w:sz w:val="28"/>
          <w:szCs w:val="28"/>
          <w:rtl w:val="true"/>
          <w:lang w:bidi="ar-SA"/>
        </w:rPr>
        <w:t xml:space="preserve">النفسي بحيث لا وسيلة لمنع الحمل إلا عن طريق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تضطر معه لكشف عورتها للأجنبي أو الأجنبية؟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إلا إذا كان الإنجاب يسبب لها القلق النفسي الشديد مما يوجب وقوعها في الحرج الرافع للتكليف ، فيجوز لها حينئذٍ كشف العورة للطبيب أو الطبيبة إذا لم تكن وسيلة أخرى مناسبة للمنع عن الحمل لا تتوقف عن كشف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الحال بالنسبة للمرأة المصابة بالعقم ، هل يسوغ لها كشف عورتها للعلاج عند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يسوغ إذا كانت هناك ضرورة تلجئها إلى الإنجاب أو كان عدم الإنجاب يوجب وقوعها في الحرج الرافع للتكليف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أن تكشف المرأة المسلمة شعرها أمام المرأة غير المسلمة؟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ذلك ، ولكنه مكروه مع احتمال أن تصف زينة المسلمة لزوجها احتمالاً معتداً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للبكر وضع مساحيق التجميل الخفيفة بقصد إثارة الانتباه ، وزيادة الجمال في المجالس النسائية الخاصة قصد الزواج ، وهل يعدّ ذلك إخفاءً للعيوب الجسدية؟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لها ذلك ، ولا يعدّ إخفاء للعيوب ، مع أنه لو عدّ كذلك لم يحرم إلا إذا وقع تدليساً لمن يريد الزواج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مصافحة العجائز الأجنبيات القواعد اللاتي لا يرجون نكاحاً ، وما هو العمر التقريبي للقواعد؟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لمس بدن الأجنبية مطلقاً إلا مع الضرورة ، وليس للقواعد عمر تقريبي بل تختلف امرأة عن غيرها في ذلك ، والمناط هو المذكور في الآية ، أن تكون ممن لا ترجو النكاح من جهة كبر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المحجبة تعلّم قيادة السيارة ، إذا كان معلمها أجنبياً ينفرد بها أثناء التعلم من دون أن يستلزم ذلك الوقوع في المحرم؟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مع الأمن مِنَ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محلات تجميل النساء تحتاج إلى عاملات ، فهل يحق للمؤمنة أن تجمّل النساء السافرات اللاتي يتجملن أمام الأجانب الغرباء ، مسلماتٍ كنّ أو غير مسلمات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 ذلك إسهاماً في ترويج المنكر وإشاعته فليس لها ذلك ، ولكن حصول هذا العنوان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للمرأة التي لا تستر وجهها إزالة الشعر عن وجهها ، وتصفيف حواجبها ، ووضع المساحيق الطبيعية الخفيفة على الوجه؟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إزالة شعر الوجه وتصفيف الحواجب لا يمنعها من كشف وجهها بشرط الأمن من الوقوع في الحرام ، وعدم كون الإبداء بداعي وقوع النظر المحرّم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استخدام مساحيق التجميل فلا بدّ من ستر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تلوين الشعر بصبغه ، كلاً أو بعضاً ، بقصد جلب الانتباه في المجالس النسائية لغرض الزواج؟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لمجرد الزينة من دون تدليس ، كإخفاء العيب أو كبر السن ،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استعملت امرأة شعراً اصطناعياً سترت به شعرها الحقيقي ، فهل يجوز لها إظهار صورتها على غير ما هي عليه طلباً للزينة والستر 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لها استخدام الشعر الاصطناعي ، ولكنه زينة يجب ستره عن الرجال الأجانب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جورب بلون البشر يجمّل الساق ، هل يجوز للمرأة الشابة لبسه؟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لها ذلك ، ولكنه إذا عدّ من الزينة في الملبس لزم ستره عن الأجانب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جورب ساتر يجسم ما تحته ، هل يجوز لبسه؟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ممرضة مسلمة تعمل في عيادة طبية ، تلمس بطبيعة عملها أجساد الرجال ، مسلمين وغير مسلمين ، فهل يجوز لها ذلك؟ علماً بأن ترك العمل صعب لقلة فرص الحصول على العمل ، ثم هل هناك فرق بين لمس جسد مسلم ، ولمس جسد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للمرأة أن تلمس جسد الأجنبي ، مسلماً كان أم غيره ، إلا إذا كانت هناك ضرورة رافعة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مسلمة تلبس حذاءً ذا كعب علٍ ينقر الأرض نقرات مثيرة للانتباه ، فهل يجوز لها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إذا كان بداعي الفات نظر الرجال الأجانب إليها ، أو كان موجباً للفتنة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لبس خاتم الزينة أو السوار أو القلادة بقصد التجميل حلال أو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حلال ويجب سترها عن الأجانب باستثناء الخاتم والسوار مع الأمن من الوقوع في الحرام ، وعدم كون إبدائهما بداعي إيقاع النظر المحرّم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الغرب يمكن إلصاق عدسات على حدقة العين بألوان شتى ، فهل يجوز للمسلمة وضع العدسات اللاصقة لغرض التجميل والظهور بها أمام الرجال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عدّت زينة لها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بيع بويضة المرأة؟ وهل يجوز شراؤها؟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يتساقط شعر بعض النساء في حالات خاصة ، فهل يحق لهن عرض شعورهن على الطبيب للعلاج ، سواء استلزم </w:t>
      </w:r>
    </w:p>
    <w:p>
      <w:pPr>
        <w:pStyle w:val="BookText"/>
        <w:rPr/>
      </w:pPr>
      <w:r>
        <w:rPr>
          <w:rFonts w:ascii="Amiri" w:hAnsi="Amiri" w:eastAsia="Amiri" w:cs="Amiri"/>
          <w:color w:val="111111"/>
          <w:sz w:val="28"/>
          <w:sz w:val="28"/>
          <w:szCs w:val="28"/>
          <w:rtl w:val="true"/>
          <w:lang w:bidi="ar-SA"/>
        </w:rPr>
        <w:t>سقوط الشعر الحرج لهن ، لم لم يستلزم ، بل اقتضاه التجميل؟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مع الحرج الذي لا يتحمل عادة ، لا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لبس الباروكة للزينة بقصد إثارة الانتباه وزيادة الجمال في المجالس النسائية الخاصة؟ وهل يعد هذا إخفاءً للعيوب؟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إذا كان لمجرد الزينة دون التدليس وإخفاء العيب في مقام التزويج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للنساء مشاهدة أجساد الرجال الذين يخلعون ثيابهم أثناء العزاء؟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وجوباً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لبس المرأة للبنطلون والخروج به في الشوارع والأسواق؟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إذا كان مجسماً لمفاتن بدنها ، أو موجباً لإثارة الفتنة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المصارعة بأشكالها المختلفة للنساء؟ وهل يجوز للنساء مشاهدة أجسام المتصارعين المكشوفة مباشرة أو من خلال جهاز التلفزيون من دون تلذذ؟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ما فيه إضرار بالغير أو بالنفس بالحد المحرّم ، والأحوط لزوماً أن لا تنظر المرأة إلى بدن الرجل من دون تلذذ ولو في التلفزيون ، ما عدا الرأس واليدين ونحوهما مما جرت السيرة على عدم الالتزام بستره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تبرع بتربية طفلة فكبرت عنده حتى بلغت مبلغ النساء ، فهل يجب عليها الحجاب منه؟ وهل يجب عليه عدم النظر لشعرها ، وعدم لمس جسدها؟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يجب كل ذلك ، فشأنها معه شأن سائر الأجانب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8924_201956"/>
    </w:p>
    <w:p>
      <w:pPr>
        <w:pStyle w:val="Heading3"/>
        <w:numPr>
          <w:ilvl w:val="2"/>
          <w:numId w:val="1"/>
        </w:numPr>
        <w:rPr/>
      </w:pPr>
      <w:bookmarkStart w:id="195" w:name="__RefHeading___Toc15922680_1280447820"/>
      <w:bookmarkStart w:id="196" w:name="_Toc63"/>
      <w:bookmarkEnd w:id="194"/>
      <w:bookmarkEnd w:id="195"/>
      <w:r>
        <w:rPr>
          <w:rtl w:val="true"/>
        </w:rPr>
        <w:t>(</w:t>
      </w:r>
      <w:r>
        <w:rPr/>
        <w:t>5</w:t>
      </w:r>
      <w:r>
        <w:rPr>
          <w:rtl w:val="true"/>
        </w:rPr>
        <w:t xml:space="preserve">) </w:t>
      </w:r>
      <w:r>
        <w:rPr>
          <w:rtl w:val="true"/>
        </w:rPr>
        <w:t>مشاهد المجون والرقص والموسيقى والغناء والقمار</w:t>
      </w:r>
      <w:bookmarkEnd w:id="196"/>
    </w:p>
    <w:p>
      <w:pPr>
        <w:pStyle w:val="BookText"/>
        <w:rPr/>
      </w:pPr>
      <w:r>
        <w:rPr>
          <w:rFonts w:ascii="Amiri" w:hAnsi="Amiri" w:eastAsia="Amiri" w:cs="Amiri"/>
          <w:color w:val="111111"/>
          <w:sz w:val="28"/>
          <w:sz w:val="28"/>
          <w:szCs w:val="28"/>
          <w:rtl w:val="true"/>
          <w:lang w:bidi="ar-SA"/>
        </w:rPr>
        <w:t>تأطرت إفرازات العصر بأطر بعيدة عن الشعور بالمسؤولية حيناً ، وداعية إلى الاستهتار بالقيم حيناً آخر ، وهي بين هذا وذاك قد تبرر ظواهر الخلاعة والعبث والمجون ، وقد تبيح حفلات الرقص والموسيقى والغناء ، وقد تخرج بسبيل ما عن مقتضيات الآداب العامة ، وتتمرد على الأعراف القائمة ، وهي تختلف نسبياً في بيئة ما عن بيئة أخرى ، فهي في مكان غيرها في مكان آخر ، والمسلم الواعي الملتزم هو الذي يبتعد عن كل ذلك بما فيه الشبهات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حرص سيدنا المفدى دام ظله العالي أن يجنب شبابنا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 الانزلاق في هذه المتاهات المظلمة ، وحدب على إرشاد الضال وقمع الضلال ، واستقصاء الحالات الشاذة ، والردّ عليها رداً عنيفاً ، والأخذ بيد الجيل أخذاً رفيقاً ، بغية الوصول إلى الهدف الأسمى من بيان أحكام شريعة سيد المرسلين بكل يسر ومرونة دون عنت وإكراه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ِأفتى سماحة السيد وأجاب عن الأسئلة الكثيرة ، ونشر ضمن رسالته العملية ما فيه الغناء والكفاية ليتبصر أولو الرأي والفكر والاعتبار ، وفي هذا الضوء أضع بعض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مشاهدة مشهد غرامي على الطبيعة في الشارع؟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النظر إليه بتلذذ شهوي أو مع الريبة ، بل الأحوط تركه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الذهاب إلى السينما المختلطة وأماكن اللهو غير المشروع ، مع عدم الاطمئنان بالوقوع في المحرم؟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قصد سواحل البحر والحدائق العامة في الأيام المشمسة للتنزه ، وفيها مشاهد مخلة بالآداب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مع عدم الأمن من الوقوع في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النظر إلى صور المسلمات العاريات أو شبه العاريات في التلفزيون وشبهه ، لإشباع غريزة الإطلاع والاستئناس ، مع عدم الاطمئنان بحصول اللذة الجنسية؟</w:t>
      </w:r>
    </w:p>
    <w:p>
      <w:pPr>
        <w:pStyle w:val="BookText"/>
        <w:rPr/>
      </w:pPr>
      <w:r>
        <w:rPr>
          <w:rFonts w:ascii="Amiri" w:hAnsi="Amiri" w:eastAsia="Amiri" w:cs="Amiri"/>
          <w:color w:val="111111"/>
          <w:sz w:val="28"/>
          <w:sz w:val="28"/>
          <w:szCs w:val="28"/>
          <w:rtl w:val="true"/>
          <w:lang w:bidi="ar-SA"/>
        </w:rPr>
        <w:t>وهل يجوز النظر لهن في الشوارع لا للغرض المتقدم بل لغرض إثارة الزوج على زوجته؟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النظر بشهوة إلى المناظر الخلاعية مباشرة ، أو في التلفزيون ونحوه ، بل الأحوط لزوماً ترك النظر إليها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مشاهدة اللقطات المثيرة ، مع عدم الاطمئنان بعدم حصول الإثارة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من اللقطات الخلاعية ، فالأحوط ترك النظر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مشاهدة الأفلام الجنسية دون تلذذ؟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مطلقاً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محطات تلفزيونية تقبض اشتراكات شهرية مقابل التقاط برامجها غير المختصة بالفساد ، وحين ينتصف الليل تعرض أفلاماً خلاعية ، فهل يجوز الاشتراك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إلا إذا وثق من نفسه وغيره عدم مشاهدة البرامج الخلاعية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بالمدارس البريطانية الرسمية ، وربما في غيرها من الدول الغربية ، يدرس الطالب فتى وفتاة مادة تهتم بالتربية الجنسية يصاحبها شرح توضيحي بالرسوم مجسمة وغير مجسمة للأعضاء التناسلية ، فهل يجوز للطالب الشاب حضور درس كهذا؟ وهل يجب على الوالدين منع الشاب من حضوره إذا رغب الشاب بذلك مدّعياً أنه درس نافع له مستقبلاً؟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يكن حضوره مصحوباً بشيء من المحرمات كالنظر بتلذذ شهوي ، وكان بمنأى من الانحراف الخلقي جرّاء تعلم هذه المادة ، فلا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الموسيقى في المجتمعات شيوعاً متزايداً ، ولما كانت الموسيقى على نوعين محلل ومحرم فقد اقتضى التفريق بينهما ، وكما تشيع الموسيقى فإن الغناء أكثر منها شيوعاً لأنه يشتمل عليها وعلى غيرها ، وفي المسائل الآتية القول الفصل في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يكثر السؤال حول الموسيقى المحلّلة والموسيقى المحرمة ، فهل نستطيع أن نقول بأن الموسيقى التي تثير الغرائز الجنسية الشهوانية ، وتحث على الميوعة والابتذال ، هي موسيقى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الموسيقى التي تهدىء الأعصاب ، أو تبعث الارتياح في النفس ، أو تلك التي تصاحب أحداث الفيلم عادة لتزيد من تأثير المشهد في النفوس ، أو تلك التي تصاحب الألعاب الرياضية أثناء التمارين الرياضية ، أو التي تصوّر بالعزف مشهداً معيناً ، أو التي تثير الحماس هي موسيقى محللة؟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الموسيقى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تكون مناسبة لمجالس اللهو واللعب ، وإن لم تكن مثيرة للغريزة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والموسيقى المحللة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تناسب تلك المجالس ، وإن لم تكن مهدئة للأعصاب كالموسيقى العسكرية والجنائزية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يكثر السؤال عن الموسيقى المحرمة والمحللة ، كذلك يكثر السؤال عن الأغاني المحللة والأغاني المحرمة ، فهل نستطيع أن نقول بأن الأغاني المحرمة هي تلك التي تثير الغرائز الجنسية الشهوانية ، وتدعو إلى الميوعة والابتذال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الأغاني </w:t>
      </w:r>
    </w:p>
    <w:p>
      <w:pPr>
        <w:pStyle w:val="BookText"/>
        <w:rPr/>
      </w:pPr>
      <w:r>
        <w:rPr>
          <w:rFonts w:ascii="Amiri" w:hAnsi="Amiri" w:eastAsia="Amiri" w:cs="Amiri"/>
          <w:color w:val="111111"/>
          <w:sz w:val="28"/>
          <w:sz w:val="28"/>
          <w:szCs w:val="28"/>
          <w:rtl w:val="true"/>
          <w:lang w:bidi="ar-SA"/>
        </w:rPr>
        <w:t xml:space="preserve">التي لا تثير الغرائز الهابطة ، والتي تسمو بالنفوس والأفكار إلى مستوى رفيع ، كالأغاني الدينية التي تغنى بسيرة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بمدح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تلك الأغاني والأناشيد الحماسية وأضرابها أغانٍ محلّلة؟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كلّه حرام ، وهو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اللهوي الذي يؤتى به بالألحان المتعارفة عند أهل اللهو واللعب ، ويلحق به في الحرمة قراءة القرآن الكريم والأدعية المباركة ومدائح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قراءة سوى ذلك من الكلام غير اللهوي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كالأناشيد الحماسية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بالألحان الغنائية ، فحرمتها تبتني على الأحتياط اللزومي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اللحن الذي لا ينطبق عليه التعريف المذكور فليس محرماً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الاستماع إلى الأغاني الدينية في مدح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مصحوبة بالموسيقى؟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حرام مطلقاً ، وأما المدائح التي تنشد بلحن جميل لا ينطبق عليه تعريف الغناء فلا 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الموسيقى فتجوز إذا لم تكن مناسبة لمجالس اللهو واللعب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الالتذاذ بالاستماع إلى مقرىء القرآن وهو يرجع بصوته أثناء القراءة؟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اللحن المستخدم في القراءة غنائياً ، فلا بأس بالاستماع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المقرئين أو المنشدين أو المغنين يأخذون ألحان أهل الفسوق ويغنون أو ينشدون بها قصائد في مدح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المضمون مخالفاً لما تعارف عليه أهل الفسق والفجور ، واللحن مناسباً لها؟ فهل يحرم التغني على هذه الصورة؟ وهل يحرم الاستماع؟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يحرم ذلك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غناء النساء ليلة الزفاف بأي لحن كان ، حتى لو كان ذلك مناسباً لمجالس أهل الفسوق؟ وهل يحلّ لهن استعمال الأدوات الموسيقية في الغناء تلك الليلة ، ثم هل يحلّ لهن التغني في حفلة العقد أو ليلة الحنّة أو ليلة السبعة كذلك؟ أم أن الحلّية خاصة بليلة الزفاف فقط؟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لزوماً تركه حتى في ليلة الزفاف ، فضلاً عن غيرها ، وقد مرّ حكم الموسيقى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الاستماع إلى أناشيد ثورية مع ضرب البيانو والعود والطبل والمزمار والبيانو الكهربائي 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الموسيقى منبعثة منها من الموسيقى المناسبة لمجالس اللهو واللعب ، لم يجز الاستماع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إغانٍ باللغات الأجنبية يوصي أساتذة اللغات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لتسهيل تعليم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بسماعها ، فهل يجوز الاستماع لها للغرض المتقدم؟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صدق عليه الغناء بمعناه المتقدم ،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الآلات الموسيقية متنوعة ، تستعمل أحياناً في الحفلات الغنائية ، وتستعمل أحياناً للترويح عن النفس ، فهل يجوز شراء هذه الآلات ، أو صناعتها ، أو المتاجرة بها ، أو العزف عليها ، لترويج النفس ، أو الاستماع لعزف من يعزف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المتاجرة بآلات اللهو المحرم بيعاً وشراء أو غيرها ، كما لا يجوز صنعها وأخذ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بآلة اللهو المحرم ما يكون بما له من الصورة 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قوام ماليته ولأجلها يقتنيه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أن يستعمل إلاّ في اللهو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تجوز صناعة أو بيع أو شراء الآلات الموسيقية المعدّة لتسلية الأطفال؟ وهل يجوز استعمالها من قبل الكبار؟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تنبعث منها الموسيقى المناسبة لمجالس اللهو واللعب ، لم يجز التعامل بها ، ولا استعمالها من قبل المكلفين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الحد الفاصل بين الموسيقى المحللة أو المحرمة ، وإذا كان الفاصل هو عنوان الإطراب أو اللهو فهو غير واضح عُرفاً لاختلاف الأنظار والرؤى في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 الفاصل هو كونها بالكيفية المناسبة لمجالس اللهو والفسوق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للحن ما هو معيار الحرمة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كونه مستعملاً في الغناء عند أهل الفسوق فعلاً؟ أو يكفي فيه الشأنية والمناسبة لذلك؟ وهل يختلف الحال بين استعماله في ضمن عزاء حسيني ، أو أنشودة إسلامية مثلاً ، أو غير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العبرة فيه أيضاً بالمناسبة لتلك المجالس ، ولا ترتفع حرمته باستعماله ضمن عزاء أو غيره مطلقاً على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سماحة السيد دام ظله الوارف قد عالج الموضوع من ذي قبل في المكاسب المحرمة ضمن فتاوى الآتية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الآلات المخترعة لالتقاط الأصوات والصور أو تسجيلها أو إذاعتها أو نشرها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الآلات المشتركة بين الحلال والحرام ، فيجوز بيعها والمعاوضة عليها واقتناؤها واستعمالها في منافعها المحللة ، كإسماع القرآن المجيد واستماعه ، ونشر الأحكام الشرعية والمواعظ الدينية ، والتعزية والأخبار ، وتعليم العلوم والصنائع المحللة ، والتعريف بالأمتعة والبضائع التجارية ، ومشاهدة عجائب الخلقة ونحو ذلك ، ويحرم استعمالها في الأمور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بالمنكر ، والنهي عن المعروف ، ونشر الأفكار الهدّامة ، والصور الخلاعية المثيرة للشهوات الشيطانية ، وكل ما يوجب الانحطاط الفكري والخلقي للمسلمين ، وإذا صار بعض ما ذكر من الآلات مصداقاً لآلة الحرام بالمعنى المتقدم فلا إشكال في عدم جواز بيعه ، والمعاوضة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حرام فعله واستماعه والتكسب به ، والظاهر أنه الكلام اللهوي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كان أو 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يؤتى به بالألحان المتعارفة عند أهل اللهو واللعب ، وفي مقومية الترجيع والمدّ له إشكال ، والعبرة بالصدق العرفي ، ولا يجوز أن يقرأ بهذه الألحان القرآن المجيد والأدعية والأذكار ونحوها بل ولا سواها من الكلام غير اللهوي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يستثنى من الغناء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النساء في الأعراس إذا لم يضم إليه محرم آخر من الضرب بالطبل ، والتكلم بالباطل ، ودخول الرجال على النساء ، وسماع أصواتهن على نحو يوجب تهيج الشهوة ، ولكن هذا الاستثناء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الموسيقى فما كان منها مناسباً لمجالس اللهو واللعب كما هو الحال فيما يعزف بآلات الطرب كالعود والطنبور والقانون والقيثارة ونحوها فهي محرّمة كالغناء ، وأما غيرها كالموسيقى العسكرية والجنائزية ، فالأحوط الأولى الاجتناب عنها أيضاً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تهاون الناس بالقمار أن أنتشرت وسائله ، وتعددت أنواعه ، وشاع تداوله بالشكل الذي يدعو إلى التساؤل والعجب بوقت واحد ، ففي الوقت الذي اعتبره القرآن رجساً من عمل الشيطان فهو وحده يجب أن يكون رادعاً في اجتنابه والابتعاد عنه ، ولكن الشهوات في الربح المحرم من جهة ، والفراغ والدعة قد دفعا بأساليبه إلى التطور والتكاثر والابتعاد عن حضيرة العقل والدين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سماحة السيد أدام الله عزه العتيد ، قد أفتنى بعدة مسائل ما فيه إبانة للموضوع وإيضاح خال من التعقيد والتمحل وفيه الكفاية لمن أراد الهداية ، وإليك نموذجاً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اللعب بآلات القمار ، كالشطرنج ، والدوملة ، والنرد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أعد لذلك حرام مع الرهن ، ويحرم أخذ الرهن أيضاً ، ولا يملكه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اللعب بها إذا لم يكن رهن فيحرم في النرد والشطرنج على الأقوى ، بل ولا يترك الاحتياط في غيرهما أيضاً ، ويحرم اللعب بغير الآلات المعدة للقمار إذا كان مع الرهن ، كالمراهنة على حمل الوزن الثقيل ، أو على المصارعة ، أو على القفز ، ونحو ذلك ، ويحرم أخذ الرهن ، وأما إذا لم يكن رهن فالأظهر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التجارة بما يكون آلة للحرام بأن يكون بما له من الصورة 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قوام ماليته عند العرف ولأجلها يقتنيه الناس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أن يستعمل إلا في عمل محرّم ، وله أنواع منها الأصنام وشعائر الكفر كالصلبان ، ومنها آلات القمار كالنرد والشطرنج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اللهو المحرم ، إلى غير ذلك من الأنواع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يحرم بيع آلة الحرام يحرم عملها ، وأخذ الأجرة عليها ، بل يجب إعدامها ، ولو بتغير هيئتها فيما إذا توقف على ذلك النهي عن المنكر المترتب عليه ، وإلا لم يجب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بيع مادتها من الخشب والنحاس بعد تغيير هيئتها بل قبله ، لكن لا يجوز دفعها إلى المشتري إلا مع الوثوق بأن المشتري يغيرها ، أما مع عدم الوثوق بذلك ، فالظاهر جواز البيع </w:t>
      </w:r>
    </w:p>
    <w:p>
      <w:pPr>
        <w:pStyle w:val="BookText"/>
        <w:rPr/>
      </w:pPr>
      <w:r>
        <w:rPr>
          <w:rFonts w:ascii="Amiri" w:hAnsi="Amiri" w:eastAsia="Amiri" w:cs="Amiri"/>
          <w:color w:val="111111"/>
          <w:sz w:val="28"/>
          <w:sz w:val="28"/>
          <w:szCs w:val="28"/>
          <w:rtl w:val="true"/>
          <w:lang w:bidi="ar-SA"/>
        </w:rPr>
        <w:t>وإن أثم بترك التغيير مع انحصار الفائدة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لها فائدة محلّلة ولو قليلة لم يجب تغيرها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الوضوح المتقدم في تحريم اللعب بآلات القمار ، وتحريم التجارة بها والصنع لها ، فقد وجهت لسماحة السيد دام علاه استفتاءات حولها فأجاب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اللعب بالشطرنج بالآلة المتعارفة؟ وهل يختلف الحكم فيما لو كان اللعب عن طريق جهاز الكمبيوتر الذي يستخدم الرموز والأشكال بدل الآلة المتعارفة؟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اللعب به حرام مطلقاً ولو بدون رهان ، ولا فرق في ذلك بين أن يكون بالآلة المتعارفة ، أو عن طريق جهاز الكمبيوتر إذا كان اللعب بين شخصين ، وأما إذا كان الطرف الآخر هو الجهاز فالأحوط وجوباً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الضابطة في كون الآلة محرمة ومن آلات القمار؟ هل هو الإعداد والاتخاذ للقمار أو استعمال العرف؟ وهل يفرق في العرف بين كونه عرفاً لمجتمع خاص ، أو عرفاً عالمياً؟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الضابط أن تعد فعلاً آله للقمار ، ويكفي كونها آله له في مجتمع 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ليكون حراماً هناك ، وإن لم يعد في مجتمع آخر قماراً جاز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لعب القمار بأنواعه في الحاسوب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رهن؟ وهل يجوز مع الرهن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 وحكمه حكم القمار بالآلات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اللعب المحللة يدخل فيها الزار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لعبها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تكن الزار من الآلات المختصة بالقمار فلا مانع من اللعب بها في الألعاب غير القمارية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8924_201975"/>
    </w:p>
    <w:p>
      <w:pPr>
        <w:pStyle w:val="Heading2"/>
        <w:numPr>
          <w:ilvl w:val="1"/>
          <w:numId w:val="1"/>
        </w:numPr>
        <w:rPr/>
      </w:pPr>
      <w:bookmarkStart w:id="198" w:name="__RefHeading___Toc15922682_1280447820"/>
      <w:bookmarkStart w:id="199" w:name="_Toc64"/>
      <w:bookmarkEnd w:id="197"/>
      <w:bookmarkEnd w:id="198"/>
      <w:r>
        <w:rPr>
          <w:rtl w:val="true"/>
        </w:rPr>
        <w:t>فهرس الموضوعات</w:t>
      </w:r>
      <w:bookmarkEnd w:id="19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الحديث وظواهر الاكتشاف المختبري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التشريح في منظور عصري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الترقيع بالأعضاء والواقع الطبِّي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التلقيح الصناعي والتخصيب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أطفال الأنابيب وعملية الاستنساخ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النسل وموانع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الإيدز أو فقدان المناعة المكتسبة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أخطار التدخين ونوادر علمائنا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وباء المخدّرات وأضرار الخمور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فقهية ذات أبعاد 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الوطني والشؤون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المصارف والبنوك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خزن البضائع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البضائع عند تخلف أصحابها عن تسلّمها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الكفالة عند 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السندات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الحوالات 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جوائز البنك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الكمبيالات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العملات الأجنبية وشراؤها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السحب على المكشوف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خصم الكمبيالات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لدى البنوك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مصرفية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اليانصيب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إخلاء المحلاّت التجارية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حضارية بأموال الأوروبيين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تخطيط المدن واستصلاح الأراضي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الشوارع العامة في مظاهرها المتعددة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المشتركة في الإعمار والاستثمار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الشوارع المفتوحة من قبل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المياه والأنهار والآبار والعيون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الأرض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أوروبا والخطوط الجوية والقبلة في نيويورك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إلى البلدان الأوروبية والأجنبية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السفر الجوية في تأصيل حضاري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 في نيويورك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متفرقات في أحكام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الأطعمة واللحوم والأغذية والمعلبات في الدول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التذكية واللحوم وطعام غير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ريادة المطاعم المشبوهة والعمل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المعلّبات والمنتجاب في الدول الأوروبية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فتاوى حضارية في الأغذية والأشربة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الحياة العامة والعلاقات المحرمة والجائزة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المسلم بسواه من غير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الاختلاط المزدوج في المدارس والمسابح والحفلات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الإحساس الجنسي ودرجات التلذذ الشهوي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يجوز للمرأة وما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 المجون والرقص والموسيقى والغناء والقمار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المستحدثات من المسائل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لندن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المستحدثات من المسائل الشرعية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الفتوى في فقه المغتربين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مخطوطة في حوزة المؤلف بختم سماحته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في فقه المغتربين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مخطوطة في حوزة المؤلف بختم سماحته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المستحدثات من المسائل الشرعية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فتوى خطية مصورة في حوزة المؤلف عليها ختمه الشريف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الإمام الحكيم من مجددي الإسلام في القرن الرابع عشر الهجري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موسوعته الفقهية الاستدلالية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معتبراً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استشهد أمير المؤمنين في رمضان سنة أربعين من الهجرة نادى منادٍ بين السماء والأرض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تهدمت والله أركان الهدى ، وانفصمت العروة الوثقى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المستحدثات من المسائل الشرعية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البيع والقرض يفترقان من جهة أُخرى ، وهي اعتبار وجود فارق بين العوض والمعوض في البيع ، وبدونه لا يتحقق البيع وعدم اعتبار ذلك في القرض ، ويترتّب على ذلك أنّه لو باع مائة دينار بمائة وعشرة دنانير في الذمّة فلا بُدّ من وجود مائز بين العوضين كأن يكون أحدهما ديناراً عراقياً والثاني ديناراً أُردنياً ، وأما لو كانا جميعاً من الدينار العراقي مثلاً ، من فئة وطبعة واحدة ، فهو قرض بصورة البيع ، لانطباق العوض على المعوض مع زيادة فيكون محرّماً لتحقّق الربا فيه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بخط سماحة السيد مد ظله في حوزة المؤلف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المستحدثات من المسائل الشرعية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فتوى خطية مصورة لسماحة السيد في حوزة المؤلف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فتاوى خطية لسماحة السيد في حوزة المؤلف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المستحدثات من المسائل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استناداً إلى إفتاء سماحة السيد بالموضوع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المستحدثات من المسائل الشرعية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فتوى خطية مصوّرة بحوزة المؤلف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المغتربين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33416</Words>
  <Characters>140047</Characters>
  <CharactersWithSpaces>171966</CharactersWithSpaces>
  <Paragraphs>1732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2026-08-25T19:35:31Z</dcterms:created>
  <dc:creator>ghaemiyeh.com</dc:creator>
  <dc:description/>
  <dc:language>en-US</dc:language>
  <cp:lastModifiedBy/>
  <dcterms:modified xsi:type="dcterms:W3CDTF">2026-08-25T23:05:37Z</dcterms:modified>
  <cp:revision>1</cp:revision>
  <dc:subject/>
  <dc:title>فقه الحضارة فی ضوء فتاوى سماحة آیة الله العظمى السید علی الحسینی السیستانی</dc:title>
</cp:coreProperties>
</file>

<file path=docProps/custom.xml><?xml version="1.0" encoding="utf-8"?>
<Properties xmlns="http://schemas.openxmlformats.org/officeDocument/2006/custom-properties" xmlns:vt="http://schemas.openxmlformats.org/officeDocument/2006/docPropsVTypes"/>
</file>