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 مغرب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53368_12804478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853370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853372_1280447820">
            <w:r>
              <w:rPr>
                <w:webHidden/>
                <w:rStyle w:val="IndexLink"/>
                <w:rtl w:val="true"/>
              </w:rPr>
              <w:t>خورشید مغرب</w:t>
            </w:r>
            <w:r>
              <w:rPr>
                <w:rStyle w:val="IndexLink"/>
                <w:rtl w:val="true"/>
              </w:rPr>
              <w:tab/>
            </w:r>
            <w:r>
              <w:rPr>
                <w:rStyle w:val="IndexLink"/>
              </w:rPr>
              <w:t>5</w:t>
            </w:r>
          </w:hyperlink>
        </w:p>
        <w:p>
          <w:pPr>
            <w:pStyle w:val="Contents2"/>
            <w:tabs>
              <w:tab w:val="clear" w:pos="8743"/>
              <w:tab w:val="right" w:pos="9026" w:leader="dot"/>
            </w:tabs>
            <w:rPr/>
          </w:pPr>
          <w:hyperlink w:anchor="__RefHeading___Toc13853374_1280447820">
            <w:r>
              <w:rPr>
                <w:webHidden/>
                <w:rStyle w:val="IndexLink"/>
                <w:rtl w:val="true"/>
              </w:rPr>
              <w:t>میلاد</w:t>
            </w:r>
            <w:r>
              <w:rPr>
                <w:rStyle w:val="IndexLink"/>
                <w:rtl w:val="true"/>
              </w:rPr>
              <w:tab/>
            </w:r>
            <w:r>
              <w:rPr>
                <w:rStyle w:val="IndexLink"/>
              </w:rPr>
              <w:t>11</w:t>
            </w:r>
          </w:hyperlink>
        </w:p>
        <w:p>
          <w:pPr>
            <w:pStyle w:val="Contents3"/>
            <w:tabs>
              <w:tab w:val="clear" w:pos="8459"/>
              <w:tab w:val="right" w:pos="9026" w:leader="dot"/>
            </w:tabs>
            <w:rPr/>
          </w:pPr>
          <w:hyperlink w:anchor="__RefHeading___Toc13853376_12804478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3853378_1280447820">
            <w:r>
              <w:rPr>
                <w:webHidden/>
                <w:rStyle w:val="IndexLink"/>
                <w:rtl w:val="true"/>
              </w:rPr>
              <w:t>عیسی مسیح و یحیی بن زكریا</w:t>
            </w:r>
            <w:r>
              <w:rPr>
                <w:rStyle w:val="IndexLink"/>
                <w:rtl w:val="true"/>
              </w:rPr>
              <w:tab/>
            </w:r>
            <w:r>
              <w:rPr>
                <w:rStyle w:val="IndexLink"/>
              </w:rPr>
              <w:t>12</w:t>
            </w:r>
          </w:hyperlink>
        </w:p>
        <w:p>
          <w:pPr>
            <w:pStyle w:val="Contents3"/>
            <w:tabs>
              <w:tab w:val="clear" w:pos="8459"/>
              <w:tab w:val="right" w:pos="9026" w:leader="dot"/>
            </w:tabs>
            <w:rPr/>
          </w:pPr>
          <w:hyperlink w:anchor="__RefHeading___Toc13853380_1280447820">
            <w:r>
              <w:rPr>
                <w:webHidden/>
                <w:rStyle w:val="IndexLink"/>
                <w:rtl w:val="true"/>
              </w:rPr>
              <w:t>نماز بر پیكر پیشوا</w:t>
            </w:r>
            <w:r>
              <w:rPr>
                <w:rStyle w:val="IndexLink"/>
                <w:rtl w:val="true"/>
              </w:rPr>
              <w:tab/>
            </w:r>
            <w:r>
              <w:rPr>
                <w:rStyle w:val="IndexLink"/>
              </w:rPr>
              <w:t>13</w:t>
            </w:r>
          </w:hyperlink>
        </w:p>
        <w:p>
          <w:pPr>
            <w:pStyle w:val="Contents3"/>
            <w:tabs>
              <w:tab w:val="clear" w:pos="8459"/>
              <w:tab w:val="right" w:pos="9026" w:leader="dot"/>
            </w:tabs>
            <w:rPr/>
          </w:pPr>
          <w:hyperlink w:anchor="__RefHeading___Toc13853382_1280447820">
            <w:r>
              <w:rPr>
                <w:webHidden/>
                <w:rStyle w:val="IndexLink"/>
                <w:rtl w:val="true"/>
              </w:rPr>
              <w:t>غیبت كوتاه</w:t>
            </w:r>
            <w:r>
              <w:rPr>
                <w:rStyle w:val="IndexLink"/>
                <w:rtl w:val="true"/>
              </w:rPr>
              <w:tab/>
            </w:r>
            <w:r>
              <w:rPr>
                <w:rStyle w:val="IndexLink"/>
              </w:rPr>
              <w:t>13</w:t>
            </w:r>
          </w:hyperlink>
        </w:p>
        <w:p>
          <w:pPr>
            <w:pStyle w:val="Contents3"/>
            <w:tabs>
              <w:tab w:val="clear" w:pos="8459"/>
              <w:tab w:val="right" w:pos="9026" w:leader="dot"/>
            </w:tabs>
            <w:rPr/>
          </w:pPr>
          <w:hyperlink w:anchor="__RefHeading___Toc13853384_1280447820">
            <w:r>
              <w:rPr>
                <w:webHidden/>
                <w:rStyle w:val="IndexLink"/>
                <w:rtl w:val="true"/>
              </w:rPr>
              <w:t>غیبت طولانی</w:t>
            </w:r>
            <w:r>
              <w:rPr>
                <w:rStyle w:val="IndexLink"/>
                <w:rtl w:val="true"/>
              </w:rPr>
              <w:tab/>
            </w:r>
            <w:r>
              <w:rPr>
                <w:rStyle w:val="IndexLink"/>
              </w:rPr>
              <w:t>14</w:t>
            </w:r>
          </w:hyperlink>
        </w:p>
        <w:p>
          <w:pPr>
            <w:pStyle w:val="Contents2"/>
            <w:tabs>
              <w:tab w:val="clear" w:pos="8743"/>
              <w:tab w:val="right" w:pos="9026" w:leader="dot"/>
            </w:tabs>
            <w:rPr/>
          </w:pPr>
          <w:hyperlink w:anchor="__RefHeading___Toc13853386_1280447820">
            <w:r>
              <w:rPr>
                <w:webHidden/>
                <w:rStyle w:val="IndexLink"/>
                <w:rtl w:val="true"/>
              </w:rPr>
              <w:t>اعتقاد و اصول علمی</w:t>
            </w:r>
            <w:r>
              <w:rPr>
                <w:rStyle w:val="IndexLink"/>
                <w:rtl w:val="true"/>
              </w:rPr>
              <w:tab/>
            </w:r>
            <w:r>
              <w:rPr>
                <w:rStyle w:val="IndexLink"/>
              </w:rPr>
              <w:t>17</w:t>
            </w:r>
          </w:hyperlink>
        </w:p>
        <w:p>
          <w:pPr>
            <w:pStyle w:val="Contents3"/>
            <w:tabs>
              <w:tab w:val="clear" w:pos="8459"/>
              <w:tab w:val="right" w:pos="9026" w:leader="dot"/>
            </w:tabs>
            <w:rPr/>
          </w:pPr>
          <w:hyperlink w:anchor="__RefHeading___Toc13853388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3853390_1280447820">
            <w:r>
              <w:rPr>
                <w:webHidden/>
                <w:rStyle w:val="IndexLink"/>
                <w:rtl w:val="true"/>
              </w:rPr>
              <w:t>زیست شناسی</w:t>
            </w:r>
            <w:r>
              <w:rPr>
                <w:rStyle w:val="IndexLink"/>
                <w:rtl w:val="true"/>
              </w:rPr>
              <w:tab/>
            </w:r>
            <w:r>
              <w:rPr>
                <w:rStyle w:val="IndexLink"/>
              </w:rPr>
              <w:t>17</w:t>
            </w:r>
          </w:hyperlink>
        </w:p>
        <w:p>
          <w:pPr>
            <w:pStyle w:val="Contents3"/>
            <w:tabs>
              <w:tab w:val="clear" w:pos="8459"/>
              <w:tab w:val="right" w:pos="9026" w:leader="dot"/>
            </w:tabs>
            <w:rPr/>
          </w:pPr>
          <w:hyperlink w:anchor="__RefHeading___Toc13853392_1280447820">
            <w:r>
              <w:rPr>
                <w:webHidden/>
                <w:rStyle w:val="IndexLink"/>
                <w:rtl w:val="true"/>
              </w:rPr>
              <w:t>نوامیس طبیعت</w:t>
            </w:r>
            <w:r>
              <w:rPr>
                <w:rStyle w:val="IndexLink"/>
                <w:rtl w:val="true"/>
              </w:rPr>
              <w:tab/>
            </w:r>
            <w:r>
              <w:rPr>
                <w:rStyle w:val="IndexLink"/>
              </w:rPr>
              <w:t>19</w:t>
            </w:r>
          </w:hyperlink>
        </w:p>
        <w:p>
          <w:pPr>
            <w:pStyle w:val="Contents2"/>
            <w:tabs>
              <w:tab w:val="clear" w:pos="8743"/>
              <w:tab w:val="right" w:pos="9026" w:leader="dot"/>
            </w:tabs>
            <w:rPr/>
          </w:pPr>
          <w:hyperlink w:anchor="__RefHeading___Toc13853394_1280447820">
            <w:r>
              <w:rPr>
                <w:webHidden/>
                <w:rStyle w:val="IndexLink"/>
                <w:rtl w:val="true"/>
              </w:rPr>
              <w:t>قوانین طبیعی</w:t>
            </w:r>
            <w:r>
              <w:rPr>
                <w:rStyle w:val="IndexLink"/>
                <w:rtl w:val="true"/>
              </w:rPr>
              <w:tab/>
            </w:r>
            <w:r>
              <w:rPr>
                <w:rStyle w:val="IndexLink"/>
              </w:rPr>
              <w:t>21</w:t>
            </w:r>
          </w:hyperlink>
        </w:p>
        <w:p>
          <w:pPr>
            <w:pStyle w:val="Contents3"/>
            <w:tabs>
              <w:tab w:val="clear" w:pos="8459"/>
              <w:tab w:val="right" w:pos="9026" w:leader="dot"/>
            </w:tabs>
            <w:rPr/>
          </w:pPr>
          <w:hyperlink w:anchor="__RefHeading___Toc13853396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3853398_1280447820">
            <w:r>
              <w:rPr>
                <w:webHidden/>
                <w:rStyle w:val="IndexLink"/>
                <w:rtl w:val="true"/>
              </w:rPr>
              <w:t>واقعیات تاریخ</w:t>
            </w:r>
            <w:r>
              <w:rPr>
                <w:rStyle w:val="IndexLink"/>
                <w:rtl w:val="true"/>
              </w:rPr>
              <w:tab/>
            </w:r>
            <w:r>
              <w:rPr>
                <w:rStyle w:val="IndexLink"/>
              </w:rPr>
              <w:t>23</w:t>
            </w:r>
          </w:hyperlink>
        </w:p>
        <w:p>
          <w:pPr>
            <w:pStyle w:val="Contents3"/>
            <w:tabs>
              <w:tab w:val="clear" w:pos="8459"/>
              <w:tab w:val="right" w:pos="9026" w:leader="dot"/>
            </w:tabs>
            <w:rPr/>
          </w:pPr>
          <w:hyperlink w:anchor="__RefHeading___Toc13853400_1280447820">
            <w:r>
              <w:rPr>
                <w:webHidden/>
                <w:rStyle w:val="IndexLink"/>
                <w:rtl w:val="true"/>
              </w:rPr>
              <w:t>در همین روزگار</w:t>
            </w:r>
            <w:r>
              <w:rPr>
                <w:rStyle w:val="IndexLink"/>
                <w:rtl w:val="true"/>
              </w:rPr>
              <w:tab/>
            </w:r>
            <w:r>
              <w:rPr>
                <w:rStyle w:val="IndexLink"/>
              </w:rPr>
              <w:t>24</w:t>
            </w:r>
          </w:hyperlink>
        </w:p>
        <w:p>
          <w:pPr>
            <w:pStyle w:val="Contents3"/>
            <w:tabs>
              <w:tab w:val="clear" w:pos="8459"/>
              <w:tab w:val="right" w:pos="9026" w:leader="dot"/>
            </w:tabs>
            <w:rPr/>
          </w:pPr>
          <w:hyperlink w:anchor="__RefHeading___Toc13853402_1280447820">
            <w:r>
              <w:rPr>
                <w:webHidden/>
                <w:rStyle w:val="IndexLink"/>
                <w:rtl w:val="true"/>
              </w:rPr>
              <w:t>سخن شیخ مجتبی قزوینی</w:t>
            </w:r>
            <w:r>
              <w:rPr>
                <w:rStyle w:val="IndexLink"/>
                <w:rtl w:val="true"/>
              </w:rPr>
              <w:tab/>
            </w:r>
            <w:r>
              <w:rPr>
                <w:rStyle w:val="IndexLink"/>
              </w:rPr>
              <w:t>25</w:t>
            </w:r>
          </w:hyperlink>
        </w:p>
        <w:p>
          <w:pPr>
            <w:pStyle w:val="Contents2"/>
            <w:tabs>
              <w:tab w:val="clear" w:pos="8743"/>
              <w:tab w:val="right" w:pos="9026" w:leader="dot"/>
            </w:tabs>
            <w:rPr/>
          </w:pPr>
          <w:hyperlink w:anchor="__RefHeading___Toc13853404_1280447820">
            <w:r>
              <w:rPr>
                <w:webHidden/>
                <w:rStyle w:val="IndexLink"/>
                <w:rtl w:val="true"/>
              </w:rPr>
              <w:t>سخنی از عقیده شناسان</w:t>
            </w:r>
            <w:r>
              <w:rPr>
                <w:rStyle w:val="IndexLink"/>
                <w:rtl w:val="true"/>
              </w:rPr>
              <w:tab/>
            </w:r>
            <w:r>
              <w:rPr>
                <w:rStyle w:val="IndexLink"/>
              </w:rPr>
              <w:t>28</w:t>
            </w:r>
          </w:hyperlink>
        </w:p>
        <w:p>
          <w:pPr>
            <w:pStyle w:val="Contents3"/>
            <w:tabs>
              <w:tab w:val="clear" w:pos="8459"/>
              <w:tab w:val="right" w:pos="9026" w:leader="dot"/>
            </w:tabs>
            <w:rPr/>
          </w:pPr>
          <w:hyperlink w:anchor="__RefHeading___Toc13853406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3853408_1280447820">
            <w:r>
              <w:rPr>
                <w:webHidden/>
                <w:rStyle w:val="IndexLink"/>
                <w:rtl w:val="true"/>
              </w:rPr>
              <w:t>نوامیس الهی تاریخ</w:t>
            </w:r>
            <w:r>
              <w:rPr>
                <w:rStyle w:val="IndexLink"/>
                <w:rtl w:val="true"/>
              </w:rPr>
              <w:tab/>
            </w:r>
            <w:r>
              <w:rPr>
                <w:rStyle w:val="IndexLink"/>
              </w:rPr>
              <w:t>29</w:t>
            </w:r>
          </w:hyperlink>
        </w:p>
        <w:p>
          <w:pPr>
            <w:pStyle w:val="Contents3"/>
            <w:tabs>
              <w:tab w:val="clear" w:pos="8459"/>
              <w:tab w:val="right" w:pos="9026" w:leader="dot"/>
            </w:tabs>
            <w:rPr/>
          </w:pPr>
          <w:hyperlink w:anchor="__RefHeading___Toc13853410_1280447820">
            <w:r>
              <w:rPr>
                <w:webHidden/>
                <w:rStyle w:val="IndexLink"/>
                <w:rtl w:val="true"/>
              </w:rPr>
              <w:t>قیام</w:t>
            </w:r>
            <w:r>
              <w:rPr>
                <w:rStyle w:val="IndexLink"/>
                <w:rtl w:val="true"/>
              </w:rPr>
              <w:tab/>
            </w:r>
            <w:r>
              <w:rPr>
                <w:rStyle w:val="IndexLink"/>
              </w:rPr>
              <w:t>30</w:t>
            </w:r>
          </w:hyperlink>
        </w:p>
        <w:p>
          <w:pPr>
            <w:pStyle w:val="Contents3"/>
            <w:tabs>
              <w:tab w:val="clear" w:pos="8459"/>
              <w:tab w:val="right" w:pos="9026" w:leader="dot"/>
            </w:tabs>
            <w:rPr/>
          </w:pPr>
          <w:hyperlink w:anchor="__RefHeading___Toc13853412_1280447820">
            <w:r>
              <w:rPr>
                <w:webHidden/>
                <w:rStyle w:val="IndexLink"/>
                <w:rtl w:val="true"/>
              </w:rPr>
              <w:t>واسطه وجود</w:t>
            </w:r>
            <w:r>
              <w:rPr>
                <w:rStyle w:val="IndexLink"/>
                <w:rtl w:val="true"/>
              </w:rPr>
              <w:tab/>
            </w:r>
            <w:r>
              <w:rPr>
                <w:rStyle w:val="IndexLink"/>
              </w:rPr>
              <w:t>33</w:t>
            </w:r>
          </w:hyperlink>
        </w:p>
        <w:p>
          <w:pPr>
            <w:pStyle w:val="Contents3"/>
            <w:tabs>
              <w:tab w:val="clear" w:pos="8459"/>
              <w:tab w:val="right" w:pos="9026" w:leader="dot"/>
            </w:tabs>
            <w:rPr/>
          </w:pPr>
          <w:hyperlink w:anchor="__RefHeading___Toc13853414_1280447820">
            <w:r>
              <w:rPr>
                <w:webHidden/>
                <w:rStyle w:val="IndexLink"/>
                <w:rtl w:val="true"/>
              </w:rPr>
              <w:t>سخن ابن سینا</w:t>
            </w:r>
            <w:r>
              <w:rPr>
                <w:rStyle w:val="IndexLink"/>
                <w:rtl w:val="true"/>
              </w:rPr>
              <w:tab/>
            </w:r>
            <w:r>
              <w:rPr>
                <w:rStyle w:val="IndexLink"/>
              </w:rPr>
              <w:t>34</w:t>
            </w:r>
          </w:hyperlink>
        </w:p>
        <w:p>
          <w:pPr>
            <w:pStyle w:val="Contents3"/>
            <w:tabs>
              <w:tab w:val="clear" w:pos="8459"/>
              <w:tab w:val="right" w:pos="9026" w:leader="dot"/>
            </w:tabs>
            <w:rPr/>
          </w:pPr>
          <w:hyperlink w:anchor="__RefHeading___Toc13853416_1280447820">
            <w:r>
              <w:rPr>
                <w:webHidden/>
                <w:rStyle w:val="IndexLink"/>
                <w:rtl w:val="true"/>
              </w:rPr>
              <w:t>خلیفه خدا</w:t>
            </w:r>
            <w:r>
              <w:rPr>
                <w:rStyle w:val="IndexLink"/>
                <w:rtl w:val="true"/>
              </w:rPr>
              <w:tab/>
            </w:r>
            <w:r>
              <w:rPr>
                <w:rStyle w:val="IndexLink"/>
              </w:rPr>
              <w:t>35</w:t>
            </w:r>
          </w:hyperlink>
        </w:p>
        <w:p>
          <w:pPr>
            <w:pStyle w:val="Contents3"/>
            <w:tabs>
              <w:tab w:val="clear" w:pos="8459"/>
              <w:tab w:val="right" w:pos="9026" w:leader="dot"/>
            </w:tabs>
            <w:rPr/>
          </w:pPr>
          <w:hyperlink w:anchor="__RefHeading___Toc13853418_1280447820">
            <w:r>
              <w:rPr>
                <w:webHidden/>
                <w:rStyle w:val="IndexLink"/>
                <w:rtl w:val="true"/>
              </w:rPr>
              <w:t>سخن امام علی بن ابی طالب</w:t>
            </w:r>
            <w:r>
              <w:rPr>
                <w:rStyle w:val="IndexLink"/>
                <w:rtl w:val="true"/>
              </w:rPr>
              <w:tab/>
            </w:r>
            <w:r>
              <w:rPr>
                <w:rStyle w:val="IndexLink"/>
              </w:rPr>
              <w:t>36</w:t>
            </w:r>
          </w:hyperlink>
        </w:p>
        <w:p>
          <w:pPr>
            <w:pStyle w:val="Contents3"/>
            <w:tabs>
              <w:tab w:val="clear" w:pos="8459"/>
              <w:tab w:val="right" w:pos="9026" w:leader="dot"/>
            </w:tabs>
            <w:rPr/>
          </w:pPr>
          <w:hyperlink w:anchor="__RefHeading___Toc13853420_1280447820">
            <w:r>
              <w:rPr>
                <w:webHidden/>
                <w:rStyle w:val="IndexLink"/>
                <w:rtl w:val="true"/>
              </w:rPr>
              <w:t>سخنان خواجه نصیرالدین طوسی</w:t>
            </w:r>
            <w:r>
              <w:rPr>
                <w:rStyle w:val="IndexLink"/>
                <w:rtl w:val="true"/>
              </w:rPr>
              <w:tab/>
            </w:r>
            <w:r>
              <w:rPr>
                <w:rStyle w:val="IndexLink"/>
              </w:rPr>
              <w:t>37</w:t>
            </w:r>
          </w:hyperlink>
        </w:p>
        <w:p>
          <w:pPr>
            <w:pStyle w:val="Contents2"/>
            <w:tabs>
              <w:tab w:val="clear" w:pos="8743"/>
              <w:tab w:val="right" w:pos="9026" w:leader="dot"/>
            </w:tabs>
            <w:rPr/>
          </w:pPr>
          <w:hyperlink w:anchor="__RefHeading___Toc13853422_1280447820">
            <w:r>
              <w:rPr>
                <w:webHidden/>
                <w:rStyle w:val="IndexLink"/>
                <w:rtl w:val="true"/>
              </w:rPr>
              <w:t>بشارات پیشینیان</w:t>
            </w:r>
            <w:r>
              <w:rPr>
                <w:rStyle w:val="IndexLink"/>
                <w:rtl w:val="true"/>
              </w:rPr>
              <w:tab/>
            </w:r>
            <w:r>
              <w:rPr>
                <w:rStyle w:val="IndexLink"/>
              </w:rPr>
              <w:t>39</w:t>
            </w:r>
          </w:hyperlink>
        </w:p>
        <w:p>
          <w:pPr>
            <w:pStyle w:val="Contents3"/>
            <w:tabs>
              <w:tab w:val="clear" w:pos="8459"/>
              <w:tab w:val="right" w:pos="9026" w:leader="dot"/>
            </w:tabs>
            <w:rPr/>
          </w:pPr>
          <w:hyperlink w:anchor="__RefHeading___Toc13853424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3853426_1280447820">
            <w:r>
              <w:rPr>
                <w:webHidden/>
                <w:rStyle w:val="IndexLink"/>
                <w:rtl w:val="true"/>
              </w:rPr>
              <w:t>اعتقاد به مهدی اسلامی است نه مذهبی</w:t>
            </w:r>
            <w:r>
              <w:rPr>
                <w:rStyle w:val="IndexLink"/>
                <w:rtl w:val="true"/>
              </w:rPr>
              <w:tab/>
            </w:r>
            <w:r>
              <w:rPr>
                <w:rStyle w:val="IndexLink"/>
              </w:rPr>
              <w:t>40</w:t>
            </w:r>
          </w:hyperlink>
        </w:p>
        <w:p>
          <w:pPr>
            <w:pStyle w:val="Contents3"/>
            <w:tabs>
              <w:tab w:val="clear" w:pos="8459"/>
              <w:tab w:val="right" w:pos="9026" w:leader="dot"/>
            </w:tabs>
            <w:rPr/>
          </w:pPr>
          <w:hyperlink w:anchor="__RefHeading___Toc13853428_1280447820">
            <w:r>
              <w:rPr>
                <w:webHidden/>
                <w:rStyle w:val="IndexLink"/>
                <w:rtl w:val="true"/>
              </w:rPr>
              <w:t>مهدی در كتب معتبر عالمان سنی</w:t>
            </w:r>
            <w:r>
              <w:rPr>
                <w:rStyle w:val="IndexLink"/>
                <w:rtl w:val="true"/>
              </w:rPr>
              <w:tab/>
            </w:r>
            <w:r>
              <w:rPr>
                <w:rStyle w:val="IndexLink"/>
              </w:rPr>
              <w:t>42</w:t>
            </w:r>
          </w:hyperlink>
        </w:p>
        <w:p>
          <w:pPr>
            <w:pStyle w:val="Contents3"/>
            <w:tabs>
              <w:tab w:val="clear" w:pos="8459"/>
              <w:tab w:val="right" w:pos="9026" w:leader="dot"/>
            </w:tabs>
            <w:rPr/>
          </w:pPr>
          <w:hyperlink w:anchor="__RefHeading___Toc13853430_1280447820">
            <w:r>
              <w:rPr>
                <w:webHidden/>
                <w:rStyle w:val="IndexLink"/>
                <w:rtl w:val="true"/>
              </w:rPr>
              <w:t>كتب عالمان سنی درباره مهدی</w:t>
            </w:r>
            <w:r>
              <w:rPr>
                <w:rStyle w:val="IndexLink"/>
                <w:rtl w:val="true"/>
              </w:rPr>
              <w:tab/>
            </w:r>
            <w:r>
              <w:rPr>
                <w:rStyle w:val="IndexLink"/>
              </w:rPr>
              <w:t>43</w:t>
            </w:r>
          </w:hyperlink>
        </w:p>
        <w:p>
          <w:pPr>
            <w:pStyle w:val="Contents3"/>
            <w:tabs>
              <w:tab w:val="clear" w:pos="8459"/>
              <w:tab w:val="right" w:pos="9026" w:leader="dot"/>
            </w:tabs>
            <w:rPr/>
          </w:pPr>
          <w:hyperlink w:anchor="__RefHeading___Toc13853432_1280447820">
            <w:r>
              <w:rPr>
                <w:webHidden/>
                <w:rStyle w:val="IndexLink"/>
                <w:rtl w:val="true"/>
              </w:rPr>
              <w:t>آیات قرآن درباره مهدی بنا به تفاسیر اهل سنت</w:t>
            </w:r>
            <w:r>
              <w:rPr>
                <w:rStyle w:val="IndexLink"/>
                <w:rtl w:val="true"/>
              </w:rPr>
              <w:tab/>
            </w:r>
            <w:r>
              <w:rPr>
                <w:rStyle w:val="IndexLink"/>
              </w:rPr>
              <w:t>45</w:t>
            </w:r>
          </w:hyperlink>
        </w:p>
        <w:p>
          <w:pPr>
            <w:pStyle w:val="Contents3"/>
            <w:tabs>
              <w:tab w:val="clear" w:pos="8459"/>
              <w:tab w:val="right" w:pos="9026" w:leader="dot"/>
            </w:tabs>
            <w:rPr/>
          </w:pPr>
          <w:hyperlink w:anchor="__RefHeading___Toc13853434_1280447820">
            <w:r>
              <w:rPr>
                <w:webHidden/>
                <w:rStyle w:val="IndexLink"/>
                <w:rtl w:val="true"/>
              </w:rPr>
              <w:t>اجماع درباره مهدی</w:t>
            </w:r>
            <w:r>
              <w:rPr>
                <w:rStyle w:val="IndexLink"/>
                <w:rtl w:val="true"/>
              </w:rPr>
              <w:tab/>
            </w:r>
            <w:r>
              <w:rPr>
                <w:rStyle w:val="IndexLink"/>
              </w:rPr>
              <w:t>47</w:t>
            </w:r>
          </w:hyperlink>
        </w:p>
        <w:p>
          <w:pPr>
            <w:pStyle w:val="Contents3"/>
            <w:tabs>
              <w:tab w:val="clear" w:pos="8459"/>
              <w:tab w:val="right" w:pos="9026" w:leader="dot"/>
            </w:tabs>
            <w:rPr/>
          </w:pPr>
          <w:hyperlink w:anchor="__RefHeading___Toc13853436_1280447820">
            <w:r>
              <w:rPr>
                <w:webHidden/>
                <w:rStyle w:val="IndexLink"/>
                <w:rtl w:val="true"/>
              </w:rPr>
              <w:t>اشتباهات</w:t>
            </w:r>
            <w:r>
              <w:rPr>
                <w:rStyle w:val="IndexLink"/>
                <w:rtl w:val="true"/>
              </w:rPr>
              <w:tab/>
            </w:r>
            <w:r>
              <w:rPr>
                <w:rStyle w:val="IndexLink"/>
              </w:rPr>
              <w:t>47</w:t>
            </w:r>
          </w:hyperlink>
        </w:p>
        <w:p>
          <w:pPr>
            <w:pStyle w:val="Contents3"/>
            <w:tabs>
              <w:tab w:val="clear" w:pos="8459"/>
              <w:tab w:val="right" w:pos="9026" w:leader="dot"/>
            </w:tabs>
            <w:rPr/>
          </w:pPr>
          <w:hyperlink w:anchor="__RefHeading___Toc13853438_1280447820">
            <w:r>
              <w:rPr>
                <w:webHidden/>
                <w:rStyle w:val="IndexLink"/>
                <w:rtl w:val="true"/>
              </w:rPr>
              <w:t>اعترافات</w:t>
            </w:r>
            <w:r>
              <w:rPr>
                <w:rStyle w:val="IndexLink"/>
                <w:rtl w:val="true"/>
              </w:rPr>
              <w:tab/>
            </w:r>
            <w:r>
              <w:rPr>
                <w:rStyle w:val="IndexLink"/>
              </w:rPr>
              <w:t>49</w:t>
            </w:r>
          </w:hyperlink>
        </w:p>
        <w:p>
          <w:pPr>
            <w:pStyle w:val="Contents2"/>
            <w:tabs>
              <w:tab w:val="clear" w:pos="8743"/>
              <w:tab w:val="right" w:pos="9026" w:leader="dot"/>
            </w:tabs>
            <w:rPr/>
          </w:pPr>
          <w:hyperlink w:anchor="__RefHeading___Toc13853440_1280447820">
            <w:r>
              <w:rPr>
                <w:webHidden/>
                <w:rStyle w:val="IndexLink"/>
                <w:rtl w:val="true"/>
              </w:rPr>
              <w:t>موعود</w:t>
            </w:r>
            <w:r>
              <w:rPr>
                <w:rStyle w:val="IndexLink"/>
                <w:rtl w:val="true"/>
              </w:rPr>
              <w:tab/>
            </w:r>
            <w:r>
              <w:rPr>
                <w:rStyle w:val="IndexLink"/>
              </w:rPr>
              <w:t>51</w:t>
            </w:r>
          </w:hyperlink>
        </w:p>
        <w:p>
          <w:pPr>
            <w:pStyle w:val="Contents2"/>
            <w:tabs>
              <w:tab w:val="clear" w:pos="8743"/>
              <w:tab w:val="right" w:pos="9026" w:leader="dot"/>
            </w:tabs>
            <w:rPr/>
          </w:pPr>
          <w:hyperlink w:anchor="__RefHeading___Toc13853442_1280447820">
            <w:r>
              <w:rPr>
                <w:webHidden/>
                <w:rStyle w:val="IndexLink"/>
                <w:rtl w:val="true"/>
              </w:rPr>
              <w:t>شیعه و دو حد تاریخ</w:t>
            </w:r>
            <w:r>
              <w:rPr>
                <w:rStyle w:val="IndexLink"/>
                <w:rtl w:val="true"/>
              </w:rPr>
              <w:tab/>
            </w:r>
            <w:r>
              <w:rPr>
                <w:rStyle w:val="IndexLink"/>
              </w:rPr>
              <w:t>55</w:t>
            </w:r>
          </w:hyperlink>
        </w:p>
        <w:p>
          <w:pPr>
            <w:pStyle w:val="Contents3"/>
            <w:tabs>
              <w:tab w:val="clear" w:pos="8459"/>
              <w:tab w:val="right" w:pos="9026" w:leader="dot"/>
            </w:tabs>
            <w:rPr/>
          </w:pPr>
          <w:hyperlink w:anchor="__RefHeading___Toc13853444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3853446_1280447820">
            <w:r>
              <w:rPr>
                <w:webHidden/>
                <w:rStyle w:val="IndexLink"/>
                <w:rtl w:val="true"/>
              </w:rPr>
              <w:t>سخن سقراط</w:t>
            </w:r>
            <w:r>
              <w:rPr>
                <w:rStyle w:val="IndexLink"/>
                <w:rtl w:val="true"/>
              </w:rPr>
              <w:tab/>
            </w:r>
            <w:r>
              <w:rPr>
                <w:rStyle w:val="IndexLink"/>
              </w:rPr>
              <w:t>57</w:t>
            </w:r>
          </w:hyperlink>
        </w:p>
        <w:p>
          <w:pPr>
            <w:pStyle w:val="Contents3"/>
            <w:tabs>
              <w:tab w:val="clear" w:pos="8459"/>
              <w:tab w:val="right" w:pos="9026" w:leader="dot"/>
            </w:tabs>
            <w:rPr/>
          </w:pPr>
          <w:hyperlink w:anchor="__RefHeading___Toc13853448_1280447820">
            <w:r>
              <w:rPr>
                <w:webHidden/>
                <w:rStyle w:val="IndexLink"/>
                <w:rtl w:val="true"/>
              </w:rPr>
              <w:t>سخن شیخ اشراق</w:t>
            </w:r>
            <w:r>
              <w:rPr>
                <w:rStyle w:val="IndexLink"/>
                <w:rtl w:val="true"/>
              </w:rPr>
              <w:tab/>
            </w:r>
            <w:r>
              <w:rPr>
                <w:rStyle w:val="IndexLink"/>
              </w:rPr>
              <w:t>58</w:t>
            </w:r>
          </w:hyperlink>
        </w:p>
        <w:p>
          <w:pPr>
            <w:pStyle w:val="Contents3"/>
            <w:tabs>
              <w:tab w:val="clear" w:pos="8459"/>
              <w:tab w:val="right" w:pos="9026" w:leader="dot"/>
            </w:tabs>
            <w:rPr/>
          </w:pPr>
          <w:hyperlink w:anchor="__RefHeading___Toc13853450_1280447820">
            <w:r>
              <w:rPr>
                <w:webHidden/>
                <w:rStyle w:val="IndexLink"/>
                <w:rtl w:val="true"/>
              </w:rPr>
              <w:t>آرمانهای مصلحان شیعه</w:t>
            </w:r>
            <w:r>
              <w:rPr>
                <w:rStyle w:val="IndexLink"/>
                <w:rtl w:val="true"/>
              </w:rPr>
              <w:tab/>
            </w:r>
            <w:r>
              <w:rPr>
                <w:rStyle w:val="IndexLink"/>
              </w:rPr>
              <w:t>59</w:t>
            </w:r>
          </w:hyperlink>
        </w:p>
        <w:p>
          <w:pPr>
            <w:pStyle w:val="Contents3"/>
            <w:tabs>
              <w:tab w:val="clear" w:pos="8459"/>
              <w:tab w:val="right" w:pos="9026" w:leader="dot"/>
            </w:tabs>
            <w:rPr/>
          </w:pPr>
          <w:hyperlink w:anchor="__RefHeading___Toc13853452_1280447820">
            <w:r>
              <w:rPr>
                <w:webHidden/>
                <w:rStyle w:val="IndexLink"/>
                <w:rtl w:val="true"/>
              </w:rPr>
              <w:t>امروز</w:t>
            </w:r>
            <w:r>
              <w:rPr>
                <w:rStyle w:val="IndexLink"/>
                <w:rtl w:val="true"/>
              </w:rPr>
              <w:tab/>
            </w:r>
            <w:r>
              <w:rPr>
                <w:rStyle w:val="IndexLink"/>
              </w:rPr>
              <w:t>62</w:t>
            </w:r>
          </w:hyperlink>
        </w:p>
        <w:p>
          <w:pPr>
            <w:pStyle w:val="Contents3"/>
            <w:tabs>
              <w:tab w:val="clear" w:pos="8459"/>
              <w:tab w:val="right" w:pos="9026" w:leader="dot"/>
            </w:tabs>
            <w:rPr/>
          </w:pPr>
          <w:hyperlink w:anchor="__RefHeading___Toc13853454_1280447820">
            <w:r>
              <w:rPr>
                <w:webHidden/>
                <w:rStyle w:val="IndexLink"/>
                <w:rtl w:val="true"/>
              </w:rPr>
              <w:t>ای توانگران</w:t>
            </w:r>
            <w:r>
              <w:rPr>
                <w:rStyle w:val="IndexLink"/>
                <w:rtl w:val="true"/>
              </w:rPr>
              <w:tab/>
            </w:r>
            <w:r>
              <w:rPr>
                <w:rStyle w:val="IndexLink"/>
              </w:rPr>
              <w:t>65</w:t>
            </w:r>
          </w:hyperlink>
        </w:p>
        <w:p>
          <w:pPr>
            <w:pStyle w:val="Contents3"/>
            <w:tabs>
              <w:tab w:val="clear" w:pos="8459"/>
              <w:tab w:val="right" w:pos="9026" w:leader="dot"/>
            </w:tabs>
            <w:rPr/>
          </w:pPr>
          <w:hyperlink w:anchor="__RefHeading___Toc13853456_1280447820">
            <w:r>
              <w:rPr>
                <w:webHidden/>
                <w:rStyle w:val="IndexLink"/>
                <w:rtl w:val="true"/>
              </w:rPr>
              <w:t>واقعیت نه پندار</w:t>
            </w:r>
            <w:r>
              <w:rPr>
                <w:rStyle w:val="IndexLink"/>
                <w:rtl w:val="true"/>
              </w:rPr>
              <w:tab/>
            </w:r>
            <w:r>
              <w:rPr>
                <w:rStyle w:val="IndexLink"/>
              </w:rPr>
              <w:t>66</w:t>
            </w:r>
          </w:hyperlink>
        </w:p>
        <w:p>
          <w:pPr>
            <w:pStyle w:val="Contents2"/>
            <w:tabs>
              <w:tab w:val="clear" w:pos="8743"/>
              <w:tab w:val="right" w:pos="9026" w:leader="dot"/>
            </w:tabs>
            <w:rPr/>
          </w:pPr>
          <w:hyperlink w:anchor="__RefHeading___Toc13853458_1280447820">
            <w:r>
              <w:rPr>
                <w:webHidden/>
                <w:rStyle w:val="IndexLink"/>
                <w:rtl w:val="true"/>
              </w:rPr>
              <w:t>آیا ما واقعا منتظر دولت عدل مهدی هستیم</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23_205800"/>
      <w:bookmarkStart w:id="1" w:name="pg19223_205800"/>
      <w:bookmarkEnd w:id="1"/>
    </w:p>
    <w:p>
      <w:pPr>
        <w:pStyle w:val="Heading2"/>
        <w:numPr>
          <w:ilvl w:val="1"/>
          <w:numId w:val="1"/>
        </w:numPr>
        <w:rPr/>
      </w:pPr>
      <w:bookmarkStart w:id="2" w:name="pg19223_205800"/>
      <w:bookmarkStart w:id="3" w:name="__RefHeading___Toc13853368_12804478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غدیر؛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2‌0‌4‌4‌7‌0‌6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53370_1280447820"/>
      <w:bookmarkStart w:id="6" w:name="_Toc2"/>
      <w:bookmarkEnd w:id="5"/>
      <w:r>
        <w:rPr>
          <w:rtl w:val="true"/>
        </w:rPr>
        <w:t>اشاره</w:t>
      </w:r>
      <w:bookmarkStart w:id="7" w:name="pg19223_205806"/>
      <w:bookmarkEnd w:id="6"/>
    </w:p>
    <w:p>
      <w:pPr>
        <w:pStyle w:val="Heading2"/>
        <w:numPr>
          <w:ilvl w:val="1"/>
          <w:numId w:val="1"/>
        </w:numPr>
        <w:rPr/>
      </w:pPr>
      <w:bookmarkStart w:id="8" w:name="__RefHeading___Toc13853372_1280447820"/>
      <w:bookmarkStart w:id="9" w:name="_Toc3"/>
      <w:bookmarkEnd w:id="7"/>
      <w:bookmarkEnd w:id="8"/>
      <w:r>
        <w:rPr>
          <w:rtl w:val="true"/>
        </w:rPr>
        <w:t>خورشید مغرب</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خدانزدیك به این نام، كه به این مقاله داده ییم، و در راه و كار همین موضوع، پیشترها نیز، رساله یی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نام آن را گفته 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دوتاست و دریافت و درك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در كار نیست اگر راجع به مقصد این مقاله، از جنبه های روحی و ماورای طبیعی بحث شود، اما چرا سخن را بدان انحصار دهیم؟ و چرا در نشناختن حقیقتها و اصالتهای اسلام، تا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اندازه اصرار می شود؟ عجب است، آنان كه می خواهند حقایق اسلام، صریح، و دور از همه ی این خام نظریها و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مایگیها درك نشود، و جامعه به خود نیاید،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دردناكتر آن كه ما خود چنین باشیم و بدین غرض، كمك كنیم، حتی با زحمت و مال و صرف وقت همین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به تحصیل كرده های ژرف اندیش و آزادنگر </w:t>
      </w:r>
      <w:r>
        <w:rPr>
          <w:rStyle w:val="FootnoteAnchor"/>
          <w:rtl w:val="true"/>
        </w:rPr>
        <w:footnoteReference w:id="2"/>
      </w:r>
      <w:r>
        <w:rPr>
          <w:rFonts w:ascii="IRNazanin" w:hAnsi="IRNazanin" w:eastAsia="IRNazanin"/>
          <w:color w:val="111111"/>
          <w:sz w:val="28"/>
          <w:sz w:val="28"/>
          <w:szCs w:val="28"/>
          <w:rtl w:val="true"/>
          <w:lang w:bidi="fa-IR"/>
        </w:rPr>
        <w:t>پیشنهاد می كنم، و صمیمانه می خواهم، كه هیچ گاه راجع به واقعیت عزیز اسلام، و عناصر تربیتی، و نیروهای آفرینشی آن در مورد دید و درك و تپش و حركت و عصیان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كارهای عوام مایه، استناد نكنند، و خود یافته های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تخصص نادیده را برنامه ی اسلام نشناسند، چون این كار هم ستم به اسلام است كه واقعیتش مجهور مانده است، و هم ستم به خود آنان، كه به سوی آن فروغ كه می بایست مشعل كاروان زندگیشان باشد، دست نیازیده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كنیم، كاری كه سالها در راه عملی شدنش به طراری كوشش شده است به این سرعت كه ما می خواهیم نمی توان بی اثر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نیز باید اعتراف كرد كه روزگار ما، روزگار طفره است نه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كه می شد با تدریج به مقصود رسید، پیشینیان ما در خواب به 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اكنون كسانی بیدارند؟ بگذریم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را كه در زمستان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بودم به خواست برخی از دوستان، باز به خوانندگانی كه بیابد عرضه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خورشید مغرب گفتم، نامی بود و كلمه یی، تا از آن، چه به ذهنها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مغرب را چاهساری می شناسند كه همه ی غوغاها و جوششها و روشناییهای روز و زندگی را در كام خود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 باشد، و جوششها و روشناییهای كاذب، در همان چاهسار سرد خاموش غرق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خود عكس العملی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برای دومین بار، این نوشته آسانتر در دسترس قرار می گیرد، ناگزیر آنان كه بخوانند، به اندیشه یی در این مقصود می رسند، چه كمك اندیشه ی خودشان باشد، یا آغاز اندیشه یی، یا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این نویسنده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راندن توده به سوی چكاد آفتاب، منظوری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كه اندك اندك، درماندگی مكاتب و سیستمها را از دریافت حقوق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كنیم، می توانیم از معنویتها مدد بخواهیم، و روح پنهان گیتی را، و سنگر دفاع وسیعترین حقهای انسانها را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 كه شیعه هیچ گاه در مفاهیم مذهب و مكتب خویش اشتباه نكند و به یاد آرد كه او هر روزش باید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ما در انتظار خورشیدیم، اما ذاتیت تعلیمات ما و عینیت رفتار بزرگان پیشین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امروز یكی نظیر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نفس در تاریكی به سر بردن، بیم داده و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می خواهد كه ما با تاریكیها و سردیها در افتیم، تا با ایجاد سنخیت در خود، آماده ی آن همه فروغ و گرمی بیكران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حكیمی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نیمه ی آذر </w:t>
      </w:r>
      <w:r>
        <w:rPr>
          <w:rFonts w:eastAsia="IRNazanin" w:cs="IRNazanin"/>
          <w:color w:val="111111"/>
          <w:sz w:val="28"/>
          <w:szCs w:val="28"/>
          <w:lang w:bidi="fa-IR"/>
        </w:rPr>
        <w:t>1344</w:t>
      </w:r>
      <w:bookmarkStart w:id="10" w:name="pg19223_205812"/>
    </w:p>
    <w:p>
      <w:pPr>
        <w:pStyle w:val="Heading2"/>
        <w:numPr>
          <w:ilvl w:val="1"/>
          <w:numId w:val="1"/>
        </w:numPr>
        <w:rPr/>
      </w:pPr>
      <w:bookmarkStart w:id="11" w:name="__RefHeading___Toc13853374_1280447820"/>
      <w:bookmarkStart w:id="12" w:name="_Toc4"/>
      <w:bookmarkEnd w:id="10"/>
      <w:bookmarkEnd w:id="11"/>
      <w:r>
        <w:rPr>
          <w:rtl w:val="true"/>
        </w:rPr>
        <w:t>میلاد</w:t>
      </w:r>
      <w:bookmarkEnd w:id="12"/>
    </w:p>
    <w:p>
      <w:pPr>
        <w:pStyle w:val="Heading3"/>
        <w:numPr>
          <w:ilvl w:val="2"/>
          <w:numId w:val="1"/>
        </w:numPr>
        <w:rPr/>
      </w:pPr>
      <w:bookmarkStart w:id="13" w:name="__RefHeading___Toc13853376_1280447820"/>
      <w:bookmarkStart w:id="14" w:name="_Toc5"/>
      <w:bookmarkEnd w:id="13"/>
      <w:r>
        <w:rPr>
          <w:rtl w:val="true"/>
        </w:rPr>
        <w:t>اشاره</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ولادت امام حجت بن الحسن المهدی را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 اند، كه در شب جمعه ی نیمه ی شعبان این سال پای بدین گیتی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كوشش می شد تا تولدش از مردم و بویژه دربار عباسی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مبنای بشارات كتب پیشینیان و روایات اسلامی، اشتهار یافته بود كه از حضرت امام حسن عسكری، فرزندی به وجود می آید كه برهم زننده ی اساس حكومتها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زندگانی امام حسن عسكری از مدتها پیش، مورد مراقبت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عباسیان كوشش</w:t>
      </w:r>
      <w:bookmarkStart w:id="15" w:name="pg19223_205813"/>
    </w:p>
    <w:p>
      <w:pPr>
        <w:pStyle w:val="BookText"/>
        <w:rPr/>
      </w:pPr>
      <w:bookmarkEnd w:id="15"/>
      <w:r>
        <w:rPr>
          <w:rFonts w:ascii="IRNazanin" w:hAnsi="IRNazanin" w:eastAsia="IRNazanin"/>
          <w:color w:val="111111"/>
          <w:sz w:val="28"/>
          <w:sz w:val="28"/>
          <w:szCs w:val="28"/>
          <w:rtl w:val="true"/>
          <w:lang w:bidi="fa-IR"/>
        </w:rPr>
        <w:t>می شد تا از به وجود آمدن و پرورش این كودك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بارها افرادی وی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حضرت عسكری نیز مردم مشاهده كردند كه از اندرون سرا به در آمد، و عموی خود جعفر را به یك سوزد، و بر پیكر پدر خویش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تقریبا پنج سال از عمرش گذشته بود</w:t>
      </w:r>
      <w:r>
        <w:rPr>
          <w:rFonts w:eastAsia="IRNazanin" w:cs="IRNazanin"/>
          <w:color w:val="111111"/>
          <w:sz w:val="28"/>
          <w:szCs w:val="28"/>
          <w:rtl w:val="true"/>
          <w:lang w:bidi="fa-IR"/>
        </w:rPr>
        <w:t>.</w:t>
      </w:r>
    </w:p>
    <w:p>
      <w:pPr>
        <w:pStyle w:val="Heading3"/>
        <w:numPr>
          <w:ilvl w:val="2"/>
          <w:numId w:val="1"/>
        </w:numPr>
        <w:rPr/>
      </w:pPr>
      <w:bookmarkStart w:id="16" w:name="__RefHeading___Toc13853378_1280447820"/>
      <w:bookmarkStart w:id="17" w:name="_Toc6"/>
      <w:bookmarkEnd w:id="16"/>
      <w:r>
        <w:rPr>
          <w:rtl w:val="true"/>
        </w:rPr>
        <w:t>عیسی مسیح و یحیی بن زكریا</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كمال معنوی و ولایت امام را در سن كودكی با سرگذشت عیسی مسیح و یحیی بن زكریا همانند دانسته اند و در توصیف امام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گندم گون، ابروانش پیوسته، چشمانش سیاه و جذاب، شانه اش وسیع،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هایش گشاده، بینیش كشیده و زیبا، گونه هایش كم گوشت و اندكی متمایل به زردی، كه از بیداری شب عارض شده، بر گونه ی راستش خالی مشكین، عضلاتش محكم، هیئتش خوش منظر و رباینده، و در میان شانه اش اثری است چون اثر نبوت، و او شبیه ترین مردمان است به حضرت محمد ص</w:t>
      </w:r>
      <w:r>
        <w:rPr>
          <w:rFonts w:eastAsia="IRNazanin" w:cs="IRNazanin"/>
          <w:color w:val="111111"/>
          <w:sz w:val="28"/>
          <w:szCs w:val="28"/>
          <w:rtl w:val="true"/>
          <w:lang w:bidi="fa-IR"/>
        </w:rPr>
        <w:t>.</w:t>
      </w:r>
      <w:bookmarkStart w:id="18" w:name="pg19223_205814"/>
    </w:p>
    <w:p>
      <w:pPr>
        <w:pStyle w:val="Heading3"/>
        <w:numPr>
          <w:ilvl w:val="2"/>
          <w:numId w:val="1"/>
        </w:numPr>
        <w:rPr/>
      </w:pPr>
      <w:bookmarkStart w:id="19" w:name="__RefHeading___Toc13853380_1280447820"/>
      <w:bookmarkStart w:id="20" w:name="_Toc7"/>
      <w:bookmarkEnd w:id="18"/>
      <w:bookmarkEnd w:id="19"/>
      <w:r>
        <w:rPr>
          <w:rtl w:val="true"/>
        </w:rPr>
        <w:t>نماز بر پیكر پیشوا</w:t>
      </w:r>
      <w:bookmarkEnd w:id="20"/>
    </w:p>
    <w:p>
      <w:pPr>
        <w:pStyle w:val="BookText"/>
        <w:rPr/>
      </w:pPr>
      <w:r>
        <w:rPr>
          <w:rFonts w:ascii="IRNazanin" w:hAnsi="IRNazanin" w:eastAsia="IRNazanin"/>
          <w:color w:val="111111"/>
          <w:sz w:val="28"/>
          <w:sz w:val="28"/>
          <w:szCs w:val="28"/>
          <w:rtl w:val="true"/>
          <w:lang w:bidi="fa-IR"/>
        </w:rPr>
        <w:t>چنانكه یاد كردیم، از جاهایی كه امام خود را نمود در مراسم فوت پدر گرامیش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تجلی همایون كه كودكی خردسال بزرگانه گام پیش نهاد، و بر خلق امامت كرد، و بر پیكر پیشوای فقید نماز خواند، خود سبب گشت تا اخبار داخله ی حضرت امام حسن عسكری بزودی پهن شود و به گوش مراقبان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بدون فاصله، از سوی المعتمد عباسی، دستور هجوم و تفتیش و جلب و احیانا قتل مهدی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بود كه ضمن مقارناتی علل ناپدیدی امام فراهم آمد، و دوازدهمین پیشوای شیعه، به فرمان الهی، از نظرها پنهان گشت</w:t>
      </w:r>
      <w:r>
        <w:rPr>
          <w:rFonts w:eastAsia="IRNazanin" w:cs="IRNazanin"/>
          <w:color w:val="111111"/>
          <w:sz w:val="28"/>
          <w:szCs w:val="28"/>
          <w:rtl w:val="true"/>
          <w:lang w:bidi="fa-IR"/>
        </w:rPr>
        <w:t>...</w:t>
      </w:r>
    </w:p>
    <w:p>
      <w:pPr>
        <w:pStyle w:val="Heading3"/>
        <w:numPr>
          <w:ilvl w:val="2"/>
          <w:numId w:val="1"/>
        </w:numPr>
        <w:rPr/>
      </w:pPr>
      <w:bookmarkStart w:id="21" w:name="__RefHeading___Toc13853382_1280447820"/>
      <w:bookmarkStart w:id="22" w:name="_Toc8"/>
      <w:bookmarkEnd w:id="21"/>
      <w:r>
        <w:rPr>
          <w:rtl w:val="true"/>
        </w:rPr>
        <w:t>غیبت كوتاه</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 از دیدگان عموم پنهان بود، اما كسانی </w:t>
      </w:r>
      <w:r>
        <w:rPr>
          <w:rStyle w:val="FootnoteAnchor"/>
          <w:rtl w:val="true"/>
        </w:rPr>
        <w:footnoteReference w:id="3"/>
      </w:r>
      <w:r>
        <w:rPr>
          <w:rFonts w:ascii="IRNazanin" w:hAnsi="IRNazanin" w:eastAsia="IRNazanin"/>
          <w:color w:val="111111"/>
          <w:sz w:val="28"/>
          <w:sz w:val="28"/>
          <w:szCs w:val="28"/>
          <w:rtl w:val="true"/>
          <w:lang w:bidi="fa-IR"/>
        </w:rPr>
        <w:t>با وی در تماس بودند، كارهای مردم را می گذراندند،</w:t>
      </w:r>
      <w:bookmarkStart w:id="23" w:name="pg19223_205815"/>
    </w:p>
    <w:p>
      <w:pPr>
        <w:pStyle w:val="BookText"/>
        <w:rPr/>
      </w:pPr>
      <w:bookmarkEnd w:id="23"/>
      <w:r>
        <w:rPr>
          <w:rFonts w:ascii="IRNazanin" w:hAnsi="IRNazanin" w:eastAsia="IRNazanin"/>
          <w:color w:val="111111"/>
          <w:sz w:val="28"/>
          <w:sz w:val="28"/>
          <w:szCs w:val="28"/>
          <w:rtl w:val="true"/>
          <w:lang w:bidi="fa-IR"/>
        </w:rPr>
        <w:t>و گاهی گروهی به وسیله ی آنان به دیدار امام بار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دوره ی غیبت طولانی آغاز گردید كه تا كنون نیز ادامه یافته است</w:t>
      </w:r>
      <w:r>
        <w:rPr>
          <w:rFonts w:eastAsia="IRNazanin" w:cs="IRNazanin"/>
          <w:color w:val="111111"/>
          <w:sz w:val="28"/>
          <w:szCs w:val="28"/>
          <w:rtl w:val="true"/>
          <w:lang w:bidi="fa-IR"/>
        </w:rPr>
        <w:t>.</w:t>
      </w:r>
    </w:p>
    <w:p>
      <w:pPr>
        <w:pStyle w:val="Heading3"/>
        <w:numPr>
          <w:ilvl w:val="2"/>
          <w:numId w:val="1"/>
        </w:numPr>
        <w:rPr/>
      </w:pPr>
      <w:bookmarkStart w:id="24" w:name="__RefHeading___Toc13853384_1280447820"/>
      <w:bookmarkStart w:id="25" w:name="_Toc9"/>
      <w:bookmarkEnd w:id="24"/>
      <w:r>
        <w:rPr>
          <w:rtl w:val="true"/>
        </w:rPr>
        <w:t>غیبت طولانی</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مدت طولانی است كه بزرگترین مرحله ی اختبار و امتحان در دار طبیعت و آزمایش ایمان خلق وجود دارد، تا معلوم شود در خلال این روزگاران كه هر بامداد خورشید از كرانه ی افق شرقی سر بر می آورد، و بر سراسر صحنه های زندگی مردمان می تابد، اهل قرون و اعصار، در هر نقطه یی از جهان چگونه عمر خویش را سپری می كنند و از هستی و نیروهای خویش چه نتیجه ای می گیرند، و هر فرد یا گروه، در برابر احساس وظیفه، چه می كند، نویسندگان،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مصلحین، دعات، روحانیان، مربیان نوباوگان، زمامداران، جنگاوران و سایر توده های انسانی كه در این پهنه ی بیكران قرار می گیرند، چگونه برنامه ی زیست خود را تنظیم می كنند و علت به وجود آمدن چه اعمال و حوادثی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امتحان، این فرصت را به آنان داد و كاملا به اختیار خویشتنشان گذارد و ایام را همچنان میان آنان برگزار كرد و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الایام نداولها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دوری آن پیشوای دلسوز و مربی محبوب، هجرانی سوزان و فراقی غمبار بود كه انسانهای كامل، و بشر دوستان معتقد، و مردم با ایمان را بسی سوخت و گداخت، و داستان این مشتاقی و مهجوری پایاب شكیبایی از دستشان ربود، و اشكشان را بر این چمن و گل كه بی رخ ساقی رنگی نداشت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مردم ما، معتقدند كه مهدی ع در نهان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زندگی می كند، تا روزی، هنگام حصول اقتضای تام، پا در میان اجتماعات نهد، و پرچم عدالت و توحید را برفراز بلندترین آبادیهای گیتی به اهتزاز در آورد</w:t>
      </w:r>
      <w:r>
        <w:rPr>
          <w:rFonts w:eastAsia="IRNazanin" w:cs="IRNazanin"/>
          <w:color w:val="111111"/>
          <w:sz w:val="28"/>
          <w:szCs w:val="28"/>
          <w:rtl w:val="true"/>
          <w:lang w:bidi="fa-IR"/>
        </w:rPr>
        <w:t>.</w:t>
      </w:r>
      <w:bookmarkStart w:id="26" w:name="pg19223_205818"/>
    </w:p>
    <w:p>
      <w:pPr>
        <w:pStyle w:val="Heading2"/>
        <w:numPr>
          <w:ilvl w:val="1"/>
          <w:numId w:val="1"/>
        </w:numPr>
        <w:rPr/>
      </w:pPr>
      <w:bookmarkStart w:id="27" w:name="__RefHeading___Toc13853386_1280447820"/>
      <w:bookmarkStart w:id="28" w:name="_Toc10"/>
      <w:bookmarkEnd w:id="26"/>
      <w:bookmarkEnd w:id="27"/>
      <w:r>
        <w:rPr>
          <w:rtl w:val="true"/>
        </w:rPr>
        <w:t>اعتقاد و اصول علمی</w:t>
      </w:r>
      <w:bookmarkEnd w:id="28"/>
    </w:p>
    <w:p>
      <w:pPr>
        <w:pStyle w:val="Heading3"/>
        <w:numPr>
          <w:ilvl w:val="2"/>
          <w:numId w:val="1"/>
        </w:numPr>
        <w:rPr/>
      </w:pPr>
      <w:bookmarkStart w:id="29" w:name="__RefHeading___Toc13853388_12804478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ممكن است مسئله ی طول عمر امام در نظر برخی نیاز به توضیح داشته باشد، پس باید دید از نظر قوانین زیست شناسی و نوامیس طبیعی، طول عمر انسان چگونه است؟ و آیا برهانی علمی و قانونی آزمایشی وجود دارد كه به اثبات محال بودن طول عمر منتهی شود یا نه؟ در اینجا باید پیرامون تحقیقات زیست شناسی و چگونگی نوامیس طبیعت و واقعیات تاریخ كمی بررسی كرد</w:t>
      </w:r>
      <w:r>
        <w:rPr>
          <w:rFonts w:eastAsia="IRNazanin" w:cs="IRNazanin"/>
          <w:color w:val="111111"/>
          <w:sz w:val="28"/>
          <w:szCs w:val="28"/>
          <w:rtl w:val="true"/>
          <w:lang w:bidi="fa-IR"/>
        </w:rPr>
        <w:t>.</w:t>
      </w:r>
    </w:p>
    <w:p>
      <w:pPr>
        <w:pStyle w:val="Heading3"/>
        <w:numPr>
          <w:ilvl w:val="2"/>
          <w:numId w:val="1"/>
        </w:numPr>
        <w:rPr/>
      </w:pPr>
      <w:bookmarkStart w:id="31" w:name="__RefHeading___Toc13853390_1280447820"/>
      <w:bookmarkStart w:id="32" w:name="_Toc12"/>
      <w:bookmarkEnd w:id="31"/>
      <w:r>
        <w:rPr>
          <w:rtl w:val="true"/>
        </w:rPr>
        <w:t>زیست شناسی</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شناسان می گویند، عمر بشر اندازه و حد ثابتی ندارد و در طبیعت همه گونه عمر بوده است و ممكن</w:t>
      </w:r>
    </w:p>
    <w:p>
      <w:pPr>
        <w:pStyle w:val="BookText"/>
        <w:rPr/>
      </w:pPr>
      <w:r>
        <w:rPr>
          <w:rFonts w:ascii="IRNazanin" w:hAnsi="IRNazanin" w:eastAsia="IRNazanin"/>
          <w:color w:val="111111"/>
          <w:sz w:val="28"/>
          <w:sz w:val="28"/>
          <w:szCs w:val="28"/>
          <w:rtl w:val="true"/>
          <w:lang w:bidi="fa-IR"/>
        </w:rPr>
        <w:t>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وایزمن عالم آلمانی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لازمه ی قوانین طبیعی نیست و در عالم طبیعت از عمر ابد گرفته تا عمر یك لحظه ای همه نوعش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طبیعی و فطری است عمر جاودانی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افسانه ی عمر نهصد و شصت و نه ساله متوشلح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متوشالح</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نه مردود عقل است و نه مردود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خود ما میزان طول عمر بالا رفته است و دلیلی ندارد كه ازین بالاتر هم نرود و یك روز نیاید كه بشر به عمر نهصد ساله برسد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methuselah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نقل برناردشا در كتاب </w:t>
      </w:r>
      <w:r>
        <w:rPr>
          <w:rFonts w:eastAsia="Times New Roman" w:cs="Times New Roman" w:ascii="Times New Roman" w:hAnsi="Times New Roman"/>
          <w:color w:val="111111"/>
          <w:sz w:val="28"/>
          <w:szCs w:val="28"/>
          <w:lang w:val="en-US" w:bidi="en-US"/>
        </w:rPr>
        <w:t>kca ot methuselah</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پانزده گفتار نگارش استاد مجتبی مینوی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متخصصین، طول عمر انسان به هر اندازه هم باشد بر خلاف اصول علمی نیست، بلكه علم، آن را تایید می كند، بطوری كه اخیار در صدد بر آمده اند تا حد و مرز را از زندگی انسان بردارند، و با پیدا كردن راه سالم نگاهداشتن سلولهای بدن، بر طول عمر انسان سالهایی مدید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یی پا فراتر نهاده اند و در راه</w:t>
      </w:r>
      <w:bookmarkStart w:id="33" w:name="pg19223_205820"/>
    </w:p>
    <w:p>
      <w:pPr>
        <w:pStyle w:val="BookText"/>
        <w:rPr/>
      </w:pPr>
      <w:bookmarkEnd w:id="33"/>
      <w:r>
        <w:rPr>
          <w:rFonts w:ascii="IRNazanin" w:hAnsi="IRNazanin" w:eastAsia="IRNazanin"/>
          <w:color w:val="111111"/>
          <w:sz w:val="28"/>
          <w:sz w:val="28"/>
          <w:szCs w:val="28"/>
          <w:rtl w:val="true"/>
          <w:lang w:bidi="fa-IR"/>
        </w:rPr>
        <w:t xml:space="preserve">تحصیل عمر جاودانی برای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پیدا كردن هورمانهای </w:t>
      </w:r>
      <w:r>
        <w:rPr>
          <w:rStyle w:val="FootnoteAnchor"/>
          <w:rtl w:val="true"/>
        </w:rPr>
        <w:footnoteReference w:id="6"/>
      </w:r>
      <w:r>
        <w:rPr>
          <w:rFonts w:ascii="IRNazanin" w:hAnsi="IRNazanin" w:eastAsia="IRNazanin"/>
          <w:color w:val="111111"/>
          <w:sz w:val="28"/>
          <w:sz w:val="28"/>
          <w:szCs w:val="28"/>
          <w:rtl w:val="true"/>
          <w:lang w:bidi="fa-IR"/>
        </w:rPr>
        <w:t>مخصوص و استعمال آنها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افتاده اند، و حتی می توانند تا حدودی جوانی را به پیران فرتوت بازگردانند</w:t>
      </w:r>
      <w:r>
        <w:rPr>
          <w:rFonts w:eastAsia="IRNazanin" w:cs="IRNazanin"/>
          <w:color w:val="111111"/>
          <w:sz w:val="28"/>
          <w:szCs w:val="28"/>
          <w:rtl w:val="true"/>
          <w:lang w:bidi="fa-IR"/>
        </w:rPr>
        <w:t>.</w:t>
      </w:r>
    </w:p>
    <w:p>
      <w:pPr>
        <w:pStyle w:val="Heading3"/>
        <w:numPr>
          <w:ilvl w:val="2"/>
          <w:numId w:val="1"/>
        </w:numPr>
        <w:rPr/>
      </w:pPr>
      <w:bookmarkStart w:id="34" w:name="__RefHeading___Toc13853392_1280447820"/>
      <w:bookmarkStart w:id="35" w:name="_Toc13"/>
      <w:bookmarkEnd w:id="34"/>
      <w:r>
        <w:rPr>
          <w:rtl w:val="true"/>
        </w:rPr>
        <w:t>نوامیس طبیعت</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و نوامیس طبیعت نیز، بطلان طول عمر زیاد را به ثبوت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حكمهایی كه راجع به قوانین طبیعت داده می شود، اغلب منشا آنها استقرائهای ناقصی است كه محدود است به حدود دید و درك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منطق می گویند، استقرای ناقص نمی تواند دلیل حكم كلی گردد، یعنی مثلا اگر ما در محیط زندگی خود درختانی را كه دیده ییم، تلقیح و بارور شدن آنها در اثر 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دخالت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به صرف این، نمی توانیم بگوییم همه ی درختان اینسان است، چه ما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یك درختان همه ی جهان را ندیده ییم، و ممكن است در آنچه ماندیده ییم درختانی باشد كه عمل تلقیح در آنها نیاز به پرورشكاران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ی امری نمی توان حكم كلی كرد مگر هنگامی كه همه ی موارد آن بدقت رسیدگی شده باشد</w:t>
      </w:r>
      <w:r>
        <w:rPr>
          <w:rFonts w:eastAsia="IRNazanin" w:cs="IRNazanin"/>
          <w:color w:val="111111"/>
          <w:sz w:val="28"/>
          <w:szCs w:val="28"/>
          <w:rtl w:val="true"/>
          <w:lang w:bidi="fa-IR"/>
        </w:rPr>
        <w:t>.</w:t>
      </w:r>
      <w:bookmarkStart w:id="36" w:name="pg19223_205822"/>
    </w:p>
    <w:p>
      <w:pPr>
        <w:pStyle w:val="Heading2"/>
        <w:numPr>
          <w:ilvl w:val="1"/>
          <w:numId w:val="1"/>
        </w:numPr>
        <w:rPr/>
      </w:pPr>
      <w:bookmarkStart w:id="37" w:name="__RefHeading___Toc13853394_1280447820"/>
      <w:bookmarkStart w:id="38" w:name="_Toc14"/>
      <w:bookmarkEnd w:id="36"/>
      <w:bookmarkEnd w:id="37"/>
      <w:r>
        <w:rPr>
          <w:rtl w:val="true"/>
        </w:rPr>
        <w:t>قوانین طبیعی</w:t>
      </w:r>
      <w:bookmarkEnd w:id="38"/>
    </w:p>
    <w:p>
      <w:pPr>
        <w:pStyle w:val="Heading3"/>
        <w:numPr>
          <w:ilvl w:val="2"/>
          <w:numId w:val="1"/>
        </w:numPr>
        <w:rPr/>
      </w:pPr>
      <w:bookmarkStart w:id="39" w:name="__RefHeading___Toc13853396_1280447820"/>
      <w:bookmarkStart w:id="40" w:name="_Toc15"/>
      <w:bookmarkEnd w:id="39"/>
      <w:r>
        <w:rPr>
          <w:rtl w:val="true"/>
        </w:rPr>
        <w:t>اشاره</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طبیعت قوانین دو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عام و ظاهر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خاص و مخفیقسمت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است كه در همه یا بیشتر افراد دسته یا صنفی كه قانون در آن یافت می شود، جاری است، و با مطالعه و آزمایش مختصری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است كه در بعضی افراد، در بعضی شرایط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نسبت به دسته یا صنفی از موجودات، در مورد این گونه قوانین، حكمی كلی به دست آوریم، باید در تمام حالات و شرایط تمام آن دسته یا صنف در زمانها و موقعیتهای مختلف دقت كرده معدل گیری كنیم،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با قاطعیت كامل حكم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گفته، مثالهای بسیاری می توان دید، در انواع علوم طبیعی، روان شناسی، ستاره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اختلافات گوناگونی كه حتی در افراد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یك جنسند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قوه ی بینایی، حافظه، جای قلب، ریه، كبد، طحال و جز آن دیده می شود، كه همه ثابت می كنند كه ممكن است در طبیعت بر خلاف آنچه ما دیده ییم حقایقی به وقوع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اندازه كه در محیطهای متعارف خود می بینیم مدت عمر دارای حدود نسبتا معینی است كه از آن تجاوز نمی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بیشتر افراد نه همه، آن هم با این همه آسیبهای روحی و جسمی، و بی مبالاتی اشخاص در بهداشت خود از آغاز سن، و بلكه مراعات نكردن دستورات بهداشتی نسبت به جنین و در دوران شیر خوارگی و 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عمر از این مقدار بیشتر را خلاف نوامیس طبیعت پهناور و شگفت انگیز تصور كرد</w:t>
      </w:r>
      <w:r>
        <w:rPr>
          <w:rFonts w:eastAsia="IRNazanin" w:cs="IRNazanin"/>
          <w:color w:val="111111"/>
          <w:sz w:val="28"/>
          <w:szCs w:val="28"/>
          <w:rtl w:val="true"/>
          <w:lang w:bidi="fa-IR"/>
        </w:rPr>
        <w:t>.</w:t>
      </w:r>
      <w:bookmarkStart w:id="41" w:name="pg19223_205824"/>
    </w:p>
    <w:p>
      <w:pPr>
        <w:pStyle w:val="Heading3"/>
        <w:numPr>
          <w:ilvl w:val="2"/>
          <w:numId w:val="1"/>
        </w:numPr>
        <w:rPr/>
      </w:pPr>
      <w:bookmarkStart w:id="42" w:name="__RefHeading___Toc13853398_1280447820"/>
      <w:bookmarkStart w:id="43" w:name="_Toc16"/>
      <w:bookmarkEnd w:id="41"/>
      <w:bookmarkEnd w:id="42"/>
      <w:r>
        <w:rPr>
          <w:rtl w:val="true"/>
        </w:rPr>
        <w:t>واقعیات تاریخ</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واقعیات تاریخ و سرگذشت معمرین </w:t>
      </w:r>
      <w:r>
        <w:rPr>
          <w:rStyle w:val="FootnoteAnchor"/>
          <w:rtl w:val="true"/>
        </w:rPr>
        <w:footnoteReference w:id="7"/>
      </w:r>
      <w:r>
        <w:rPr>
          <w:rFonts w:ascii="IRNazanin" w:hAnsi="IRNazanin" w:eastAsia="IRNazanin"/>
          <w:color w:val="111111"/>
          <w:sz w:val="28"/>
          <w:sz w:val="28"/>
          <w:szCs w:val="28"/>
          <w:rtl w:val="true"/>
          <w:lang w:bidi="fa-IR"/>
        </w:rPr>
        <w:t>نیز دلیل دیگری است برای امكان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امكان چیزی، واقع شدن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كه قضایا و اخباری كه تاریخ نقل می كند تا حدی سبب یقین و باور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به استناد تاریخ، باور می كنیم كه در سرزمین میهن عزیز ما سالیانی پیش، خاندانی به نام ساسانی، یا هخامنشی،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اطمینان داریم كه شخصیتهایی به نام كوروش و بزرگمهر و انوشیروان داشته ییم، در صورتی كه ما آنان را ندیده ییم و آشنایی ما با آنان فقط از راه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كسانی كه عمرشان بسی به درازا كشیده است نیز در كتابهای تاریخ و زندگینامه ها و سیره نامه ها صفحاتی</w:t>
      </w:r>
      <w:bookmarkStart w:id="44" w:name="pg19223_205825"/>
    </w:p>
    <w:p>
      <w:pPr>
        <w:pStyle w:val="BookText"/>
        <w:rPr/>
      </w:pPr>
      <w:bookmarkEnd w:id="44"/>
      <w:r>
        <w:rPr>
          <w:rFonts w:ascii="IRNazanin" w:hAnsi="IRNazanin" w:eastAsia="IRNazanin"/>
          <w:color w:val="111111"/>
          <w:sz w:val="28"/>
          <w:sz w:val="28"/>
          <w:szCs w:val="28"/>
          <w:rtl w:val="true"/>
          <w:lang w:bidi="fa-IR"/>
        </w:rPr>
        <w:t xml:space="preserve">فراوان نوشته اند </w:t>
      </w:r>
      <w:r>
        <w:rPr>
          <w:rStyle w:val="FootnoteAnchor"/>
          <w:rtl w:val="true"/>
        </w:rPr>
        <w:footnoteReference w:id="8"/>
      </w:r>
      <w:r>
        <w:rPr>
          <w:rFonts w:ascii="IRNazanin" w:hAnsi="IRNazanin" w:eastAsia="IRNazanin"/>
          <w:color w:val="111111"/>
          <w:sz w:val="28"/>
          <w:sz w:val="28"/>
          <w:szCs w:val="28"/>
          <w:rtl w:val="true"/>
          <w:lang w:bidi="fa-IR"/>
        </w:rPr>
        <w:t>و حتی كتبی ویژه ی احوال آنان نیز تدوین كرده 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با این حساب می توانیم بپذیریم كه افرادی بوده اند كه سالهایی فراوان عمر كرده اند، و بهارها و پاییزهایی بسیار دیده اند</w:t>
      </w:r>
      <w:r>
        <w:rPr>
          <w:rFonts w:eastAsia="IRNazanin" w:cs="IRNazanin"/>
          <w:color w:val="111111"/>
          <w:sz w:val="28"/>
          <w:szCs w:val="28"/>
          <w:rtl w:val="true"/>
          <w:lang w:bidi="fa-IR"/>
        </w:rPr>
        <w:t>.</w:t>
      </w:r>
    </w:p>
    <w:p>
      <w:pPr>
        <w:pStyle w:val="Heading3"/>
        <w:numPr>
          <w:ilvl w:val="2"/>
          <w:numId w:val="1"/>
        </w:numPr>
        <w:rPr/>
      </w:pPr>
      <w:bookmarkStart w:id="45" w:name="__RefHeading___Toc13853400_1280447820"/>
      <w:bookmarkStart w:id="46" w:name="_Toc17"/>
      <w:bookmarkEnd w:id="45"/>
      <w:r>
        <w:rPr>
          <w:rtl w:val="true"/>
        </w:rPr>
        <w:t>در همین روزگار</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بگذریم، در حال حاضر و در همین روزگار نیز، در روزنامه ها و مجلات داخلی و خارجی فراوان دیده شده است كه شرح زندگی اشخاص كهنسال كه در همین نزدیكی زنده بوده اند یا اكنون زنده اند درج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گفتار فوق، روشن می شود كه طول عمر،</w:t>
      </w:r>
      <w:bookmarkStart w:id="47" w:name="pg19223_205826"/>
    </w:p>
    <w:p>
      <w:pPr>
        <w:pStyle w:val="BookText"/>
        <w:rPr/>
      </w:pPr>
      <w:bookmarkEnd w:id="47"/>
      <w:r>
        <w:rPr>
          <w:rFonts w:ascii="IRNazanin" w:hAnsi="IRNazanin" w:eastAsia="IRNazanin"/>
          <w:color w:val="111111"/>
          <w:sz w:val="28"/>
          <w:sz w:val="28"/>
          <w:szCs w:val="28"/>
          <w:rtl w:val="true"/>
          <w:lang w:bidi="fa-IR"/>
        </w:rPr>
        <w:t>با قطع نظر از تجویز علمی، در خارج نیز واقع شده است و دارای شواهد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چشم پوشی از جنبه ی الهی و قدرت ماورای محسوس، از نظر ظاهر نیز این ادعا را كه فردی از انسانها از دیر زمانی باقی است و روزی به حكم جبر تاریخ قیام می كند و در اعماق اجتماعات فرو می رود و اساس فضیلت روحی را استوار می سازد، نمی توان مردود دانست،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 و نه با قیاس بر واقعیات تاریخ، و نه با قوانین زیست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انصافی و پشت گردن به تجویزات علمی و تجربه ی تاریخی است اگر چنین فكری به استهزا گرفته شود</w:t>
      </w:r>
      <w:r>
        <w:rPr>
          <w:rFonts w:eastAsia="IRNazanin" w:cs="IRNazanin"/>
          <w:color w:val="111111"/>
          <w:sz w:val="28"/>
          <w:szCs w:val="28"/>
          <w:rtl w:val="true"/>
          <w:lang w:bidi="fa-IR"/>
        </w:rPr>
        <w:t>.</w:t>
      </w:r>
    </w:p>
    <w:p>
      <w:pPr>
        <w:pStyle w:val="Heading3"/>
        <w:numPr>
          <w:ilvl w:val="2"/>
          <w:numId w:val="1"/>
        </w:numPr>
        <w:rPr/>
      </w:pPr>
      <w:bookmarkStart w:id="48" w:name="__RefHeading___Toc13853402_1280447820"/>
      <w:bookmarkStart w:id="49" w:name="_Toc18"/>
      <w:bookmarkEnd w:id="48"/>
      <w:r>
        <w:rPr>
          <w:rtl w:val="true"/>
        </w:rPr>
        <w:t>سخن شیخ مجتبی قزوینی</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برای امكان موضوع، بیان دیگری در خور تقریر است كه اینك از آموزگار بزرگ معارف، متاله اخیر خراسان، حضرت شیخ مجتبی قزوینی، نقل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قواعد فلسفه و حكمت، هر طبیعتی كه در عالم موجود شود و قابل زیاده و نقص باشد، به مقتضای اینكه طبیعت، كمال اقصای خود را طالب است، باید فرد كامل از آن طبیعت در عالم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قاعده و اساس، مسائل فلسفی چندی مترتب گردیده، كه از آن جمله وجود فرد كامل در بشر است كه از چنین فردی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یا حكیم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قانون مبرهن فلسفی، مزاج و استعداد عمر و زندگانی بشر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یك هزار سال یا دو هزار سال، یقینا اقصی مراتب امكان زندگانی بشر نیست، بلكه بیش از اینها هم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این قانون فلسفی، طول عمر بعضی از افراد بشر، خلاف طبیعت نیست، زیرا واضح است كه زندگانی هر فرد بستگی به صحت قوای مزاجی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مزاج صحیح و قویتر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بقاء زندگانی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مزاج قوی در انسان و صحت آن به واسطه ی موجوداتی از قبیل نور و آب و هوا و خاك و اغذیه و ادویه و غیر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و صلاح مزاج در هر آنی محتاج به بدل ما یتحلل و حفظ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اگر كسی در قوای روحی و علمی چنان قوی باشد كه به كیفیت تولید مزاج صحیح و قوی و حفظ آن، و خصوصیات نافع و مضر مزاج و بدل ما یتحلل، علم داشته باشد كه بتواند مزاج خود را به حد اعتدال نگاه دارد و به زندگانی خود مدتی بیشتر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نیز بسیاری از دانشمندان برای حصول این مقصود در سعی و كوشش می باشند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50" w:name="pg19223_205829"/>
    </w:p>
    <w:p>
      <w:pPr>
        <w:pStyle w:val="Heading2"/>
        <w:numPr>
          <w:ilvl w:val="1"/>
          <w:numId w:val="1"/>
        </w:numPr>
        <w:rPr/>
      </w:pPr>
      <w:bookmarkStart w:id="51" w:name="__RefHeading___Toc13853404_1280447820"/>
      <w:bookmarkStart w:id="52" w:name="_Toc19"/>
      <w:bookmarkEnd w:id="50"/>
      <w:bookmarkEnd w:id="51"/>
      <w:r>
        <w:rPr>
          <w:rtl w:val="true"/>
        </w:rPr>
        <w:t>سخنی از عقیده شناسان</w:t>
      </w:r>
      <w:bookmarkEnd w:id="52"/>
    </w:p>
    <w:p>
      <w:pPr>
        <w:pStyle w:val="Heading3"/>
        <w:numPr>
          <w:ilvl w:val="2"/>
          <w:numId w:val="1"/>
        </w:numPr>
        <w:rPr/>
      </w:pPr>
      <w:bookmarkStart w:id="53" w:name="__RefHeading___Toc13853406_1280447820"/>
      <w:bookmarkStart w:id="54" w:name="_Toc20"/>
      <w:bookmarkEnd w:id="53"/>
      <w:r>
        <w:rPr>
          <w:rtl w:val="true"/>
        </w:rPr>
        <w:t>اشاره</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متكلمین و علمای علوم اعتقادی، از روی روایات زیادی كه فرق اسلام، از نبی اكرم، درباره ی مهدی نقل كرده اند، اعتقاد به وی را اصلی اسلامی شناخته اند و ناگزیر در كتب عقاید در آن باره به بحثهایی پرداخته اند، كه از جله تفسیر غیبت و فواید وجود امام است در حال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اختصار همگام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این موضوعات گسترش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اینجا فشرده ای از گفتار دو دانشمند فنی، مولف كفایه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طبرسی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و مولف بیان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مجتبی قزوینی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را ذكر می كنیم، و سپس یاد آوری نكته ای را بدان پیوست می دهیم</w:t>
      </w:r>
      <w:r>
        <w:rPr>
          <w:rFonts w:eastAsia="IRNazanin" w:cs="IRNazanin"/>
          <w:color w:val="111111"/>
          <w:sz w:val="28"/>
          <w:szCs w:val="28"/>
          <w:rtl w:val="true"/>
          <w:lang w:bidi="fa-IR"/>
        </w:rPr>
        <w:t>.</w:t>
      </w:r>
      <w:bookmarkStart w:id="55" w:name="pg19223_205830"/>
    </w:p>
    <w:p>
      <w:pPr>
        <w:pStyle w:val="BookText"/>
        <w:rPr/>
      </w:pPr>
      <w:bookmarkEnd w:id="55"/>
      <w:r>
        <w:rPr>
          <w:rFonts w:ascii="IRNazanin" w:hAnsi="IRNazanin" w:eastAsia="IRNazanin"/>
          <w:color w:val="111111"/>
          <w:sz w:val="28"/>
          <w:sz w:val="28"/>
          <w:szCs w:val="28"/>
          <w:rtl w:val="true"/>
          <w:lang w:bidi="fa-IR"/>
        </w:rPr>
        <w:t>خلاصه ی گفتار نامبردگان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مهدی علیه السلام آخرین خلیفه و حجت خدایی است، لازم بود كه خود را از گزند حوادثی و دستهایی كه او را می جستند مصون بدارد و در كنف غیبت الهی مستور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موقعیت امام به منزله ی موقعیت پیامبر است پس از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حافظ احكام تبلیغ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پنهان بودن او، مردم اگر چه، از دیدارش محرومند، اما عبث و رها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احكامی كه در دست است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روزی تمام نوامیس دین ضایع گشت آنا ظهور خواهد كرد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3853408_1280447820"/>
      <w:bookmarkStart w:id="57" w:name="_Toc21"/>
      <w:bookmarkEnd w:id="56"/>
      <w:r>
        <w:rPr>
          <w:rtl w:val="true"/>
        </w:rPr>
        <w:t>نوامیس الهی تاریخ</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غیبت نیز از سنن الهیه است كه به تصریح قرآن در انبیاء و مصلحین سلف نیز بوده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58" w:name="pg19223_205831"/>
    </w:p>
    <w:p>
      <w:pPr>
        <w:pStyle w:val="BookText"/>
        <w:rPr/>
      </w:pPr>
      <w:bookmarkEnd w:id="58"/>
      <w:r>
        <w:rPr>
          <w:rFonts w:ascii="IRNazanin" w:hAnsi="IRNazanin" w:eastAsia="IRNazanin"/>
          <w:color w:val="111111"/>
          <w:sz w:val="28"/>
          <w:sz w:val="28"/>
          <w:szCs w:val="28"/>
          <w:rtl w:val="true"/>
          <w:lang w:bidi="fa-IR"/>
        </w:rPr>
        <w:t>و امام در حال غیبتی كه در اثر عصیان خود مردم به وجود آمده است باز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كه مردم به اخلاص وی را بخواهند آشكار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غیبت نیز حوائج و مقاصد متوجهین و متوسلین را بر می آورد و در مشكلات و معارف جویندگان را امداد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وی و اراده اش نیز در انقلاب نیات سركشان و متنفذین عالم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اینكه او ناظر كردارهاست، عقیده داران از گناه و تجاوز چشم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تربیت و ایصال نفوس مستعد، به عهده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وسیله، طالبان بصیر از اینكه به دام هوسبازان و دین سازان و مدعیان و اقطاب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تشتتهای ناروا در كنگره ی اجتماع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آزرده ی شیعه به 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می مانند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3853410_1280447820"/>
      <w:bookmarkStart w:id="60" w:name="_Toc22"/>
      <w:bookmarkEnd w:id="59"/>
      <w:r>
        <w:rPr>
          <w:rtl w:val="true"/>
        </w:rPr>
        <w:t>قیام</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افزود كه آمادگی افراد در هر آن، برای قیام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مبارزه و جهاد در راه تحكیم عدالت جهانی و حفظ حقوق انسانها نیز واجد اهمیتی بسزاست، زیرا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باید همواره دارای چنین هدفی باشد و در راه تحقق آن به وسایل گوناگون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قیام و به پا خاستنی كه هنگام ذكر نام قائم لازم است، برای این است، كه شیعه كه صاحب تاریخی درخشان و مجاهداتی خستگی ناپذیر است، همواره برای نهضتهای پاك، آمادگی خود را تجدید كند و به یاد تاریخ خون آلود پیشین و آرمانهای مقدس سربازان فداكار تشیع، برای ایجاد یك همبستگی اخلاقی و تحول حقوقی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آیت 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قیام شاید برای احترام نباشد و الا باید برای خدا و رسول و اولیای دیگر هم به قیام احترام كرد، بلكه دستور آمادگی و فراهم كردن مقدمات نهضت جهانی و در صف ایستادن برای پشتیبانی این حقیقت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كوچكترین اثر بد بینی، بی رغبتی به خدمات اجتماعی و دلسردی از اقدام به كارهای عام المنفعه و نیكوست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دادن مردم به آینده ی درخشان و دولت حق و نوید دادن به اجرای كامل عدالت اجتماعی و تاسیس حكومت اسلام و ظهور یك شخصیت خدا ساخته و بارز كه موسس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 آن حكومت و دولت است، از تعالیم موسسین ادیان است، و در مكتب تشیع كه مكتب حق اسلام و حافظ اصلی معنویات آن است، جزء عقیده قرار داده شده و درباره ی خصوصیات چنین دولتی توضیحات بیشتری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خود را به انتظار چنین روزی ترغیب نموده و حتی انتظار ظهور را از عبادات دانسته اند، تا مسلمانان حق پرست، در اثر ظلم و تعدی زمامداران خود پرست، و تسلط دولتهای باطل و تحولات اجتماعی بزرگ و حكومت ملل ماده پرست، اعم از شرقی و غربی، خود را نبازند و دل قوی دارند و جمعیت</w:t>
      </w:r>
      <w:bookmarkStart w:id="61" w:name="pg19223_205834"/>
    </w:p>
    <w:p>
      <w:pPr>
        <w:pStyle w:val="BookText"/>
        <w:rPr/>
      </w:pPr>
      <w:bookmarkEnd w:id="61"/>
      <w:r>
        <w:rPr>
          <w:rFonts w:ascii="IRNazanin" w:hAnsi="IRNazanin" w:eastAsia="IRNazanin"/>
          <w:color w:val="111111"/>
          <w:sz w:val="28"/>
          <w:sz w:val="28"/>
          <w:szCs w:val="28"/>
          <w:rtl w:val="true"/>
          <w:lang w:bidi="fa-IR"/>
        </w:rPr>
        <w:t>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عقیده است كه هنوز مسلمانان را امیدوار و فعال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فشار و مصیبت از آغاز حكومت دودمان دنائت و رذالت اموی تا جنگهای صلیبی و حمله ی مغول و اختناق و تعدیهای دولتهای استعماری، به سر هر ملتی وارد می آمد خاكسترش هم به باد فنا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دینی كه پیشوایان حق آن دستور می دهند كه چون اسم صریح قائم موسس دولت حقه ی اسلام، برده می شود، به پا بایستید و آمادگی خود را برای انجام تمام دستورات اعلام كنید و خود را همیشه نیرومند و مقتدر نشان دهید، هیچ وقت نخواهد مرد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3853412_1280447820"/>
      <w:bookmarkStart w:id="63" w:name="_Toc23"/>
      <w:bookmarkEnd w:id="62"/>
      <w:r>
        <w:rPr>
          <w:rtl w:val="true"/>
        </w:rPr>
        <w:t>واسطه وجود</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ای كه در پایان این بخش باید یاد آوری شود این است كه آثار وجود امام را تنها نباید از جهت</w:t>
      </w:r>
      <w:bookmarkStart w:id="64" w:name="pg19223_205835"/>
    </w:p>
    <w:p>
      <w:pPr>
        <w:pStyle w:val="BookText"/>
        <w:rPr/>
      </w:pPr>
      <w:bookmarkEnd w:id="64"/>
      <w:r>
        <w:rPr>
          <w:rFonts w:ascii="IRNazanin" w:hAnsi="IRNazanin" w:eastAsia="IRNazanin"/>
          <w:color w:val="111111"/>
          <w:sz w:val="28"/>
          <w:sz w:val="28"/>
          <w:szCs w:val="28"/>
          <w:rtl w:val="true"/>
          <w:lang w:bidi="fa-IR"/>
        </w:rPr>
        <w:t>تربیت اجتماعات مورد لحاظ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ولی، از نظر ناموس تكوین و پیوستهای درونی آفرینش نیز لازم است كه وجود داشته باشد، زیرا خداوند مبنای عالم هستی را بر اسباب و وسایط قرار داده است، حتی فیض وجود و اصول نعمتها باید به وسیله ای قابل، از مبدا عالم كسب شود و به كاینات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تربیت مردم یكی از چندین اثر وجود حجت است، و در صورتی كه روی موانعی عملی نگشت، باز سایر آثار بر وجود او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فیض پیاپی و تحقق مراحل اضافات اشرافیه وابسته به وجود اوست، كه چون آینه ای تابان، در برابر مطلع انوار بیكران ازلیت قرار گیرد و فروغ حیات بخش هستی را بر جان كاینات منعكس سازد</w:t>
      </w:r>
      <w:r>
        <w:rPr>
          <w:rFonts w:eastAsia="IRNazanin" w:cs="IRNazanin"/>
          <w:color w:val="111111"/>
          <w:sz w:val="28"/>
          <w:szCs w:val="28"/>
          <w:rtl w:val="true"/>
          <w:lang w:bidi="fa-IR"/>
        </w:rPr>
        <w:t>.</w:t>
      </w:r>
    </w:p>
    <w:p>
      <w:pPr>
        <w:pStyle w:val="Heading3"/>
        <w:numPr>
          <w:ilvl w:val="2"/>
          <w:numId w:val="1"/>
        </w:numPr>
        <w:rPr/>
      </w:pPr>
      <w:bookmarkStart w:id="65" w:name="__RefHeading___Toc13853414_1280447820"/>
      <w:bookmarkStart w:id="66" w:name="_Toc24"/>
      <w:bookmarkEnd w:id="65"/>
      <w:r>
        <w:rPr>
          <w:rtl w:val="true"/>
        </w:rPr>
        <w:t>سخن ابن سینا</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در فصلی كه، راجع به امام و خلیفه گفتگو می كند و درجات اخلاقی و علمی انسان را گزارش می دهد، می گوید</w:t>
      </w:r>
      <w:r>
        <w:rPr>
          <w:rFonts w:eastAsia="IRNazanin" w:cs="IRNazanin"/>
          <w:color w:val="111111"/>
          <w:sz w:val="28"/>
          <w:szCs w:val="28"/>
          <w:rtl w:val="true"/>
          <w:lang w:bidi="fa-IR"/>
        </w:rPr>
        <w:t>:</w:t>
      </w:r>
      <w:bookmarkStart w:id="67" w:name="pg19223_205836"/>
    </w:p>
    <w:p>
      <w:pPr>
        <w:pStyle w:val="BookText"/>
        <w:rPr/>
      </w:pPr>
      <w:bookmarkEnd w:id="67"/>
      <w:r>
        <w:rPr>
          <w:rFonts w:ascii="IRNazanin" w:hAnsi="IRNazanin" w:eastAsia="IRNazanin"/>
          <w:color w:val="111111"/>
          <w:sz w:val="28"/>
          <w:sz w:val="28"/>
          <w:szCs w:val="28"/>
          <w:rtl w:val="true"/>
          <w:lang w:bidi="fa-IR"/>
        </w:rPr>
        <w:t>و من فاز مع ذلك بالخواص النبویه كاد ان یصیر ربا انسانیا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سلطان العالم الارضی و خلیفه الله فیه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علاوه بر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امام و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خواص پیامبری باشد، چنین كسی رب النوع انسان تواند بود و او فرمانروای جهان خاكی است و خلیفه الله است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مراد از العالم الارضی، جمیع كاینات ارضی است كه تحت استیلای ولایتی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ربا انسانیا نیز استفاده می شود كه مقصود، صاحب تاثیر بودن است در ترتیب صورت نوعیه</w:t>
      </w:r>
      <w:r>
        <w:rPr>
          <w:rFonts w:eastAsia="IRNazanin" w:cs="IRNazanin"/>
          <w:color w:val="111111"/>
          <w:sz w:val="28"/>
          <w:szCs w:val="28"/>
          <w:rtl w:val="true"/>
          <w:lang w:bidi="fa-IR"/>
        </w:rPr>
        <w:t>.</w:t>
      </w:r>
    </w:p>
    <w:p>
      <w:pPr>
        <w:pStyle w:val="Heading3"/>
        <w:numPr>
          <w:ilvl w:val="2"/>
          <w:numId w:val="1"/>
        </w:numPr>
        <w:rPr/>
      </w:pPr>
      <w:bookmarkStart w:id="68" w:name="__RefHeading___Toc13853416_1280447820"/>
      <w:bookmarkStart w:id="69" w:name="_Toc25"/>
      <w:bookmarkEnd w:id="68"/>
      <w:r>
        <w:rPr>
          <w:rtl w:val="true"/>
        </w:rPr>
        <w:t>خلیفه خدا</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كریم نیز، این موضوع تایید می شود</w:t>
      </w:r>
      <w:bookmarkStart w:id="70" w:name="pg19223_205837"/>
    </w:p>
    <w:p>
      <w:pPr>
        <w:pStyle w:val="BookText"/>
        <w:rPr/>
      </w:pPr>
      <w:bookmarkEnd w:id="70"/>
      <w:r>
        <w:rPr>
          <w:rFonts w:ascii="IRNazanin" w:hAnsi="IRNazanin" w:eastAsia="IRNazanin"/>
          <w:color w:val="111111"/>
          <w:sz w:val="28"/>
          <w:sz w:val="28"/>
          <w:szCs w:val="28"/>
          <w:rtl w:val="true"/>
          <w:lang w:bidi="fa-IR"/>
        </w:rPr>
        <w:t>كه نسبت به آدم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قال ربك للملائكه انی جاعل فی الارض خلیفه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فرا دار ای محمد، آن گاه كه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اندر زمین خلیفه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روی فی الارض تكیه شده است</w:t>
      </w:r>
      <w:r>
        <w:rPr>
          <w:rFonts w:eastAsia="IRNazanin" w:cs="IRNazanin"/>
          <w:color w:val="111111"/>
          <w:sz w:val="28"/>
          <w:szCs w:val="28"/>
          <w:rtl w:val="true"/>
          <w:lang w:bidi="fa-IR"/>
        </w:rPr>
        <w:t>.</w:t>
      </w:r>
    </w:p>
    <w:p>
      <w:pPr>
        <w:pStyle w:val="Heading3"/>
        <w:numPr>
          <w:ilvl w:val="2"/>
          <w:numId w:val="1"/>
        </w:numPr>
        <w:rPr/>
      </w:pPr>
      <w:bookmarkStart w:id="71" w:name="__RefHeading___Toc13853418_1280447820"/>
      <w:bookmarkStart w:id="72" w:name="_Toc26"/>
      <w:bookmarkEnd w:id="71"/>
      <w:r>
        <w:rPr>
          <w:rtl w:val="true"/>
        </w:rPr>
        <w:t>سخن امام علی بن ابی طالب</w:t>
      </w:r>
      <w:bookmarkEnd w:id="7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ابی طالب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تخلو الارض من قائم لله بحجه، اما ظاهرا مشهورا، او خائفا معمورا</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73" w:name="pg19223_205838"/>
    </w:p>
    <w:p>
      <w:pPr>
        <w:pStyle w:val="BookText"/>
        <w:rPr/>
      </w:pPr>
      <w:bookmarkEnd w:id="7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از حجتی قائم، خالی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حجت، آشكار باشد و شناخته، و چه نگران و پنهان</w:t>
      </w:r>
      <w:r>
        <w:rPr>
          <w:rFonts w:eastAsia="IRNazanin" w:cs="IRNazanin"/>
          <w:color w:val="111111"/>
          <w:sz w:val="28"/>
          <w:szCs w:val="28"/>
          <w:rtl w:val="true"/>
          <w:lang w:bidi="fa-IR"/>
        </w:rPr>
        <w:t>.</w:t>
      </w:r>
    </w:p>
    <w:p>
      <w:pPr>
        <w:pStyle w:val="Heading3"/>
        <w:numPr>
          <w:ilvl w:val="2"/>
          <w:numId w:val="1"/>
        </w:numPr>
        <w:rPr/>
      </w:pPr>
      <w:bookmarkStart w:id="74" w:name="__RefHeading___Toc13853420_1280447820"/>
      <w:bookmarkStart w:id="75" w:name="_Toc27"/>
      <w:bookmarkEnd w:id="74"/>
      <w:r>
        <w:rPr>
          <w:rtl w:val="true"/>
        </w:rPr>
        <w:t>سخنان خواجه نصیرالدین طوسی</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ریاضیدان بزرگ مشرق، خواجه نصیرالدین طوسی نیز، در جمله ی معروف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لطف، و تصرفه لطف آخر، و عدمه منا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لطف خدایی است و دخالتش در امور لطفی دیگر، و غیبتش، از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حقیقتها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متفكر بزرگ در كتابی دیگر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خلق از امام و علت غیبت او، چون معلوم است كه از جهت خدای سبحانه نباشد، و از جهت امام نبود، پس لابد از جهت رعیت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علت آن زایل نشود، ظاهر نگردد، چه بعد از ازاحت علت و كشف حقیقت، حجت خدای را باشد بر خلق نه خلق را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استبعاد از درازی عمر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چون امكانش معلوم است، و از غیر او متفق، جهل محض بود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76" w:name="pg19223_205840"/>
    </w:p>
    <w:p>
      <w:pPr>
        <w:pStyle w:val="Heading2"/>
        <w:numPr>
          <w:ilvl w:val="1"/>
          <w:numId w:val="1"/>
        </w:numPr>
        <w:rPr/>
      </w:pPr>
      <w:bookmarkStart w:id="77" w:name="__RefHeading___Toc13853422_1280447820"/>
      <w:bookmarkStart w:id="78" w:name="_Toc28"/>
      <w:bookmarkEnd w:id="76"/>
      <w:bookmarkEnd w:id="77"/>
      <w:r>
        <w:rPr>
          <w:rtl w:val="true"/>
        </w:rPr>
        <w:t>بشارات پیشینیان</w:t>
      </w:r>
      <w:bookmarkEnd w:id="78"/>
    </w:p>
    <w:p>
      <w:pPr>
        <w:pStyle w:val="Heading3"/>
        <w:numPr>
          <w:ilvl w:val="2"/>
          <w:numId w:val="1"/>
        </w:numPr>
        <w:rPr/>
      </w:pPr>
      <w:bookmarkStart w:id="79" w:name="__RefHeading___Toc13853424_1280447820"/>
      <w:bookmarkStart w:id="80" w:name="_Toc29"/>
      <w:bookmarkEnd w:id="79"/>
      <w:r>
        <w:rPr>
          <w:rtl w:val="true"/>
        </w:rPr>
        <w:t>اشاره</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گذشت می گوییم، از روزگاران كهن، داستان ظهور مصلح، در اواخر تاریخ زندگی بشر، اصلی اساسی بوده است كه پیوسته پیشینیان آن را به یادها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نیز پس از گذشتن قرنها، در خلال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انسانهای قدیم آثاری وجود دارد كه ما را به گفته ی بالا رهنمونی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فتوریسم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fotorism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اعتقاد به دوره آخرالزمان و انتظار ظهور منجی، عقیده ای است كه در كیشهای آسمانی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زورواستریانیسم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مذهب عمده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كاتولیك، پروتستان، ارتدوكس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1" w:name="pg19223_205841"/>
    </w:p>
    <w:p>
      <w:pPr>
        <w:pStyle w:val="BookText"/>
        <w:rPr/>
      </w:pPr>
      <w:bookmarkEnd w:id="81"/>
      <w:r>
        <w:rPr>
          <w:rFonts w:ascii="IRNazanin" w:hAnsi="IRNazanin" w:eastAsia="IRNazanin"/>
          <w:color w:val="111111"/>
          <w:sz w:val="28"/>
          <w:sz w:val="28"/>
          <w:szCs w:val="28"/>
          <w:rtl w:val="true"/>
          <w:lang w:bidi="fa-IR"/>
        </w:rPr>
        <w:t>و مدعیان نبوت عموما، و دین مقدس اسلام خصوصا، به مثابه ی یك اصل مسلم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آن، در مباحث تئولوژیك مذاهب آسمانی، رشته تئولوژی بیبلیكال، كاملا شرح و بسط داده شده است بشاراتی كه در این باره در كتب آسمانی مقدسه و كتب مدعیان نبوت وارد شده فراوان است كه از كتب غیر اسلامی، زبور، زند، حكی، صفنیا، اشعیا، شاكمونی، دید، پاتكیل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انجیل متی، انجیل یوحنا، كتاب دانیال، جاماسب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 جاماسب نامه شاگرد زردشت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بیرون آید از زمین تازیان، از فرزندان هاشم، مردی بزرگ سر و بزرگ تن و بزرگ ساق، و به دین جد خویش بود، و زمین را پر داد كند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3853426_1280447820"/>
      <w:bookmarkStart w:id="83" w:name="_Toc30"/>
      <w:bookmarkEnd w:id="82"/>
      <w:r>
        <w:rPr>
          <w:rtl w:val="true"/>
        </w:rPr>
        <w:t>اعتقاد به مهدی اسلامی است نه مذهبی</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می بینیم كه اعتقاد به مهدی، اسلامی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نه مذهبی، یعنی مربوط به همه ی فرق اسلام است نه تنها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باید گفت اعتقاد به ظهور مصلح، ملی است، یعنی اهل ادیان بدان اعتراف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اسلامی بودن آن، اصلی است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موضوع در كتب علمای اسلام به اندازه ای فراوان است كه كمتر به آن اندازه در مورد دیگری حدیث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فن حدیث می گویند، احادیث نبوی راجع به مهدی بیش از حد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بابهای مختلف كتب حدیث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شیعه ندارد </w:t>
      </w:r>
      <w:r>
        <w:rPr>
          <w:rStyle w:val="FootnoteAnchor"/>
          <w:rtl w:val="true"/>
        </w:rPr>
        <w:footnoteReference w:id="22"/>
      </w:r>
      <w:r>
        <w:rPr>
          <w:rFonts w:ascii="IRNazanin" w:hAnsi="IRNazanin" w:eastAsia="IRNazanin"/>
          <w:color w:val="111111"/>
          <w:sz w:val="28"/>
          <w:sz w:val="28"/>
          <w:szCs w:val="28"/>
          <w:rtl w:val="true"/>
          <w:lang w:bidi="fa-IR"/>
        </w:rPr>
        <w:t xml:space="preserve">، بلكه هر مسلمانی كه به پیغمبر اسلام گرویده است باید به آن اعتقاد داشته باشد، چنانكه اكثر علمای اهل سنت مطلب را همین گونه تلقی كرده اند و آنان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باره نقل كرده اند و در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كتبشان مباحث و روایاتی راجع به امام قائم</w:t>
      </w:r>
      <w:bookmarkStart w:id="84" w:name="pg19223_205843"/>
    </w:p>
    <w:p>
      <w:pPr>
        <w:pStyle w:val="BookText"/>
        <w:rPr/>
      </w:pPr>
      <w:bookmarkEnd w:id="84"/>
      <w:r>
        <w:rPr>
          <w:rFonts w:ascii="IRNazanin" w:hAnsi="IRNazanin" w:eastAsia="IRNazanin"/>
          <w:color w:val="111111"/>
          <w:sz w:val="28"/>
          <w:sz w:val="28"/>
          <w:szCs w:val="28"/>
          <w:rtl w:val="true"/>
          <w:lang w:bidi="fa-IR"/>
        </w:rPr>
        <w:t>آورده اند، كه در اینجا پاره ای از آنها نام برده می شود</w:t>
      </w:r>
      <w:r>
        <w:rPr>
          <w:rFonts w:eastAsia="IRNazanin" w:cs="IRNazanin"/>
          <w:color w:val="111111"/>
          <w:sz w:val="28"/>
          <w:szCs w:val="28"/>
          <w:rtl w:val="true"/>
          <w:lang w:bidi="fa-IR"/>
        </w:rPr>
        <w:t>:</w:t>
      </w:r>
    </w:p>
    <w:p>
      <w:pPr>
        <w:pStyle w:val="Heading3"/>
        <w:numPr>
          <w:ilvl w:val="2"/>
          <w:numId w:val="1"/>
        </w:numPr>
        <w:rPr/>
      </w:pPr>
      <w:bookmarkStart w:id="85" w:name="__RefHeading___Toc13853428_1280447820"/>
      <w:bookmarkStart w:id="86" w:name="_Toc31"/>
      <w:bookmarkEnd w:id="85"/>
      <w:r>
        <w:rPr>
          <w:rtl w:val="true"/>
        </w:rPr>
        <w:t>مهدی در كتب معتبر عالمان سنی</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تالیف احمد بن حنبل شیبانی 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تالیف محمد بن اسماعیل بخاری 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تالیف مسلم بن حجاج نیشابوری 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تالیف ابوعبدالله ابن ماجه قزوینی 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تالیف ابوداود سجستانی 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تالیف ابوعیسی ترمذی 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تالیف احمد بن شعیب نسایی 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الولایه محمد بن جریر طبری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تالیف حافظ ابومحمد فراء بغوی 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تالیف حافظ ابومحمد فراء بغوی 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اهل البیت تالیف ابن الخشاب 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تالیف مجدالدین ابن اثیر 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مكیه تالیف محیی الدین ابن عربی 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عنقاء مغرب تالیف محیی الدین ابن عربی 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السوول تالیف ابن طلحه شافی 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خواص الامه تالیف سبط ابن جوزی 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تالیف شیخ الاسلام حمویئی م </w:t>
      </w:r>
      <w:r>
        <w:rPr>
          <w:rFonts w:eastAsia="IRNazanin" w:cs="IRNazanin"/>
          <w:color w:val="111111"/>
          <w:sz w:val="28"/>
          <w:szCs w:val="28"/>
          <w:lang w:bidi="fa-IR"/>
        </w:rPr>
        <w:t>722</w:t>
      </w:r>
      <w:bookmarkStart w:id="87" w:name="pg19223_205844"/>
    </w:p>
    <w:p>
      <w:pPr>
        <w:pStyle w:val="BookText"/>
        <w:rPr/>
      </w:pPr>
      <w:bookmarkEnd w:id="87"/>
      <w:r>
        <w:rPr>
          <w:rFonts w:ascii="IRNazanin" w:hAnsi="IRNazanin" w:eastAsia="IRNazanin"/>
          <w:color w:val="111111"/>
          <w:sz w:val="28"/>
          <w:sz w:val="28"/>
          <w:szCs w:val="28"/>
          <w:rtl w:val="true"/>
          <w:lang w:bidi="fa-IR"/>
        </w:rPr>
        <w:t xml:space="preserve">مقدمه تالیف ابن خلدون 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تالیف نورالدین سمهودی 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تالیف ابن حجر هیتمی 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الحقایق تالیف زین الدین مناوی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تالیف ابوالعرفان صبان 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تالیف خواجه كلان قندوزی 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الاسلامیه تالیف احمد زینی دحلان م </w:t>
      </w:r>
      <w:r>
        <w:rPr>
          <w:rFonts w:eastAsia="IRNazanin" w:cs="IRNazanin"/>
          <w:color w:val="111111"/>
          <w:sz w:val="28"/>
          <w:szCs w:val="28"/>
          <w:lang w:bidi="fa-IR"/>
        </w:rPr>
        <w:t>1304</w:t>
      </w:r>
    </w:p>
    <w:p>
      <w:pPr>
        <w:pStyle w:val="Heading3"/>
        <w:numPr>
          <w:ilvl w:val="2"/>
          <w:numId w:val="1"/>
        </w:numPr>
        <w:rPr/>
      </w:pPr>
      <w:bookmarkStart w:id="88" w:name="__RefHeading___Toc13853430_1280447820"/>
      <w:bookmarkStart w:id="89" w:name="_Toc32"/>
      <w:bookmarkEnd w:id="88"/>
      <w:r>
        <w:rPr>
          <w:rtl w:val="true"/>
        </w:rPr>
        <w:t>كتب عالمان سنی درباره مهدی</w:t>
      </w:r>
      <w:bookmarkEnd w:id="8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عده ای از علمای اهل سنت درباره ی صاحب امر كتابهای ویژه نگارش داده 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 حافظ ابونعیم اصفهانی مناقب المهدی حافظ ابونعیم اصفهانی نعت المهدی حافظ ابونعیم اصفهانی 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گنجی شافعی البرهان فی علامات مهدی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مولف 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سیوطی علامات المهدی حافظ سیوطی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التوضیح، فی تواتر ما جاء فی المهدی المنتظر و الدجال و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شوكانی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الوهم المكنون من كلام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محمد صدیق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الاذاعه لما كان و ما یكون بین یدی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طیب محمد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قنوجی بخاری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دانشمندان اهل سنت به وقوع ولادت مهدی، تصریح كرده 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شافعی در مطالب السوول محمد بن یوسف گنجی در البیان و كفایه الطالب ابن صباغ مالكی در الفصول المهمه سبط ابن جوزی در تذكره خواص الامه محیی الدین ابن عربی در الفتوحات المكیه عبدالوهاب شعرانی در الیواقیت و الجواهر عبدالرحمن دشتی در عقائد الاكابر عطاء الله غیاث الدین در روضه الاحباب محمد بن محمد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عبدالرحمن عارف دهلوی مرآه الاسرار احمد بن ابراهیم بلاذری الحدیث المتسلسل</w:t>
      </w:r>
      <w:bookmarkStart w:id="90" w:name="pg19223_205846"/>
    </w:p>
    <w:p>
      <w:pPr>
        <w:pStyle w:val="BookText"/>
        <w:rPr/>
      </w:pPr>
      <w:bookmarkEnd w:id="90"/>
      <w:r>
        <w:rPr>
          <w:rFonts w:ascii="IRNazanin" w:hAnsi="IRNazanin" w:eastAsia="IRNazanin"/>
          <w:color w:val="111111"/>
          <w:sz w:val="28"/>
          <w:sz w:val="28"/>
          <w:szCs w:val="28"/>
          <w:rtl w:val="true"/>
          <w:lang w:bidi="fa-IR"/>
        </w:rPr>
        <w:t xml:space="preserve">عبدالله ابن الخشاب تواریخ موالید الائمه و وفیاتهم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3853432_1280447820"/>
      <w:bookmarkStart w:id="92" w:name="_Toc33"/>
      <w:bookmarkEnd w:id="91"/>
      <w:r>
        <w:rPr>
          <w:rtl w:val="true"/>
        </w:rPr>
        <w:t>آیات قرآن درباره مهدی بنا به تفاسیر اهل سنت</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ان نمن علی الذین استضعفوا فی الارض و نجعلهم ائمه و نجعلهم الوارثین </w:t>
      </w:r>
      <w:r>
        <w:rPr>
          <w:rStyle w:val="FootnoteAnchor"/>
          <w:rtl w:val="true"/>
        </w:rPr>
        <w:footnoteReference w:id="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سپاس و منت نهیم بر آن كسان كه ناتوان گرفته شدند در زمین، و ایشان را پیشوایان كنیم و میراث بران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كتبنا فی الزبور من بعد الذكر ان الارض یرثها عبادی الصالحون</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زبور، از پس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ایم كه سرانجام، زمین را بندگان نیك ما میراث برند و صاحب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یاتی الله بقوم یحبهم و یحبونه، اذله علی المومنین، اعزه علی الكافرین، یجاهدون فی سبیل الله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قومی آرد كه ایشان را دوست دارد و ایشان او را دوست دارند، اینان با مومنان خوشند و نرم جانب و بر كافران سختند و نابخشاینده، و همواره می كوشند و جهاد می كنند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بالا از جمله آیاتی است كه به تصدیق مفسرین سنی و شیعه، راجع به قضایای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تفصیل آن را در تفاسیر اهل 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فخر رازی و غرائب القرآن نیشابوری دید</w:t>
      </w:r>
      <w:r>
        <w:rPr>
          <w:rFonts w:eastAsia="IRNazanin" w:cs="IRNazanin"/>
          <w:color w:val="111111"/>
          <w:sz w:val="28"/>
          <w:szCs w:val="28"/>
          <w:rtl w:val="true"/>
          <w:lang w:bidi="fa-IR"/>
        </w:rPr>
        <w:t>.</w:t>
      </w:r>
      <w:bookmarkStart w:id="93" w:name="pg19223_205848"/>
    </w:p>
    <w:p>
      <w:pPr>
        <w:pStyle w:val="Heading3"/>
        <w:numPr>
          <w:ilvl w:val="2"/>
          <w:numId w:val="1"/>
        </w:numPr>
        <w:rPr/>
      </w:pPr>
      <w:bookmarkStart w:id="94" w:name="__RefHeading___Toc13853434_1280447820"/>
      <w:bookmarkStart w:id="95" w:name="_Toc34"/>
      <w:bookmarkEnd w:id="93"/>
      <w:bookmarkEnd w:id="94"/>
      <w:r>
        <w:rPr>
          <w:rtl w:val="true"/>
        </w:rPr>
        <w:t>اجماع درباره مهدی</w:t>
      </w:r>
      <w:bookmarkEnd w:id="95"/>
    </w:p>
    <w:p>
      <w:pPr>
        <w:pStyle w:val="BookText"/>
        <w:rPr/>
      </w:pPr>
      <w:r>
        <w:rPr>
          <w:rFonts w:ascii="IRNazanin" w:hAnsi="IRNazanin" w:eastAsia="IRNazanin"/>
          <w:color w:val="111111"/>
          <w:sz w:val="28"/>
          <w:sz w:val="28"/>
          <w:szCs w:val="28"/>
          <w:rtl w:val="true"/>
          <w:lang w:bidi="fa-IR"/>
        </w:rPr>
        <w:t>برای این ابن خلدون، مورخ و جامعه شناس معروف اسلامی،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میان تمام مسلمانان و در تمام قرون معروف بوده است این است كه ناچار باید در آخر الزمان مردی از خاندان پیغمبر ظهور كند و دین را تایید بخشد و عدل و داد را آشكار سازد و مسلمانان از او پیروی خواهند كرد و او را مهدی می نامند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3853436_1280447820"/>
      <w:bookmarkStart w:id="97" w:name="_Toc35"/>
      <w:bookmarkEnd w:id="96"/>
      <w:r>
        <w:rPr>
          <w:rtl w:val="true"/>
        </w:rPr>
        <w:t>اشتباهات</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تفصیل، اگر بعضی از مستشرقین در این مسئله اشتباه كنند به جای خود، نسبت به برخی از نویسندگان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امثال احمد امین و محمد حسن سعد، چه باید گفت؟ این آقایان كه به قول خود مصریها بحاثه و محققند، چرا موضوعی را كه جزو متن اعتقادات اسلامی است و از پیغمبر اكرم در مورد آن، حدیثها رسیده است اصلا ندانند، ندانند و قلم بردارند و هر چه می خواهند بنویسند، یا بدانند و فقط برای ایجاد سوء تفاهم بین مذاهب اسلامی نادیده انگارند؟ </w:t>
      </w:r>
      <w:r>
        <w:rPr>
          <w:rStyle w:val="FootnoteAnchor"/>
          <w:rtl w:val="true"/>
        </w:rPr>
        <w:footnoteReference w:id="28"/>
      </w:r>
      <w:r>
        <w:rPr>
          <w:rFonts w:ascii="IRNazanin" w:hAnsi="IRNazanin" w:eastAsia="IRNazanin"/>
          <w:color w:val="111111"/>
          <w:sz w:val="28"/>
          <w:sz w:val="28"/>
          <w:szCs w:val="28"/>
          <w:rtl w:val="true"/>
          <w:lang w:bidi="fa-IR"/>
        </w:rPr>
        <w:t>به یقین خواننده ی كتب این آقایان به گمان می افتد كه آیا اینان واقعا محققند، یا جیره خوار استعمار شومی كه حتی با نوامیس روحانی ملل و اقوام نیز بازی می كند؟ خوب بود اینان اول چند كتاب معروف و معتبر از علمای اسلام می خواندند، بعد درباره ی اسلام و مهدویت در اسلام كتاب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مطالعه ی این كتب را نداشتند سزاوار بود دست كم كتاب كشف الظنون و ایضاح المكنون و دوره ی فهرست كتابخانه ی جامع الازهر را</w:t>
      </w:r>
      <w:bookmarkStart w:id="98" w:name="pg19223_205850"/>
    </w:p>
    <w:p>
      <w:pPr>
        <w:pStyle w:val="BookText"/>
        <w:rPr/>
      </w:pPr>
      <w:bookmarkEnd w:id="98"/>
      <w:r>
        <w:rPr>
          <w:rFonts w:ascii="IRNazanin" w:hAnsi="IRNazanin" w:eastAsia="IRNazanin"/>
          <w:color w:val="111111"/>
          <w:sz w:val="28"/>
          <w:sz w:val="28"/>
          <w:szCs w:val="28"/>
          <w:rtl w:val="true"/>
          <w:lang w:bidi="fa-IR"/>
        </w:rPr>
        <w:t>می دیدند، یا لااقل به شاگردان خود دستور می دادند كه ببینند و به آنان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ماخذ سرشار و منابع عظیمی در كتابها و تالیفهای بزرگان اهل سنت درباره ی مهدی وجود دارد كه حتی مراجعه به فهرست كتابها و تالیفات آنان، این حقیقت را روشن می كند</w:t>
      </w:r>
      <w:r>
        <w:rPr>
          <w:rFonts w:eastAsia="IRNazanin" w:cs="IRNazanin"/>
          <w:color w:val="111111"/>
          <w:sz w:val="28"/>
          <w:szCs w:val="28"/>
          <w:rtl w:val="true"/>
          <w:lang w:bidi="fa-IR"/>
        </w:rPr>
        <w:t>.</w:t>
      </w:r>
    </w:p>
    <w:p>
      <w:pPr>
        <w:pStyle w:val="Heading3"/>
        <w:numPr>
          <w:ilvl w:val="2"/>
          <w:numId w:val="1"/>
        </w:numPr>
        <w:rPr/>
      </w:pPr>
      <w:bookmarkStart w:id="99" w:name="__RefHeading___Toc13853438_1280447820"/>
      <w:bookmarkStart w:id="100" w:name="_Toc36"/>
      <w:bookmarkEnd w:id="99"/>
      <w:r>
        <w:rPr>
          <w:rtl w:val="true"/>
        </w:rPr>
        <w:t>اعترافات</w:t>
      </w:r>
      <w:bookmarkEnd w:id="1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همین صحت ناگزیر و مستند بودن و بیكرانگی این واقعیت است كه، در هر صورت، احمد امین را به اعترافاتی نیز واداشته است، اعترافاتی كه استاد شیخ محمد جواد مغنیه در كتاب المهدی المنتظر و العقل </w:t>
      </w:r>
      <w:r>
        <w:rPr>
          <w:rStyle w:val="FootnoteAnchor"/>
          <w:rtl w:val="true"/>
        </w:rPr>
        <w:footnoteReference w:id="29"/>
      </w:r>
      <w:r>
        <w:rPr>
          <w:rFonts w:ascii="IRNazanin" w:hAnsi="IRNazanin" w:eastAsia="IRNazanin"/>
          <w:color w:val="111111"/>
          <w:sz w:val="28"/>
          <w:sz w:val="28"/>
          <w:szCs w:val="28"/>
          <w:rtl w:val="true"/>
          <w:lang w:bidi="fa-IR"/>
        </w:rPr>
        <w:t>از وی نقل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احمد امین می گوید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السنه فقد آمنوا بها ایضا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به موضوع مهدی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احصی ابن حجر الاحادیث المرویه فی المهدی فوجدها نحو الخمسین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ابن حجر در احصای احادیث مهدی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دست یافته است نیز می گوید استاد احمد محمد صدیق، صحت احادیث راجع به مهدی را اثبات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حد تواتر رسیده است</w:t>
      </w:r>
      <w:r>
        <w:rPr>
          <w:rFonts w:eastAsia="IRNazanin" w:cs="IRNazanin"/>
          <w:color w:val="111111"/>
          <w:sz w:val="28"/>
          <w:szCs w:val="28"/>
          <w:rtl w:val="true"/>
          <w:lang w:bidi="fa-IR"/>
        </w:rPr>
        <w:t>.</w:t>
      </w:r>
      <w:bookmarkStart w:id="101" w:name="pg19223_205852"/>
    </w:p>
    <w:p>
      <w:pPr>
        <w:pStyle w:val="Heading2"/>
        <w:numPr>
          <w:ilvl w:val="1"/>
          <w:numId w:val="1"/>
        </w:numPr>
        <w:rPr/>
      </w:pPr>
      <w:bookmarkStart w:id="102" w:name="__RefHeading___Toc13853440_1280447820"/>
      <w:bookmarkStart w:id="103" w:name="_Toc37"/>
      <w:bookmarkEnd w:id="101"/>
      <w:bookmarkEnd w:id="102"/>
      <w:r>
        <w:rPr>
          <w:rtl w:val="true"/>
        </w:rPr>
        <w:t>موعود</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انقلاب خورشید مغرب، با این شعار سلم و صفای جهانی، كه حاكی از صمیمی ترین پیوند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w:t>
      </w:r>
      <w:r>
        <w:rPr>
          <w:rStyle w:val="FootnoteAnchor"/>
          <w:rtl w:val="true"/>
        </w:rPr>
        <w:footnoteReference w:id="31"/>
      </w:r>
      <w:r>
        <w:rPr>
          <w:rFonts w:ascii="IRNazanin" w:hAnsi="IRNazanin" w:eastAsia="IRNazanin"/>
          <w:color w:val="111111"/>
          <w:sz w:val="28"/>
          <w:sz w:val="28"/>
          <w:szCs w:val="28"/>
          <w:rtl w:val="true"/>
          <w:lang w:bidi="fa-IR"/>
        </w:rPr>
        <w:t>می 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المهدی، الذی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الامم، ان یجمع به الكلم، و یلم به الشعث، و یملا به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ینجز به وعد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مهدی درود باد، كه خدای به ملتها رسیدنش را نوید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مكتبها را به وسیله ی او یكی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و نیروهای پراكنده ی خلقها را به كمك او درهم فشارد، و با رهبری او یك جهان حقوقی، كه كران تا كران داد و دادگری باشد، پدید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خداوند وعده ای را كه به مومنان داده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اصل عقیده به انقلاب آخرالزمان و خروج مهدی آل محمد ص موضوعی است اسلامی و اختصاص به شیعه ندارد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آری شیعه اختصاص به آن دارد، چه اینكه شیعه به این امر اختصاص دارد كه به تمام گفتار پیغمبر گردن نهد و از خاندان وحی علوم اسلام را فراگیرد،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پیش خود فقها و عقیده تراشانی به عالم اسلام تقدیم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ازین باید دید پیشگوییهایی كه راجع به زمان ظهور و كیفیت زندگی در آن روزگار و طرز رفتار امام شده است چگونه است، البته در آن موضوعات با این همه اكتشافات علمی اخیر نمی توان به آسانی تردید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از وسایلی استفاده می كنیم كه نیم قرن پیش جزو محالات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دیدن این پیشرفت سریع و وسیع علم، اموری دیگر را بطور حتم نمی توان نادرست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اینكه بر هوشمندان روشن است كه این همه پیشرفتها خود نتیجه ی سحر علم و اكتشاف است، و هنوز پیروزیهای ارزنده و فراوانی در انتظار آزمایش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موفقیت كامل نصیب می گردد كه صبح دولت علم طلوع كند، و بشر ربط مسائل علوم مختلف را بفهمد، و عقل فعال متفكران پرده از روی قوانین مجهول بردارد، و علامتهای سوال از اطراف امثال آناتول فرانس برچیده شود، و نسبت معلومات مثل اینشتین به مجهولاتش، نسبت روزنه ای به كتابخانه اش نباشد، و علم بتواند از دل هر موجود قوانین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بر آورد و با مدارهای هندسی خود بر صحنه ی بیكران هستی نظارت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كه كم كم شرق عزیز نیز بتواند محیطهای استعداد كش خود را محكوم به زوال سازد، و از قدرتهای عظیم نوابغ خود بهره مند گردد، و باز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كه به گفته ی مرحوم فروغی جای آغاز كردن دانش و تمدن بوده است، به همان مجد باستانی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رسیدگیهای فنی این موضوع با اختصاری كه منظور بود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به تذكر یك مسئله ی اجتماعی كه به اعتقاد نویسنده ی این سطور، روح این گونه مباحث است پرداخته می شود، تا این گفتار را هم به پایان برساند</w:t>
      </w:r>
      <w:r>
        <w:rPr>
          <w:rFonts w:eastAsia="IRNazanin" w:cs="IRNazanin"/>
          <w:color w:val="111111"/>
          <w:sz w:val="28"/>
          <w:szCs w:val="28"/>
          <w:rtl w:val="true"/>
          <w:lang w:bidi="fa-IR"/>
        </w:rPr>
        <w:t>.</w:t>
      </w:r>
      <w:bookmarkStart w:id="104" w:name="pg19223_205856"/>
    </w:p>
    <w:p>
      <w:pPr>
        <w:pStyle w:val="Heading2"/>
        <w:numPr>
          <w:ilvl w:val="1"/>
          <w:numId w:val="1"/>
        </w:numPr>
        <w:rPr/>
      </w:pPr>
      <w:bookmarkStart w:id="105" w:name="__RefHeading___Toc13853442_1280447820"/>
      <w:bookmarkStart w:id="106" w:name="_Toc38"/>
      <w:bookmarkEnd w:id="104"/>
      <w:bookmarkEnd w:id="105"/>
      <w:r>
        <w:rPr>
          <w:rtl w:val="true"/>
        </w:rPr>
        <w:t>شیعه و دو حد تاریخ</w:t>
      </w:r>
      <w:bookmarkEnd w:id="106"/>
    </w:p>
    <w:p>
      <w:pPr>
        <w:pStyle w:val="Heading3"/>
        <w:numPr>
          <w:ilvl w:val="2"/>
          <w:numId w:val="1"/>
        </w:numPr>
        <w:rPr/>
      </w:pPr>
      <w:bookmarkStart w:id="107" w:name="__RefHeading___Toc13853444_1280447820"/>
      <w:bookmarkStart w:id="108" w:name="_Toc39"/>
      <w:bookmarkEnd w:id="107"/>
      <w:r>
        <w:rPr>
          <w:rtl w:val="true"/>
        </w:rPr>
        <w:t>اشاره</w:t>
      </w:r>
      <w:bookmarkEnd w:id="1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ادیب لبنانی معاصر، </w:t>
      </w:r>
      <w:r>
        <w:rPr>
          <w:rStyle w:val="FootnoteAnchor"/>
          <w:rtl w:val="true"/>
        </w:rPr>
        <w:footnoteReference w:id="3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ابراهیم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هنگام عبور از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پیره زنی را دید كه دنبال بار خرمایی می دود و هر چه از آن می ریزد بر می دارد و در دامن پیراهن كهنه اش جمع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كسی ندارم جز چند دختر كوچك كه نمی توانند پی كار روند و روزی تحصیل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من و آنها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بشدت گریست و ناله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الله و اشباهك تخرجونی غدا حتی یسفك دمی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و امثال تو به خدا قسم سبب می شوید كه فردا در آیم تا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جرداق، در این فصل </w:t>
      </w:r>
      <w:r>
        <w:rPr>
          <w:rStyle w:val="FootnoteAnchor"/>
          <w:rtl w:val="true"/>
        </w:rPr>
        <w:footnoteReference w:id="34"/>
      </w:r>
      <w:r>
        <w:rPr>
          <w:rFonts w:ascii="IRNazanin" w:hAnsi="IRNazanin" w:eastAsia="IRNazanin"/>
          <w:color w:val="111111"/>
          <w:sz w:val="28"/>
          <w:sz w:val="28"/>
          <w:szCs w:val="28"/>
          <w:rtl w:val="true"/>
          <w:lang w:bidi="fa-IR"/>
        </w:rPr>
        <w:t>مقداری دیگری از فعالیتهای مجاهدین تاریخ شیعه را بیان می كند، بعد این گونه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هذه المبادی كانت الجماهیر تتشیع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مجاهدات پیگیر و اعتقادات جاندار بود كه موجب می شد تا توده های انبوه پیاپی شیعه شوند</w:t>
      </w:r>
      <w:r>
        <w:rPr>
          <w:rFonts w:eastAsia="IRNazanin" w:cs="IRNazanin"/>
          <w:color w:val="111111"/>
          <w:sz w:val="28"/>
          <w:szCs w:val="28"/>
          <w:rtl w:val="true"/>
          <w:lang w:bidi="fa-IR"/>
        </w:rPr>
        <w:t>...</w:t>
      </w:r>
      <w:bookmarkStart w:id="109" w:name="pg19223_205858"/>
    </w:p>
    <w:p>
      <w:pPr>
        <w:pStyle w:val="BookText"/>
        <w:rPr/>
      </w:pPr>
      <w:bookmarkEnd w:id="109"/>
      <w:r>
        <w:rPr>
          <w:rFonts w:ascii="IRNazanin" w:hAnsi="IRNazanin" w:eastAsia="IRNazanin"/>
          <w:color w:val="111111"/>
          <w:sz w:val="28"/>
          <w:sz w:val="28"/>
          <w:szCs w:val="28"/>
          <w:rtl w:val="true"/>
          <w:lang w:bidi="fa-IR"/>
        </w:rPr>
        <w:t xml:space="preserve">كاش آنان كه به گمان خود درباره ی پیشرفت تشیع تحقیق می كنند، به اندازه ی این نویسنده ی مسیحی دید و انسانیت می داشتند، تا درك می كردند </w:t>
      </w:r>
      <w:r>
        <w:rPr>
          <w:rStyle w:val="FootnoteAnchor"/>
          <w:rtl w:val="true"/>
        </w:rPr>
        <w:footnoteReference w:id="35"/>
      </w:r>
      <w:r>
        <w:rPr>
          <w:rFonts w:ascii="IRNazanin" w:hAnsi="IRNazanin" w:eastAsia="IRNazanin"/>
          <w:color w:val="111111"/>
          <w:sz w:val="28"/>
          <w:sz w:val="28"/>
          <w:szCs w:val="28"/>
          <w:rtl w:val="true"/>
          <w:lang w:bidi="fa-IR"/>
        </w:rPr>
        <w:t>كه مبادی انسانی و ایده های اجتماعی مقدسسی كه در مذهب شیعه بود، اینسان شیعه را پیش انداخت و دل و جان اجتماعات حساس را فریفته ی پیشوایان این مذهب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طرز فكر شیعه راجع به پیشوای مردم، آن است كه باید در كردار معصوم باشد و از همگان افضل، تا جهل و نادانی به ظلم و تضییع نفوس وادارش نكند</w:t>
      </w:r>
      <w:r>
        <w:rPr>
          <w:rFonts w:eastAsia="IRNazanin" w:cs="IRNazanin"/>
          <w:color w:val="111111"/>
          <w:sz w:val="28"/>
          <w:szCs w:val="28"/>
          <w:rtl w:val="true"/>
          <w:lang w:bidi="fa-IR"/>
        </w:rPr>
        <w:t>.</w:t>
      </w:r>
    </w:p>
    <w:p>
      <w:pPr>
        <w:pStyle w:val="Heading3"/>
        <w:numPr>
          <w:ilvl w:val="2"/>
          <w:numId w:val="1"/>
        </w:numPr>
        <w:rPr/>
      </w:pPr>
      <w:bookmarkStart w:id="110" w:name="__RefHeading___Toc13853446_1280447820"/>
      <w:bookmarkStart w:id="111" w:name="_Toc40"/>
      <w:bookmarkEnd w:id="110"/>
      <w:r>
        <w:rPr>
          <w:rtl w:val="true"/>
        </w:rPr>
        <w:t>سخن سقراط</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سقراط می گوید بهترین نوع حكومت، حكومت حكما و فلاسفه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112" w:name="pg19223_205859"/>
    </w:p>
    <w:p>
      <w:pPr>
        <w:pStyle w:val="Heading3"/>
        <w:numPr>
          <w:ilvl w:val="2"/>
          <w:numId w:val="1"/>
        </w:numPr>
        <w:rPr/>
      </w:pPr>
      <w:bookmarkStart w:id="113" w:name="__RefHeading___Toc13853448_1280447820"/>
      <w:bookmarkStart w:id="114" w:name="_Toc41"/>
      <w:bookmarkEnd w:id="112"/>
      <w:bookmarkEnd w:id="113"/>
      <w:r>
        <w:rPr>
          <w:rtl w:val="true"/>
        </w:rPr>
        <w:t>سخن شیخ اشراق</w:t>
      </w:r>
      <w:bookmarkEnd w:id="1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شیخ اشراق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رهبر كسی است كه در حكمت و علم و توجه به خدا و عمل، نمونه ی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شخصی در هر عصر لازم است، اگر چه پنهان باشد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سرچشمه ی این فكر در شیعه، بجز مبانی عقلی و حقوقی و علم الاجتماع، روح تعلیمات اسلامی است كه پیامبر در احادیث فراوانین بدان تصریح كرده است و مكرر، هنگامی كه درباره ی امامت حضرت علی گفتگو می كرده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عادل تر و در تقسیم مساوات جوتر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روشنترین</w:t>
      </w:r>
      <w:bookmarkStart w:id="115" w:name="pg19223_205860"/>
    </w:p>
    <w:p>
      <w:pPr>
        <w:pStyle w:val="BookText"/>
        <w:rPr/>
      </w:pPr>
      <w:bookmarkEnd w:id="115"/>
      <w:r>
        <w:rPr>
          <w:rFonts w:ascii="IRNazanin" w:hAnsi="IRNazanin" w:eastAsia="IRNazanin"/>
          <w:color w:val="111111"/>
          <w:sz w:val="28"/>
          <w:sz w:val="28"/>
          <w:szCs w:val="28"/>
          <w:rtl w:val="true"/>
          <w:lang w:bidi="fa-IR"/>
        </w:rPr>
        <w:t xml:space="preserve">راه رهبری می كند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3853450_1280447820"/>
      <w:bookmarkStart w:id="117" w:name="_Toc42"/>
      <w:bookmarkEnd w:id="116"/>
      <w:r>
        <w:rPr>
          <w:rtl w:val="true"/>
        </w:rPr>
        <w:t>آرمانهای مصلحان شیعه</w:t>
      </w:r>
      <w:bookmarkEnd w:id="11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است مبنای فكری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كوششهایی هم كه متفكرین بزرگ و اصلاح طلب شیعه كرده اند و می كنند و آنچه را در طول چهارده قرن از دست نهشته اند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میان این مجاهدان تاریخ انسانی، من چند چهره ی مشهور و بزرگ شیعی قرن چهاردهم اسلامی را نام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یاد آنان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كدام در جهتی از جهات دین و فرهنگ و جامعه و معرفت و انسان، جهاد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حامد حسین هندی نیشابوری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مولف عبقات الانوار میرزا محمد حسن شیرازی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صاحب فتوای مشهور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الدین اسد آبادی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بیدارگر اقالیم قبله حاج میرزا حسین نوری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مستدرك الوسائل سید اسماعیل عقیلی طبرسی م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كفایه الموحدین میرزا محمد تقی شیرازی 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فتوای مشهور شیخ محمد خیابانی 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متفكر اجتماعی معروف شیخ محمد جواد بلاغی 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الهدی الی دین المصطفی سید حسن مدرس 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مجتهد سیاسی مشهور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امین عاملی 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اعیان الشیعه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كاشف الغطا 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اصل الشیعه و اصولها سید عبدالحسین شرف الدین عاملی 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المراجعات شیخ مجتبی قزوینی خراسانی 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بیان الفرقان شیخ آقا بزرگ تهرانی 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الذریعه الی تصانیف الشیعه شیخ عبدالحسین امینی 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مولف الغدیر و شهداء الفضیله </w:t>
      </w:r>
      <w:r>
        <w:rPr>
          <w:rStyle w:val="FootnoteAnchor"/>
          <w:rtl w:val="true"/>
        </w:rPr>
        <w:footnoteReference w:id="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18" w:name="pg19223_205863"/>
    </w:p>
    <w:p>
      <w:pPr>
        <w:pStyle w:val="BookText"/>
        <w:rPr/>
      </w:pPr>
      <w:bookmarkEnd w:id="118"/>
      <w:r>
        <w:rPr>
          <w:rFonts w:ascii="IRNazanin" w:hAnsi="IRNazanin" w:eastAsia="IRNazanin"/>
          <w:color w:val="111111"/>
          <w:sz w:val="28"/>
          <w:sz w:val="28"/>
          <w:szCs w:val="28"/>
          <w:rtl w:val="true"/>
          <w:lang w:bidi="fa-IR"/>
        </w:rPr>
        <w:t>آری كوشش این رادمردان و همانند ایشان در سطوح مختلف مسائل انسان و معرفت و جامعه، همواره برای شناساندن تفكر و اقدام اسلامی شیعه است كه ضمنا معرفی اصل اسلام است و طرز برخورد اسلام با جامعه ی انسان</w:t>
      </w:r>
      <w:r>
        <w:rPr>
          <w:rFonts w:eastAsia="IRNazanin" w:cs="IRNazanin"/>
          <w:color w:val="111111"/>
          <w:sz w:val="28"/>
          <w:szCs w:val="28"/>
          <w:rtl w:val="true"/>
          <w:lang w:bidi="fa-IR"/>
        </w:rPr>
        <w:t>.</w:t>
      </w:r>
    </w:p>
    <w:p>
      <w:pPr>
        <w:pStyle w:val="Heading3"/>
        <w:numPr>
          <w:ilvl w:val="2"/>
          <w:numId w:val="1"/>
        </w:numPr>
        <w:rPr/>
      </w:pPr>
      <w:bookmarkStart w:id="119" w:name="__RefHeading___Toc13853452_1280447820"/>
      <w:bookmarkStart w:id="120" w:name="_Toc43"/>
      <w:bookmarkEnd w:id="119"/>
      <w:r>
        <w:rPr>
          <w:rtl w:val="true"/>
        </w:rPr>
        <w:t>امروز</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سطح بحث راجع به تشیع بالاتر از آن است كه بعضی مردم یكسو بین خیال می كنند و می پندارند كه منجر به شتم می گردد و اختلاف به بار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امروزنه، امروز دنیا از ما می پرسد كه پیش از طلوع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انبیاء و مصلحین بزرگی برای نجات بشر قیام كرده بودند و در میان آنان مردانی بودند كه در راه این هدف مقدس همراه تنه ی درخت دو نیم شدند، یا جام شوكران را بیدرنگ نوشیدند، آیا پیغمبر اسلام كه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مبعوث شده ام تا فضایل اخلاقی بشر را تكمیل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نتایج تمام انقلابات و تعلیمات اخلاقی او همین بود كه خلفای عیاش و بیباك و سفاك اموی و عباسی بر مردم حكومت كنند، چه اخلاقی و چه مكتبی؟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است كه رهبر مردم، بهترین استراحت و آرامش وجدانش در آن باشد كه شب، مهتاب صفت پا در خرابه ها نهد، و بربالین زاغه نشینان بنشیند و به دلجوئی آنان بپردازد، و روز با ابهت بیكران خود، كه از تقوای حقیقی برخاسته است، پا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میدانها نهد و بر سراسر صحنه ی زندگی نظارت كند و به اجتماع فضایل بیاموزد، كه این جز در نزد علی و آل علی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امروزصرف نظر از اینكه ما وظیفه داریم این حقیقت را به جهان اعلام كنیم و علی ع را بعنوان نمونه ی قطعی فكر و عمل اسلامی نشان دهیم، بیشتر نیازمندیم كه با جوانان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كرده و با احساسات خود نیز این موضوعها را در میان نهیم، تا با دیدن این اوضاع نگرانی بار به انحراف ملی و دینی دچار نگردند و خالیگاههای ذهن خود را با تعلیمات بیگانگان پر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كه رهبران حقیقی دین افرادی هستند كه تاریخ بشر از به وجود آوردن كسانی كه حتی با آنان طرف مقایسه قرار بگیرند عقیم است، نهایت باید كوشید تا این تعالیم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عبدالله عنان مصری، در كتاب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الجمعیات السریه و الحركات الهدامه </w:t>
      </w:r>
      <w:r>
        <w:rPr>
          <w:rStyle w:val="FootnoteAnchor"/>
          <w:rtl w:val="true"/>
        </w:rPr>
        <w:footnoteReference w:id="40"/>
      </w:r>
      <w:r>
        <w:rPr>
          <w:rFonts w:ascii="IRNazanin" w:hAnsi="IRNazanin" w:eastAsia="IRNazanin"/>
          <w:color w:val="111111"/>
          <w:sz w:val="28"/>
          <w:sz w:val="28"/>
          <w:szCs w:val="28"/>
          <w:rtl w:val="true"/>
          <w:lang w:bidi="fa-IR"/>
        </w:rPr>
        <w:t>در بیان اسرار نهضتهای شیعه مطلبی می گوید بدین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همه تعقیب كه از هدف خود داشته به این ملاحظه است كه معتقد است باید همیشه در راس، شخصی قرار گیرد كه معصوم باشد و تعلیماتش در هر وقت عملی گردد، تا بر مردم هیچ گونه ظلمی نرود</w:t>
      </w:r>
      <w:r>
        <w:rPr>
          <w:rFonts w:eastAsia="IRNazanin" w:cs="IRNazanin"/>
          <w:color w:val="111111"/>
          <w:sz w:val="28"/>
          <w:szCs w:val="28"/>
          <w:rtl w:val="true"/>
          <w:lang w:bidi="fa-IR"/>
        </w:rPr>
        <w:t>.</w:t>
      </w:r>
      <w:bookmarkStart w:id="121" w:name="pg19223_205866"/>
    </w:p>
    <w:p>
      <w:pPr>
        <w:pStyle w:val="BookText"/>
        <w:rPr/>
      </w:pPr>
      <w:bookmarkEnd w:id="121"/>
      <w:r>
        <w:rPr>
          <w:rFonts w:ascii="IRNazanin" w:hAnsi="IRNazanin" w:eastAsia="IRNazanin"/>
          <w:color w:val="111111"/>
          <w:sz w:val="28"/>
          <w:sz w:val="28"/>
          <w:szCs w:val="28"/>
          <w:rtl w:val="true"/>
          <w:lang w:bidi="fa-IR"/>
        </w:rPr>
        <w:t>اینك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كه در دو حد تاریخی عدالت قرار گرفته است، یكی درگذشته كه تحت رهبری علی بوده و آن گونه حقوق رعایت می شده است، و یكی در آینده كه معتقد است رهبریش با فرزند همان علی خواهد بود و دولت عدالت گستر مهدی بر پهنه ی زندگی حكومت خواهد كرد، آیا سزاوار است اینسان ملتی، این اندازه از حقایق اخلاقی و رشد اجتماعی محروم باشد، و انواع ستمها و تعدیها در بین آن رواج یابد؟ و هیچ به خود نیاید كه دینی را كه عقیده دارد آغازش عدل است و انجامش عدل، در میان، این همه ظلم و جنایت چیست؟ آیا پیشوای گذشته ی این ملت بر این همه ظلم و ستم صحه گذارده است، یا پیشوای آینده شان صحه خواهد گذارد؟</w:t>
      </w:r>
    </w:p>
    <w:p>
      <w:pPr>
        <w:pStyle w:val="Heading3"/>
        <w:numPr>
          <w:ilvl w:val="2"/>
          <w:numId w:val="1"/>
        </w:numPr>
        <w:rPr/>
      </w:pPr>
      <w:bookmarkStart w:id="122" w:name="__RefHeading___Toc13853454_1280447820"/>
      <w:bookmarkStart w:id="123" w:name="_Toc44"/>
      <w:bookmarkEnd w:id="122"/>
      <w:r>
        <w:rPr>
          <w:rtl w:val="true"/>
        </w:rPr>
        <w:t>ای توانگران</w:t>
      </w:r>
      <w:bookmarkEnd w:id="1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سخن را به هم فشرد و فقط به ثروتمندان شیعه بلكه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این كردار ستمزا و این رفتار متكبرانه، و این بی خبری از حال درماندگان و زاغه نشینان و رنجبران و ستمكشان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 از خون دل روزی می خورند، و در زوایای دور دست شهرها زندگی</w:t>
      </w:r>
      <w:bookmarkStart w:id="124" w:name="pg19223_205867"/>
    </w:p>
    <w:p>
      <w:pPr>
        <w:pStyle w:val="BookText"/>
        <w:rPr/>
      </w:pPr>
      <w:bookmarkEnd w:id="124"/>
      <w:r>
        <w:rPr>
          <w:rFonts w:ascii="IRNazanin" w:hAnsi="IRNazanin" w:eastAsia="IRNazanin"/>
          <w:color w:val="111111"/>
          <w:sz w:val="28"/>
          <w:sz w:val="28"/>
          <w:szCs w:val="28"/>
          <w:rtl w:val="true"/>
          <w:lang w:bidi="fa-IR"/>
        </w:rPr>
        <w:t>می كنند و در شبان سرد تیره، اتاقهای گلین نیمه گرم كوره ها را حافظ جان خود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خوبی برای شما نخواهد داشت،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بجز مسوولیت وجدان، در پیشگاه خدا و علی و مهدی نیز مسوول و مواخذ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شما به چنین مردان عدالت گستر منتسبید و این همه ستم و بی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كودكان معصوم، و زنان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و سالخوردگان از كار افتاده انسان نیستند؟ علی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مصریان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مسلمان نباشند همنوع تواند، ای انسان آنها هم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فرمان می دهد كه به كارگر، پیش از خشكیدن عرقش مزد دهید، زیادتر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تعلیمات از كیست؟ و برای كیست؟</w:t>
      </w:r>
    </w:p>
    <w:p>
      <w:pPr>
        <w:pStyle w:val="Heading3"/>
        <w:numPr>
          <w:ilvl w:val="2"/>
          <w:numId w:val="1"/>
        </w:numPr>
        <w:rPr/>
      </w:pPr>
      <w:bookmarkStart w:id="125" w:name="__RefHeading___Toc13853456_1280447820"/>
      <w:bookmarkStart w:id="126" w:name="_Toc45"/>
      <w:bookmarkEnd w:id="125"/>
      <w:r>
        <w:rPr>
          <w:rtl w:val="true"/>
        </w:rPr>
        <w:t>واقعیت نه پندار</w:t>
      </w:r>
      <w:bookmarkEnd w:id="1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می پندارند این برنامه ها جزو پندارهای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نظامهای خیالی است و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بزرگترین پاسخ به این پندار این نیست كه ما شاهدی عملی همچون رفتار علی داریم؟ در این صورت آیا ما شیعه، رفتار علی را با این شكاف عمیق و امتیازات شوم طبقاتی معرفی می كنیم؟ آیا ما نسبت به شهدای فضیلت و انسانیت كه برای ایجاد مرا منامه ی قرآن و نهج البلاغه با جامه ی گلگون شهادت و خون گرم خود به دل تیره ی خاكهای سرد رفتند وفا داریم؟</w:t>
      </w:r>
      <w:bookmarkStart w:id="127" w:name="pg19223_205869"/>
    </w:p>
    <w:p>
      <w:pPr>
        <w:pStyle w:val="Heading2"/>
        <w:numPr>
          <w:ilvl w:val="1"/>
          <w:numId w:val="1"/>
        </w:numPr>
        <w:rPr/>
      </w:pPr>
      <w:bookmarkStart w:id="128" w:name="__RefHeading___Toc13853458_1280447820"/>
      <w:bookmarkStart w:id="129" w:name="_Toc46"/>
      <w:bookmarkEnd w:id="127"/>
      <w:bookmarkEnd w:id="128"/>
      <w:r>
        <w:rPr>
          <w:rtl w:val="true"/>
        </w:rPr>
        <w:t>آیا ما واقعا منتظر دولت عدل مهدی هستیم</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می پندارند در زمان غیبت از انجام هر تكلیف اجتماعی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اساسش تحكیم روابط انسانها و ایجاد صفا و محبت عمومی است، اسلام كه اجتماع را محل نزول بركات می داند، اسلام كه خیلی از احكام عبادیش بر مبنای فلسفه های اجتماعی مقرر شده است، چگونه مكلفین را از تكالیف اجتماعی معاف می گذارد؟ زمان غیبت زمان امتحان عظیم است، آیا این همه انسانها كه در این هزار سال آمده اند و تكالیفی نسبت به مفاسد عصر خود و افراد همعصر خود داشته اند و همه در گذشته اند، این تكالیف باقی است كه امام بیاید و انجام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دانشمندان و عالمان بینا و دلسوز كه خود را برای دین می خواهند، نه دین را برای خود، افكار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فطرتشان پاك است و بیشتر شرایط سوء در آنان سوء اثر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توجه دهند، و به تاثیر آن امید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كه روشن كردن افكار اصلی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آناتول فرانس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پندارهای فلاسفه ی گذشته نبود مردم هم اكنون نیز برهنه و بدبخت در غارها به سر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نخستین فروغ تمدن از مغز متفكرین جهید، و از خلال این افكار بهره بخش است كه حقایق نافع آشكار می گردد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همه را برای ایجاد یك زندگی سعادتمند اخلاقی و محیط نورانی انسانی آرزومندیم، و هم مسئلت داریم كه خروج قائم آل محمد را نزدیك گردانی،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از نهانگاه تقدیر بر آوری تا بر كهنترین معبد توحید تكیه دهد، و آهنگ دلربای خود را به گوش توده های سرگردان بشری برساند و ستم و بیدادگری را پایان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نرغب الیك فی دوله كریمه تعز بها الاسلام و اهله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مرحله ی بر طبق مدروز حرف زدن، و به میل و به دلخواه دوستان معاشر اظهار نظر كردن گذشته اند و به سوی یافتن واقعیتها كشیده 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كسان چهار تنند و از علما و زهاد و بزرگان شیعه محسوبند و به نواب اربعه معروف، بدین 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اسدی عمروی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حدود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عثمان بن سعید، پسر عثمان بن سعید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بغداد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ابوالقاسم حسین بن روح نوبختی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بغداد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محمد سمری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بغداد، نزدیك آرامگاه محمد بن یعقوب 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كلینی، معروف به ثقه الاسلام كلینی، مولف كتاب 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اخیر آن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وی معاصر نواب اربعه بوده و در كنار آنان می زیسته است و چه بسا در تالیف كافی به واسطه آنان، از سوی امام راهنمایی می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Hormone</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تاریخ و سیره به كسی معمر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كه سالیانی دراز بیش از دیگران زندگی كرده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المعمرون و الوصایا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ابوحاتم سهل بن محمد بن عثمان سجستانی، تحقیق عبدالمنعم عامر، چاپ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محمد بن سائب كلبی اكمال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كفایه الموحدین،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علی وود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علامه سید محسن عاملی 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المعمرون و الوصایا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ابوحاتم سهل بن محمد بن عثمان سجستانی، تحقیق عبدالمنعم عامر، چاپ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محمد بن سائب كلبی اكمال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كفایه الموحدین،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علی وود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علامه سید محسن عاملی 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كنید به كفایه الموحدین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الدین صدوق و سایر تفاسیر و تواریخ انبیا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كفایه الموحدین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مجموعه حكمت،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پایان الهیات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كلام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خواجه طوسی،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بدان رو نقل كردم تا متخصصین رشته های علوم و ریاضیات عالیه بدانند كه مغزهای جبار و فكرهای پر هیمنه ی بزرگ نیز، بدین حقیقت این گونه نگریسته اند، و بلكه در صدد بر آمده اند تا آن را به افق تفاهم خلقها نیز بكشند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بشارات عهدین، نیز مقاله ی سید هادی خسرو شاهی، مجموعه ی حكمت،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سال سوم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مرحوم آیت الله سید صدرالدین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فی الامام الثانی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لطف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المنتظر علی ضوء حقائق العامه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ی عراقی محمد حسین الادیب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اعیان الشیعه، وثاقت و اعتبار حال این عالمان كه به ولادت مهدی تصریح كرده اند، از كتب معتبر رجال و احوال خود اهل سنت ذكر شده است، نیز نوع این شخصیتها در عبقات الانوار تالیف علامه ی كبیر مجاهد، حضرت میر حامد حسین هندی نیشابوری، ودر كار نامه ی عظیم الغدیر معرفی شده 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چاپ مصر،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از ترجمه ی فارسی به قلم محمد پروین گنابادی،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كنید به كتاب الی مشیخه الازهر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 شیخ عبدالله سبیتی حدیث المهدی و الدكتور احمد 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ی نجفی زهیری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مقدمه ی این كتاب به قلم علامه و مصلح بزرگ، مرحوم كاشف الغطا را بنگرید تا ببینید كه به صرف اینكه نویسنده ای از سرزمینی علمی و كهنسال برخاست، مانند احمد امین مصری، نمی توان او را جانبدار علم و تحقیق دانست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و المهدویه،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اصلی ترین عامل پیشروی و خوشبختی هر اجتماع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درباره ی امام عصر ع می توانید این كتابها را نیز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الثانی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سید محمد سعید موسوی، آل 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تالیف حاجی میرزا حسین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رضا 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الفرقان،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اخبار علامات ظهور، و اخبار اشراط ساعت و قیامت و خلطی كه بین آنها شده است در كتاب اخیر تحقیقاتی نگارش یافته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كتاب معروف الامام علی صوت العداله الانسانیه،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العداله،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مع الثائرین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خود آنان درك كرده باشند و لیكن نخواهند دیگران درك كنند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حكمه الاشراق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دانشمندان مجاهد، تالیفات ارجمند دیگر نیز دارند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احلام الفلاسفه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سلامه موسی،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8735</Words>
  <Characters>32874</Characters>
  <CharactersWithSpaces>41380</CharactersWithSpaces>
  <Paragraphs>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2026-08-25T17:52:25Z</dcterms:created>
  <dc:creator>ghaemiyeh.com</dc:creator>
  <dc:description/>
  <dc:language>en-US</dc:language>
  <cp:lastModifiedBy/>
  <dcterms:modified xsi:type="dcterms:W3CDTF">2026-08-25T21:22:27Z</dcterms:modified>
  <cp:revision>1</cp:revision>
  <dc:subject/>
  <dc:title>خورشید مغرب</dc:title>
</cp:coreProperties>
</file>

<file path=docProps/custom.xml><?xml version="1.0" encoding="utf-8"?>
<Properties xmlns="http://schemas.openxmlformats.org/officeDocument/2006/custom-properties" xmlns:vt="http://schemas.openxmlformats.org/officeDocument/2006/docPropsVTypes"/>
</file>