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4.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الرسائل و المسائل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29905_128044782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7829907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7829909_1280447820">
            <w:r>
              <w:rPr>
                <w:webHidden/>
                <w:rStyle w:val="IndexLink"/>
                <w:rtl w:val="true"/>
              </w:rPr>
              <w:t>الفهرس الإجمالي</w:t>
            </w:r>
            <w:r>
              <w:rPr>
                <w:rStyle w:val="IndexLink"/>
                <w:rtl w:val="true"/>
              </w:rPr>
              <w:tab/>
            </w:r>
            <w:r>
              <w:rPr>
                <w:rStyle w:val="IndexLink"/>
              </w:rPr>
              <w:t>14</w:t>
            </w:r>
          </w:hyperlink>
        </w:p>
        <w:p>
          <w:pPr>
            <w:pStyle w:val="Contents2"/>
            <w:tabs>
              <w:tab w:val="clear" w:pos="8743"/>
              <w:tab w:val="right" w:pos="9026" w:leader="dot"/>
            </w:tabs>
            <w:rPr/>
          </w:pPr>
          <w:hyperlink w:anchor="__RefHeading___Toc7829911_1280447820">
            <w:r>
              <w:rPr>
                <w:webHidden/>
                <w:rStyle w:val="IndexLink"/>
                <w:rtl w:val="true"/>
              </w:rPr>
              <w:t>تتمّة ج</w:t>
            </w:r>
            <w:r>
              <w:rPr>
                <w:rStyle w:val="IndexLink"/>
                <w:rtl w:val="true"/>
              </w:rPr>
              <w:t xml:space="preserve">. </w:t>
            </w:r>
            <w:r>
              <w:rPr>
                <w:rStyle w:val="IndexLink"/>
                <w:rtl w:val="true"/>
              </w:rPr>
              <w:t>الرسائل الكلاميّة</w:t>
            </w:r>
            <w:r>
              <w:rPr>
                <w:rStyle w:val="IndexLink"/>
                <w:rtl w:val="true"/>
              </w:rPr>
              <w:tab/>
            </w:r>
            <w:r>
              <w:rPr>
                <w:rStyle w:val="IndexLink"/>
              </w:rPr>
              <w:t>16</w:t>
            </w:r>
          </w:hyperlink>
        </w:p>
        <w:p>
          <w:pPr>
            <w:pStyle w:val="Contents3"/>
            <w:tabs>
              <w:tab w:val="clear" w:pos="8459"/>
              <w:tab w:val="right" w:pos="9026" w:leader="dot"/>
            </w:tabs>
            <w:rPr/>
          </w:pPr>
          <w:hyperlink w:anchor="__RefHeading___Toc7829913_1280447820">
            <w:r>
              <w:rPr>
                <w:webHidden/>
                <w:rStyle w:val="IndexLink"/>
                <w:rtl w:val="true"/>
              </w:rPr>
              <w:t>(</w:t>
            </w:r>
            <w:r>
              <w:rPr>
                <w:rStyle w:val="IndexLink"/>
              </w:rPr>
              <w:t>38</w:t>
            </w:r>
            <w:r>
              <w:rPr>
                <w:rStyle w:val="IndexLink"/>
                <w:rtl w:val="true"/>
              </w:rPr>
              <w:t xml:space="preserve">) </w:t>
            </w:r>
            <w:r>
              <w:rPr>
                <w:rStyle w:val="IndexLink"/>
                <w:rtl w:val="true"/>
              </w:rPr>
              <w:t>مسألةٌ في الدليلِ علىٰ أنّ الجَواهرَ مُدرَكةٌ‌</w:t>
            </w:r>
            <w:r>
              <w:rPr>
                <w:rStyle w:val="IndexLink"/>
                <w:rtl w:val="true"/>
              </w:rPr>
              <w:tab/>
            </w:r>
            <w:r>
              <w:rPr>
                <w:rStyle w:val="IndexLink"/>
              </w:rPr>
              <w:t>16</w:t>
            </w:r>
          </w:hyperlink>
        </w:p>
        <w:p>
          <w:pPr>
            <w:pStyle w:val="Contents4"/>
            <w:tabs>
              <w:tab w:val="clear" w:pos="8176"/>
              <w:tab w:val="right" w:pos="9026" w:leader="dot"/>
            </w:tabs>
            <w:rPr/>
          </w:pPr>
          <w:hyperlink w:anchor="__RefHeading___Toc7829915_12804478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7829917_1280447820">
            <w:r>
              <w:rPr>
                <w:webHidden/>
                <w:rStyle w:val="IndexLink"/>
                <w:rtl w:val="true"/>
              </w:rPr>
              <w:t>مقدّمة التحقيق</w:t>
            </w:r>
            <w:r>
              <w:rPr>
                <w:rStyle w:val="IndexLink"/>
                <w:rtl w:val="true"/>
              </w:rPr>
              <w:tab/>
            </w:r>
            <w:r>
              <w:rPr>
                <w:rStyle w:val="IndexLink"/>
              </w:rPr>
              <w:t>18</w:t>
            </w:r>
          </w:hyperlink>
        </w:p>
        <w:p>
          <w:pPr>
            <w:pStyle w:val="Contents5"/>
            <w:tabs>
              <w:tab w:val="clear" w:pos="7892"/>
              <w:tab w:val="right" w:pos="9026" w:leader="dot"/>
            </w:tabs>
            <w:rPr/>
          </w:pPr>
          <w:hyperlink w:anchor="__RefHeading___Toc7829919_1280447820">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7829921_1280447820">
            <w:r>
              <w:rPr>
                <w:webHidden/>
                <w:rStyle w:val="IndexLink"/>
                <w:rtl w:val="true"/>
              </w:rPr>
              <w:t>عنوان الرسالة</w:t>
            </w:r>
            <w:r>
              <w:rPr>
                <w:rStyle w:val="IndexLink"/>
                <w:rtl w:val="true"/>
              </w:rPr>
              <w:tab/>
            </w:r>
            <w:r>
              <w:rPr>
                <w:rStyle w:val="IndexLink"/>
              </w:rPr>
              <w:t>19</w:t>
            </w:r>
          </w:hyperlink>
        </w:p>
        <w:p>
          <w:pPr>
            <w:pStyle w:val="Contents5"/>
            <w:tabs>
              <w:tab w:val="clear" w:pos="7892"/>
              <w:tab w:val="right" w:pos="9026" w:leader="dot"/>
            </w:tabs>
            <w:rPr/>
          </w:pPr>
          <w:hyperlink w:anchor="__RefHeading___Toc7829923_1280447820">
            <w:r>
              <w:rPr>
                <w:webHidden/>
                <w:rStyle w:val="IndexLink"/>
                <w:rtl w:val="true"/>
              </w:rPr>
              <w:t>مخطوطات الرسالة</w:t>
            </w:r>
            <w:r>
              <w:rPr>
                <w:rStyle w:val="IndexLink"/>
                <w:rtl w:val="true"/>
              </w:rPr>
              <w:tab/>
            </w:r>
            <w:r>
              <w:rPr>
                <w:rStyle w:val="IndexLink"/>
              </w:rPr>
              <w:t>19</w:t>
            </w:r>
          </w:hyperlink>
        </w:p>
        <w:p>
          <w:pPr>
            <w:pStyle w:val="Contents4"/>
            <w:tabs>
              <w:tab w:val="clear" w:pos="8176"/>
              <w:tab w:val="right" w:pos="9026" w:leader="dot"/>
            </w:tabs>
            <w:rPr/>
          </w:pPr>
          <w:hyperlink w:anchor="__RefHeading___Toc7829925_1280447820">
            <w:r>
              <w:rPr>
                <w:webHidden/>
                <w:rStyle w:val="IndexLink"/>
                <w:rtl w:val="true"/>
              </w:rPr>
              <w:t>مسألةٌ في الدليلِ علىٰ أنّ الجَواهرَ مُدرَكةٌ‌</w:t>
            </w:r>
            <w:r>
              <w:rPr>
                <w:rStyle w:val="IndexLink"/>
                <w:rtl w:val="true"/>
              </w:rPr>
              <w:tab/>
            </w:r>
            <w:r>
              <w:rPr>
                <w:rStyle w:val="IndexLink"/>
              </w:rPr>
              <w:t>22</w:t>
            </w:r>
          </w:hyperlink>
        </w:p>
        <w:p>
          <w:pPr>
            <w:pStyle w:val="Contents3"/>
            <w:tabs>
              <w:tab w:val="clear" w:pos="8459"/>
              <w:tab w:val="right" w:pos="9026" w:leader="dot"/>
            </w:tabs>
            <w:rPr/>
          </w:pPr>
          <w:hyperlink w:anchor="__RefHeading___Toc7829927_1280447820">
            <w:r>
              <w:rPr>
                <w:webHidden/>
                <w:rStyle w:val="IndexLink"/>
                <w:rtl w:val="true"/>
              </w:rPr>
              <w:t>(</w:t>
            </w:r>
            <w:r>
              <w:rPr>
                <w:rStyle w:val="IndexLink"/>
              </w:rPr>
              <w:t>39</w:t>
            </w:r>
            <w:r>
              <w:rPr>
                <w:rStyle w:val="IndexLink"/>
                <w:rtl w:val="true"/>
              </w:rPr>
              <w:t xml:space="preserve">) </w:t>
            </w:r>
            <w:r>
              <w:rPr>
                <w:rStyle w:val="IndexLink"/>
                <w:rtl w:val="true"/>
              </w:rPr>
              <w:t>مسألةٌ في علّةِ استِحقاقِه تعالى المدحَ علىٰ تَركِه القَبيحَ‌</w:t>
            </w:r>
            <w:r>
              <w:rPr>
                <w:rStyle w:val="IndexLink"/>
                <w:rtl w:val="true"/>
              </w:rPr>
              <w:tab/>
            </w:r>
            <w:r>
              <w:rPr>
                <w:rStyle w:val="IndexLink"/>
              </w:rPr>
              <w:t>24</w:t>
            </w:r>
          </w:hyperlink>
        </w:p>
        <w:p>
          <w:pPr>
            <w:pStyle w:val="Contents4"/>
            <w:tabs>
              <w:tab w:val="clear" w:pos="8176"/>
              <w:tab w:val="right" w:pos="9026" w:leader="dot"/>
            </w:tabs>
            <w:rPr/>
          </w:pPr>
          <w:hyperlink w:anchor="__RefHeading___Toc7829929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7829931_1280447820">
            <w:r>
              <w:rPr>
                <w:webHidden/>
                <w:rStyle w:val="IndexLink"/>
                <w:rtl w:val="true"/>
              </w:rPr>
              <w:t>مقدّمة التحقيق</w:t>
            </w:r>
            <w:r>
              <w:rPr>
                <w:rStyle w:val="IndexLink"/>
                <w:rtl w:val="true"/>
              </w:rPr>
              <w:tab/>
            </w:r>
            <w:r>
              <w:rPr>
                <w:rStyle w:val="IndexLink"/>
              </w:rPr>
              <w:t>26</w:t>
            </w:r>
          </w:hyperlink>
        </w:p>
        <w:p>
          <w:pPr>
            <w:pStyle w:val="Contents5"/>
            <w:tabs>
              <w:tab w:val="clear" w:pos="7892"/>
              <w:tab w:val="right" w:pos="9026" w:leader="dot"/>
            </w:tabs>
            <w:rPr/>
          </w:pPr>
          <w:hyperlink w:anchor="__RefHeading___Toc7829933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7829935_1280447820">
            <w:r>
              <w:rPr>
                <w:webHidden/>
                <w:rStyle w:val="IndexLink"/>
                <w:rtl w:val="true"/>
              </w:rPr>
              <w:t>عنوان الرسالة</w:t>
            </w:r>
            <w:r>
              <w:rPr>
                <w:rStyle w:val="IndexLink"/>
                <w:rtl w:val="true"/>
              </w:rPr>
              <w:tab/>
            </w:r>
            <w:r>
              <w:rPr>
                <w:rStyle w:val="IndexLink"/>
              </w:rPr>
              <w:t>30</w:t>
            </w:r>
          </w:hyperlink>
        </w:p>
        <w:p>
          <w:pPr>
            <w:pStyle w:val="Contents5"/>
            <w:tabs>
              <w:tab w:val="clear" w:pos="7892"/>
              <w:tab w:val="right" w:pos="9026" w:leader="dot"/>
            </w:tabs>
            <w:rPr/>
          </w:pPr>
          <w:hyperlink w:anchor="__RefHeading___Toc7829937_1280447820">
            <w:r>
              <w:rPr>
                <w:webHidden/>
                <w:rStyle w:val="IndexLink"/>
                <w:rtl w:val="true"/>
              </w:rPr>
              <w:t>مخطوطات الرسالة</w:t>
            </w:r>
            <w:r>
              <w:rPr>
                <w:rStyle w:val="IndexLink"/>
                <w:rtl w:val="true"/>
              </w:rPr>
              <w:tab/>
            </w:r>
            <w:r>
              <w:rPr>
                <w:rStyle w:val="IndexLink"/>
              </w:rPr>
              <w:t>30</w:t>
            </w:r>
          </w:hyperlink>
        </w:p>
        <w:p>
          <w:pPr>
            <w:pStyle w:val="Contents4"/>
            <w:tabs>
              <w:tab w:val="clear" w:pos="8176"/>
              <w:tab w:val="right" w:pos="9026" w:leader="dot"/>
            </w:tabs>
            <w:rPr/>
          </w:pPr>
          <w:hyperlink w:anchor="__RefHeading___Toc7829939_1280447820">
            <w:r>
              <w:rPr>
                <w:webHidden/>
                <w:rStyle w:val="IndexLink"/>
                <w:rtl w:val="true"/>
              </w:rPr>
              <w:t>مسألةٌ في علّةِ استِحقاقِه تعالى المدحَ علىٰ تَركِه القَبيحَ‌</w:t>
            </w:r>
            <w:r>
              <w:rPr>
                <w:rStyle w:val="IndexLink"/>
                <w:rtl w:val="true"/>
              </w:rPr>
              <w:tab/>
            </w:r>
            <w:r>
              <w:rPr>
                <w:rStyle w:val="IndexLink"/>
              </w:rPr>
              <w:t>32</w:t>
            </w:r>
          </w:hyperlink>
        </w:p>
        <w:p>
          <w:pPr>
            <w:pStyle w:val="Contents3"/>
            <w:tabs>
              <w:tab w:val="clear" w:pos="8459"/>
              <w:tab w:val="right" w:pos="9026" w:leader="dot"/>
            </w:tabs>
            <w:rPr/>
          </w:pPr>
          <w:hyperlink w:anchor="__RefHeading___Toc7829941_1280447820">
            <w:r>
              <w:rPr>
                <w:webHidden/>
                <w:rStyle w:val="IndexLink"/>
                <w:rtl w:val="true"/>
              </w:rPr>
              <w:t>(</w:t>
            </w:r>
            <w:r>
              <w:rPr>
                <w:rStyle w:val="IndexLink"/>
              </w:rPr>
              <w:t>40</w:t>
            </w:r>
            <w:r>
              <w:rPr>
                <w:rStyle w:val="IndexLink"/>
                <w:rtl w:val="true"/>
              </w:rPr>
              <w:t xml:space="preserve">) </w:t>
            </w:r>
            <w:r>
              <w:rPr>
                <w:rStyle w:val="IndexLink"/>
                <w:rtl w:val="true"/>
              </w:rPr>
              <w:t xml:space="preserve">مسألةٌ في أنّ التاءَ في كلمةِ </w:t>
            </w:r>
            <w:r>
              <w:rPr>
                <w:rStyle w:val="IndexLink"/>
                <w:rtl w:val="true"/>
              </w:rPr>
              <w:t>«</w:t>
            </w:r>
            <w:r>
              <w:rPr>
                <w:rStyle w:val="IndexLink"/>
                <w:rtl w:val="true"/>
              </w:rPr>
              <w:t>الذاتِ‌</w:t>
            </w:r>
            <w:r>
              <w:rPr>
                <w:rStyle w:val="IndexLink"/>
                <w:rtl w:val="true"/>
              </w:rPr>
              <w:t xml:space="preserve">» </w:t>
            </w:r>
            <w:r>
              <w:rPr>
                <w:rStyle w:val="IndexLink"/>
                <w:rtl w:val="true"/>
              </w:rPr>
              <w:t>لَيسَت للتأنيثِ‌</w:t>
            </w:r>
            <w:r>
              <w:rPr>
                <w:rStyle w:val="IndexLink"/>
                <w:rtl w:val="true"/>
              </w:rPr>
              <w:tab/>
            </w:r>
            <w:r>
              <w:rPr>
                <w:rStyle w:val="IndexLink"/>
              </w:rPr>
              <w:t>42</w:t>
            </w:r>
          </w:hyperlink>
        </w:p>
        <w:p>
          <w:pPr>
            <w:pStyle w:val="Contents4"/>
            <w:tabs>
              <w:tab w:val="clear" w:pos="8176"/>
              <w:tab w:val="right" w:pos="9026" w:leader="dot"/>
            </w:tabs>
            <w:rPr/>
          </w:pPr>
          <w:hyperlink w:anchor="__RefHeading___Toc7829943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7829945_1280447820">
            <w:r>
              <w:rPr>
                <w:webHidden/>
                <w:rStyle w:val="IndexLink"/>
                <w:rtl w:val="true"/>
              </w:rPr>
              <w:t>مقدّمة التحقيق</w:t>
            </w:r>
            <w:r>
              <w:rPr>
                <w:rStyle w:val="IndexLink"/>
                <w:rtl w:val="true"/>
              </w:rPr>
              <w:tab/>
            </w:r>
            <w:r>
              <w:rPr>
                <w:rStyle w:val="IndexLink"/>
              </w:rPr>
              <w:t>44</w:t>
            </w:r>
          </w:hyperlink>
        </w:p>
        <w:p>
          <w:pPr>
            <w:pStyle w:val="Contents5"/>
            <w:tabs>
              <w:tab w:val="clear" w:pos="7892"/>
              <w:tab w:val="right" w:pos="9026" w:leader="dot"/>
            </w:tabs>
            <w:rPr/>
          </w:pPr>
          <w:hyperlink w:anchor="__RefHeading___Toc7829947_1280447820">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7829949_1280447820">
            <w:r>
              <w:rPr>
                <w:webHidden/>
                <w:rStyle w:val="IndexLink"/>
                <w:rtl w:val="true"/>
              </w:rPr>
              <w:t>عنوان الرسالة</w:t>
            </w:r>
            <w:r>
              <w:rPr>
                <w:rStyle w:val="IndexLink"/>
                <w:rtl w:val="true"/>
              </w:rPr>
              <w:tab/>
            </w:r>
            <w:r>
              <w:rPr>
                <w:rStyle w:val="IndexLink"/>
              </w:rPr>
              <w:t>45</w:t>
            </w:r>
          </w:hyperlink>
        </w:p>
        <w:p>
          <w:pPr>
            <w:pStyle w:val="Contents5"/>
            <w:tabs>
              <w:tab w:val="clear" w:pos="7892"/>
              <w:tab w:val="right" w:pos="9026" w:leader="dot"/>
            </w:tabs>
            <w:rPr/>
          </w:pPr>
          <w:hyperlink w:anchor="__RefHeading___Toc7829951_1280447820">
            <w:r>
              <w:rPr>
                <w:webHidden/>
                <w:rStyle w:val="IndexLink"/>
                <w:rtl w:val="true"/>
              </w:rPr>
              <w:t>مخطوطات الرسالة</w:t>
            </w:r>
            <w:r>
              <w:rPr>
                <w:rStyle w:val="IndexLink"/>
                <w:rtl w:val="true"/>
              </w:rPr>
              <w:tab/>
            </w:r>
            <w:r>
              <w:rPr>
                <w:rStyle w:val="IndexLink"/>
              </w:rPr>
              <w:t>46</w:t>
            </w:r>
          </w:hyperlink>
        </w:p>
        <w:p>
          <w:pPr>
            <w:pStyle w:val="Contents4"/>
            <w:tabs>
              <w:tab w:val="clear" w:pos="8176"/>
              <w:tab w:val="right" w:pos="9026" w:leader="dot"/>
            </w:tabs>
            <w:rPr/>
          </w:pPr>
          <w:hyperlink w:anchor="__RefHeading___Toc7829953_1280447820">
            <w:r>
              <w:rPr>
                <w:webHidden/>
                <w:rStyle w:val="IndexLink"/>
                <w:rtl w:val="true"/>
              </w:rPr>
              <w:t xml:space="preserve">مسألةٌ في أنّ التاءَ في كلمةِ </w:t>
            </w:r>
            <w:r>
              <w:rPr>
                <w:rStyle w:val="IndexLink"/>
                <w:rtl w:val="true"/>
              </w:rPr>
              <w:t>«</w:t>
            </w:r>
            <w:r>
              <w:rPr>
                <w:rStyle w:val="IndexLink"/>
                <w:rtl w:val="true"/>
              </w:rPr>
              <w:t>الذاتِ‌</w:t>
            </w:r>
            <w:r>
              <w:rPr>
                <w:rStyle w:val="IndexLink"/>
                <w:rtl w:val="true"/>
              </w:rPr>
              <w:t xml:space="preserve">» </w:t>
            </w:r>
            <w:r>
              <w:rPr>
                <w:rStyle w:val="IndexLink"/>
                <w:rtl w:val="true"/>
              </w:rPr>
              <w:t>لَيسَت للتأنيثِ‌</w:t>
            </w:r>
            <w:r>
              <w:rPr>
                <w:rStyle w:val="IndexLink"/>
                <w:rtl w:val="true"/>
              </w:rPr>
              <w:tab/>
            </w:r>
            <w:r>
              <w:rPr>
                <w:rStyle w:val="IndexLink"/>
              </w:rPr>
              <w:t>48</w:t>
            </w:r>
          </w:hyperlink>
        </w:p>
        <w:p>
          <w:pPr>
            <w:pStyle w:val="Contents3"/>
            <w:tabs>
              <w:tab w:val="clear" w:pos="8459"/>
              <w:tab w:val="right" w:pos="9026" w:leader="dot"/>
            </w:tabs>
            <w:rPr/>
          </w:pPr>
          <w:hyperlink w:anchor="__RefHeading___Toc7829955_1280447820">
            <w:r>
              <w:rPr>
                <w:webHidden/>
                <w:rStyle w:val="IndexLink"/>
                <w:rtl w:val="true"/>
              </w:rPr>
              <w:t>(</w:t>
            </w:r>
            <w:r>
              <w:rPr>
                <w:rStyle w:val="IndexLink"/>
              </w:rPr>
              <w:t>41</w:t>
            </w:r>
            <w:r>
              <w:rPr>
                <w:rStyle w:val="IndexLink"/>
                <w:rtl w:val="true"/>
              </w:rPr>
              <w:t xml:space="preserve">) </w:t>
            </w:r>
            <w:r>
              <w:rPr>
                <w:rStyle w:val="IndexLink"/>
                <w:rtl w:val="true"/>
              </w:rPr>
              <w:t>مسألةٌ في الألمِ و وَجهِ الحُسنِ فيه</w:t>
            </w:r>
            <w:r>
              <w:rPr>
                <w:rStyle w:val="IndexLink"/>
                <w:rtl w:val="true"/>
              </w:rPr>
              <w:tab/>
            </w:r>
            <w:r>
              <w:rPr>
                <w:rStyle w:val="IndexLink"/>
              </w:rPr>
              <w:t>52</w:t>
            </w:r>
          </w:hyperlink>
        </w:p>
        <w:p>
          <w:pPr>
            <w:pStyle w:val="Contents4"/>
            <w:tabs>
              <w:tab w:val="clear" w:pos="8176"/>
              <w:tab w:val="right" w:pos="9026" w:leader="dot"/>
            </w:tabs>
            <w:rPr/>
          </w:pPr>
          <w:hyperlink w:anchor="__RefHeading___Toc7829957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7829959_1280447820">
            <w:r>
              <w:rPr>
                <w:webHidden/>
                <w:rStyle w:val="IndexLink"/>
                <w:rtl w:val="true"/>
              </w:rPr>
              <w:t>مقدّمة التحقيق</w:t>
            </w:r>
            <w:r>
              <w:rPr>
                <w:rStyle w:val="IndexLink"/>
                <w:rtl w:val="true"/>
              </w:rPr>
              <w:tab/>
            </w:r>
            <w:r>
              <w:rPr>
                <w:rStyle w:val="IndexLink"/>
              </w:rPr>
              <w:t>54</w:t>
            </w:r>
          </w:hyperlink>
        </w:p>
        <w:p>
          <w:pPr>
            <w:pStyle w:val="Contents5"/>
            <w:tabs>
              <w:tab w:val="clear" w:pos="7892"/>
              <w:tab w:val="right" w:pos="9026" w:leader="dot"/>
            </w:tabs>
            <w:rPr/>
          </w:pPr>
          <w:hyperlink w:anchor="__RefHeading___Toc7829961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7829963_1280447820">
            <w:r>
              <w:rPr>
                <w:webHidden/>
                <w:rStyle w:val="IndexLink"/>
                <w:rtl w:val="true"/>
              </w:rPr>
              <w:t>نسبة الرسالة و عنوانها</w:t>
            </w:r>
            <w:r>
              <w:rPr>
                <w:rStyle w:val="IndexLink"/>
                <w:rtl w:val="true"/>
              </w:rPr>
              <w:tab/>
            </w:r>
            <w:r>
              <w:rPr>
                <w:rStyle w:val="IndexLink"/>
              </w:rPr>
              <w:t>56</w:t>
            </w:r>
          </w:hyperlink>
        </w:p>
        <w:p>
          <w:pPr>
            <w:pStyle w:val="Contents5"/>
            <w:tabs>
              <w:tab w:val="clear" w:pos="7892"/>
              <w:tab w:val="right" w:pos="9026" w:leader="dot"/>
            </w:tabs>
            <w:rPr/>
          </w:pPr>
          <w:hyperlink w:anchor="__RefHeading___Toc7829965_1280447820">
            <w:r>
              <w:rPr>
                <w:webHidden/>
                <w:rStyle w:val="IndexLink"/>
                <w:rtl w:val="true"/>
              </w:rPr>
              <w:t>مخطوطات الرسالة</w:t>
            </w:r>
            <w:r>
              <w:rPr>
                <w:rStyle w:val="IndexLink"/>
                <w:rtl w:val="true"/>
              </w:rPr>
              <w:tab/>
            </w:r>
            <w:r>
              <w:rPr>
                <w:rStyle w:val="IndexLink"/>
              </w:rPr>
              <w:t>56</w:t>
            </w:r>
          </w:hyperlink>
        </w:p>
        <w:p>
          <w:pPr>
            <w:pStyle w:val="Contents4"/>
            <w:tabs>
              <w:tab w:val="clear" w:pos="8176"/>
              <w:tab w:val="right" w:pos="9026" w:leader="dot"/>
            </w:tabs>
            <w:rPr/>
          </w:pPr>
          <w:hyperlink w:anchor="__RefHeading___Toc7829967_1280447820">
            <w:r>
              <w:rPr>
                <w:webHidden/>
                <w:rStyle w:val="IndexLink"/>
                <w:rtl w:val="true"/>
              </w:rPr>
              <w:t>مسألةٌ في الألمِ و وَجهِ الحُسنِ فيه</w:t>
            </w:r>
            <w:r>
              <w:rPr>
                <w:rStyle w:val="IndexLink"/>
                <w:rtl w:val="true"/>
              </w:rPr>
              <w:tab/>
            </w:r>
            <w:r>
              <w:rPr>
                <w:rStyle w:val="IndexLink"/>
              </w:rPr>
              <w:t>58</w:t>
            </w:r>
          </w:hyperlink>
        </w:p>
        <w:p>
          <w:pPr>
            <w:pStyle w:val="Contents5"/>
            <w:tabs>
              <w:tab w:val="clear" w:pos="7892"/>
              <w:tab w:val="right" w:pos="9026" w:leader="dot"/>
            </w:tabs>
            <w:rPr/>
          </w:pPr>
          <w:hyperlink w:anchor="__RefHeading___Toc7829969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7829971_1280447820">
            <w:r>
              <w:rPr>
                <w:webHidden/>
                <w:rStyle w:val="IndexLink"/>
                <w:rtl w:val="true"/>
              </w:rPr>
              <w:t>في بيان حدّ الظلم</w:t>
            </w:r>
            <w:r>
              <w:rPr>
                <w:rStyle w:val="IndexLink"/>
                <w:rtl w:val="true"/>
              </w:rPr>
              <w:tab/>
            </w:r>
            <w:r>
              <w:rPr>
                <w:rStyle w:val="IndexLink"/>
              </w:rPr>
              <w:t>58</w:t>
            </w:r>
          </w:hyperlink>
        </w:p>
        <w:p>
          <w:pPr>
            <w:pStyle w:val="Contents5"/>
            <w:tabs>
              <w:tab w:val="clear" w:pos="7892"/>
              <w:tab w:val="right" w:pos="9026" w:leader="dot"/>
            </w:tabs>
            <w:rPr/>
          </w:pPr>
          <w:hyperlink w:anchor="__RefHeading___Toc7829973_1280447820">
            <w:r>
              <w:rPr>
                <w:webHidden/>
                <w:rStyle w:val="IndexLink"/>
                <w:rtl w:val="true"/>
              </w:rPr>
              <w:t>من وجوه حُسن الألم أن يُفعل للاعتبار</w:t>
            </w:r>
            <w:r>
              <w:rPr>
                <w:rStyle w:val="IndexLink"/>
                <w:rtl w:val="true"/>
              </w:rPr>
              <w:tab/>
            </w:r>
            <w:r>
              <w:rPr>
                <w:rStyle w:val="IndexLink"/>
              </w:rPr>
              <w:t>60</w:t>
            </w:r>
          </w:hyperlink>
        </w:p>
        <w:p>
          <w:pPr>
            <w:pStyle w:val="Contents5"/>
            <w:tabs>
              <w:tab w:val="clear" w:pos="7892"/>
              <w:tab w:val="right" w:pos="9026" w:leader="dot"/>
            </w:tabs>
            <w:rPr/>
          </w:pPr>
          <w:hyperlink w:anchor="__RefHeading___Toc7829975_1280447820">
            <w:r>
              <w:rPr>
                <w:webHidden/>
                <w:rStyle w:val="IndexLink"/>
                <w:rtl w:val="true"/>
              </w:rPr>
              <w:t>أقسام الألم من حيث الوجوه التي يقع عليها</w:t>
            </w:r>
            <w:r>
              <w:rPr>
                <w:rStyle w:val="IndexLink"/>
                <w:rtl w:val="true"/>
              </w:rPr>
              <w:tab/>
            </w:r>
            <w:r>
              <w:rPr>
                <w:rStyle w:val="IndexLink"/>
              </w:rPr>
              <w:t>60</w:t>
            </w:r>
          </w:hyperlink>
        </w:p>
        <w:p>
          <w:pPr>
            <w:pStyle w:val="Contents5"/>
            <w:tabs>
              <w:tab w:val="clear" w:pos="7892"/>
              <w:tab w:val="right" w:pos="9026" w:leader="dot"/>
            </w:tabs>
            <w:rPr/>
          </w:pPr>
          <w:hyperlink w:anchor="__RefHeading___Toc7829977_1280447820">
            <w:r>
              <w:rPr>
                <w:webHidden/>
                <w:rStyle w:val="IndexLink"/>
                <w:rtl w:val="true"/>
              </w:rPr>
              <w:t>تقسيم آخر للألم من حيث الوجوه التي يقع عليها</w:t>
            </w:r>
            <w:r>
              <w:rPr>
                <w:rStyle w:val="IndexLink"/>
                <w:rtl w:val="true"/>
              </w:rPr>
              <w:tab/>
            </w:r>
            <w:r>
              <w:rPr>
                <w:rStyle w:val="IndexLink"/>
              </w:rPr>
              <w:t>64</w:t>
            </w:r>
          </w:hyperlink>
        </w:p>
        <w:p>
          <w:pPr>
            <w:pStyle w:val="Contents3"/>
            <w:tabs>
              <w:tab w:val="clear" w:pos="8459"/>
              <w:tab w:val="right" w:pos="9026" w:leader="dot"/>
            </w:tabs>
            <w:rPr/>
          </w:pPr>
          <w:hyperlink w:anchor="__RefHeading___Toc7829979_1280447820">
            <w:r>
              <w:rPr>
                <w:webHidden/>
                <w:rStyle w:val="IndexLink"/>
                <w:rtl w:val="true"/>
              </w:rPr>
              <w:t>(</w:t>
            </w:r>
            <w:r>
              <w:rPr>
                <w:rStyle w:val="IndexLink"/>
              </w:rPr>
              <w:t>42</w:t>
            </w:r>
            <w:r>
              <w:rPr>
                <w:rStyle w:val="IndexLink"/>
                <w:rtl w:val="true"/>
              </w:rPr>
              <w:t xml:space="preserve">) </w:t>
            </w:r>
            <w:r>
              <w:rPr>
                <w:rStyle w:val="IndexLink"/>
                <w:rtl w:val="true"/>
              </w:rPr>
              <w:t>مسألةٌ في سببِ تقديمِ أوَّليّةِ وجوبِ النظرِ على أصلِ وجوبِه</w:t>
            </w:r>
            <w:r>
              <w:rPr>
                <w:rStyle w:val="IndexLink"/>
                <w:rtl w:val="true"/>
              </w:rPr>
              <w:tab/>
            </w:r>
            <w:r>
              <w:rPr>
                <w:rStyle w:val="IndexLink"/>
              </w:rPr>
              <w:t>68</w:t>
            </w:r>
          </w:hyperlink>
        </w:p>
        <w:p>
          <w:pPr>
            <w:pStyle w:val="Contents4"/>
            <w:tabs>
              <w:tab w:val="clear" w:pos="8176"/>
              <w:tab w:val="right" w:pos="9026" w:leader="dot"/>
            </w:tabs>
            <w:rPr/>
          </w:pPr>
          <w:hyperlink w:anchor="__RefHeading___Toc7829981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7829983_1280447820">
            <w:r>
              <w:rPr>
                <w:webHidden/>
                <w:rStyle w:val="IndexLink"/>
                <w:rtl w:val="true"/>
              </w:rPr>
              <w:t>مقدّمة التحقيق</w:t>
            </w:r>
            <w:r>
              <w:rPr>
                <w:rStyle w:val="IndexLink"/>
                <w:rtl w:val="true"/>
              </w:rPr>
              <w:tab/>
            </w:r>
            <w:r>
              <w:rPr>
                <w:rStyle w:val="IndexLink"/>
              </w:rPr>
              <w:t>70</w:t>
            </w:r>
          </w:hyperlink>
        </w:p>
        <w:p>
          <w:pPr>
            <w:pStyle w:val="Contents5"/>
            <w:tabs>
              <w:tab w:val="clear" w:pos="7892"/>
              <w:tab w:val="right" w:pos="9026" w:leader="dot"/>
            </w:tabs>
            <w:rPr/>
          </w:pPr>
          <w:hyperlink w:anchor="__RefHeading___Toc7829985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7829987_1280447820">
            <w:r>
              <w:rPr>
                <w:webHidden/>
                <w:rStyle w:val="IndexLink"/>
                <w:rtl w:val="true"/>
              </w:rPr>
              <w:t>عنوان الرسالة</w:t>
            </w:r>
            <w:r>
              <w:rPr>
                <w:rStyle w:val="IndexLink"/>
                <w:rtl w:val="true"/>
              </w:rPr>
              <w:tab/>
            </w:r>
            <w:r>
              <w:rPr>
                <w:rStyle w:val="IndexLink"/>
              </w:rPr>
              <w:t>72</w:t>
            </w:r>
          </w:hyperlink>
        </w:p>
        <w:p>
          <w:pPr>
            <w:pStyle w:val="Contents5"/>
            <w:tabs>
              <w:tab w:val="clear" w:pos="7892"/>
              <w:tab w:val="right" w:pos="9026" w:leader="dot"/>
            </w:tabs>
            <w:rPr/>
          </w:pPr>
          <w:hyperlink w:anchor="__RefHeading___Toc7829989_1280447820">
            <w:r>
              <w:rPr>
                <w:webHidden/>
                <w:rStyle w:val="IndexLink"/>
                <w:rtl w:val="true"/>
              </w:rPr>
              <w:t>مخطوطات الرسالة</w:t>
            </w:r>
            <w:r>
              <w:rPr>
                <w:rStyle w:val="IndexLink"/>
                <w:rtl w:val="true"/>
              </w:rPr>
              <w:tab/>
            </w:r>
            <w:r>
              <w:rPr>
                <w:rStyle w:val="IndexLink"/>
              </w:rPr>
              <w:t>73</w:t>
            </w:r>
          </w:hyperlink>
        </w:p>
        <w:p>
          <w:pPr>
            <w:pStyle w:val="Contents4"/>
            <w:tabs>
              <w:tab w:val="clear" w:pos="8176"/>
              <w:tab w:val="right" w:pos="9026" w:leader="dot"/>
            </w:tabs>
            <w:rPr/>
          </w:pPr>
          <w:hyperlink w:anchor="__RefHeading___Toc7829991_1280447820">
            <w:r>
              <w:rPr>
                <w:webHidden/>
                <w:rStyle w:val="IndexLink"/>
                <w:rtl w:val="true"/>
              </w:rPr>
              <w:t>مسألةٌ في سببِ تقديمِ أوَّليّةِ وجوبِ النظرِ على أصلِ وجوبِه</w:t>
            </w:r>
            <w:r>
              <w:rPr>
                <w:rStyle w:val="IndexLink"/>
                <w:rtl w:val="true"/>
              </w:rPr>
              <w:tab/>
            </w:r>
            <w:r>
              <w:rPr>
                <w:rStyle w:val="IndexLink"/>
              </w:rPr>
              <w:t>76</w:t>
            </w:r>
          </w:hyperlink>
        </w:p>
        <w:p>
          <w:pPr>
            <w:pStyle w:val="Contents3"/>
            <w:tabs>
              <w:tab w:val="clear" w:pos="8459"/>
              <w:tab w:val="right" w:pos="9026" w:leader="dot"/>
            </w:tabs>
            <w:rPr/>
          </w:pPr>
          <w:hyperlink w:anchor="__RefHeading___Toc7829993_1280447820">
            <w:r>
              <w:rPr>
                <w:webHidden/>
                <w:rStyle w:val="IndexLink"/>
                <w:rtl w:val="true"/>
              </w:rPr>
              <w:t>(</w:t>
            </w:r>
            <w:r>
              <w:rPr>
                <w:rStyle w:val="IndexLink"/>
              </w:rPr>
              <w:t>43</w:t>
            </w:r>
            <w:r>
              <w:rPr>
                <w:rStyle w:val="IndexLink"/>
                <w:rtl w:val="true"/>
              </w:rPr>
              <w:t xml:space="preserve">) </w:t>
            </w:r>
            <w:r>
              <w:rPr>
                <w:rStyle w:val="IndexLink"/>
                <w:rtl w:val="true"/>
              </w:rPr>
              <w:t xml:space="preserve">مسألة في أنّ الجسمَ لَم يَكُن </w:t>
            </w:r>
            <w:r>
              <w:rPr>
                <w:rStyle w:val="IndexLink"/>
                <w:rtl w:val="true"/>
              </w:rPr>
              <w:t>«</w:t>
            </w:r>
            <w:r>
              <w:rPr>
                <w:rStyle w:val="IndexLink"/>
                <w:rtl w:val="true"/>
              </w:rPr>
              <w:t>كائناً</w:t>
            </w:r>
            <w:r>
              <w:rPr>
                <w:rStyle w:val="IndexLink"/>
                <w:rtl w:val="true"/>
              </w:rPr>
              <w:t xml:space="preserve">» </w:t>
            </w:r>
            <w:r>
              <w:rPr>
                <w:rStyle w:val="IndexLink"/>
                <w:rtl w:val="true"/>
              </w:rPr>
              <w:t>بالفاعلِ‌</w:t>
            </w:r>
            <w:r>
              <w:rPr>
                <w:rStyle w:val="IndexLink"/>
                <w:rtl w:val="true"/>
              </w:rPr>
              <w:tab/>
            </w:r>
            <w:r>
              <w:rPr>
                <w:rStyle w:val="IndexLink"/>
              </w:rPr>
              <w:t>78</w:t>
            </w:r>
          </w:hyperlink>
        </w:p>
        <w:p>
          <w:pPr>
            <w:pStyle w:val="Contents4"/>
            <w:tabs>
              <w:tab w:val="clear" w:pos="8176"/>
              <w:tab w:val="right" w:pos="9026" w:leader="dot"/>
            </w:tabs>
            <w:rPr/>
          </w:pPr>
          <w:hyperlink w:anchor="__RefHeading___Toc7829995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7829997_1280447820">
            <w:r>
              <w:rPr>
                <w:webHidden/>
                <w:rStyle w:val="IndexLink"/>
                <w:rtl w:val="true"/>
              </w:rPr>
              <w:t>مقدّمة التحقيق</w:t>
            </w:r>
            <w:r>
              <w:rPr>
                <w:rStyle w:val="IndexLink"/>
                <w:rtl w:val="true"/>
              </w:rPr>
              <w:tab/>
            </w:r>
            <w:r>
              <w:rPr>
                <w:rStyle w:val="IndexLink"/>
              </w:rPr>
              <w:t>80</w:t>
            </w:r>
          </w:hyperlink>
        </w:p>
        <w:p>
          <w:pPr>
            <w:pStyle w:val="Contents5"/>
            <w:tabs>
              <w:tab w:val="clear" w:pos="7892"/>
              <w:tab w:val="right" w:pos="9026" w:leader="dot"/>
            </w:tabs>
            <w:rPr/>
          </w:pPr>
          <w:hyperlink w:anchor="__RefHeading___Toc7829999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7830001_1280447820">
            <w:r>
              <w:rPr>
                <w:webHidden/>
                <w:rStyle w:val="IndexLink"/>
                <w:rtl w:val="true"/>
              </w:rPr>
              <w:t>عنوان الرسالة</w:t>
            </w:r>
            <w:r>
              <w:rPr>
                <w:rStyle w:val="IndexLink"/>
                <w:rtl w:val="true"/>
              </w:rPr>
              <w:tab/>
            </w:r>
            <w:r>
              <w:rPr>
                <w:rStyle w:val="IndexLink"/>
              </w:rPr>
              <w:t>83</w:t>
            </w:r>
          </w:hyperlink>
        </w:p>
        <w:p>
          <w:pPr>
            <w:pStyle w:val="Contents5"/>
            <w:tabs>
              <w:tab w:val="clear" w:pos="7892"/>
              <w:tab w:val="right" w:pos="9026" w:leader="dot"/>
            </w:tabs>
            <w:rPr/>
          </w:pPr>
          <w:hyperlink w:anchor="__RefHeading___Toc7830003_1280447820">
            <w:r>
              <w:rPr>
                <w:webHidden/>
                <w:rStyle w:val="IndexLink"/>
                <w:rtl w:val="true"/>
              </w:rPr>
              <w:t>مخطوطات الرسالة</w:t>
            </w:r>
            <w:r>
              <w:rPr>
                <w:rStyle w:val="IndexLink"/>
                <w:rtl w:val="true"/>
              </w:rPr>
              <w:tab/>
            </w:r>
            <w:r>
              <w:rPr>
                <w:rStyle w:val="IndexLink"/>
              </w:rPr>
              <w:t>83</w:t>
            </w:r>
          </w:hyperlink>
        </w:p>
        <w:p>
          <w:pPr>
            <w:pStyle w:val="Contents4"/>
            <w:tabs>
              <w:tab w:val="clear" w:pos="8176"/>
              <w:tab w:val="right" w:pos="9026" w:leader="dot"/>
            </w:tabs>
            <w:rPr/>
          </w:pPr>
          <w:hyperlink w:anchor="__RefHeading___Toc7830005_1280447820">
            <w:r>
              <w:rPr>
                <w:webHidden/>
                <w:rStyle w:val="IndexLink"/>
                <w:rtl w:val="true"/>
              </w:rPr>
              <w:t xml:space="preserve">مسألة في أنّ الجسمَ لَم يَكُن </w:t>
            </w:r>
            <w:r>
              <w:rPr>
                <w:rStyle w:val="IndexLink"/>
                <w:rtl w:val="true"/>
              </w:rPr>
              <w:t>«</w:t>
            </w:r>
            <w:r>
              <w:rPr>
                <w:rStyle w:val="IndexLink"/>
                <w:rtl w:val="true"/>
              </w:rPr>
              <w:t>كائناً</w:t>
            </w:r>
            <w:r>
              <w:rPr>
                <w:rStyle w:val="IndexLink"/>
                <w:rtl w:val="true"/>
              </w:rPr>
              <w:t xml:space="preserve">» </w:t>
            </w:r>
            <w:r>
              <w:rPr>
                <w:rStyle w:val="IndexLink"/>
                <w:rtl w:val="true"/>
              </w:rPr>
              <w:t>بالفاعلِ‌</w:t>
            </w:r>
            <w:r>
              <w:rPr>
                <w:rStyle w:val="IndexLink"/>
                <w:rtl w:val="true"/>
              </w:rPr>
              <w:tab/>
            </w:r>
            <w:r>
              <w:rPr>
                <w:rStyle w:val="IndexLink"/>
              </w:rPr>
              <w:t>86</w:t>
            </w:r>
          </w:hyperlink>
        </w:p>
        <w:p>
          <w:pPr>
            <w:pStyle w:val="Contents3"/>
            <w:tabs>
              <w:tab w:val="clear" w:pos="8459"/>
              <w:tab w:val="right" w:pos="9026" w:leader="dot"/>
            </w:tabs>
            <w:rPr/>
          </w:pPr>
          <w:hyperlink w:anchor="__RefHeading___Toc7830007_1280447820">
            <w:r>
              <w:rPr>
                <w:webHidden/>
                <w:rStyle w:val="IndexLink"/>
                <w:rtl w:val="true"/>
              </w:rPr>
              <w:t>(</w:t>
            </w:r>
            <w:r>
              <w:rPr>
                <w:rStyle w:val="IndexLink"/>
              </w:rPr>
              <w:t>44</w:t>
            </w:r>
            <w:r>
              <w:rPr>
                <w:rStyle w:val="IndexLink"/>
                <w:rtl w:val="true"/>
              </w:rPr>
              <w:t xml:space="preserve">) </w:t>
            </w:r>
            <w:r>
              <w:rPr>
                <w:rStyle w:val="IndexLink"/>
                <w:rtl w:val="true"/>
              </w:rPr>
              <w:t>مسألةٌ في إبطالِ أحدِ الأدلَّةِ على كونِ الصِّفةِ بالفاعلِ‌</w:t>
            </w:r>
            <w:r>
              <w:rPr>
                <w:rStyle w:val="IndexLink"/>
                <w:rtl w:val="true"/>
              </w:rPr>
              <w:tab/>
            </w:r>
            <w:r>
              <w:rPr>
                <w:rStyle w:val="IndexLink"/>
              </w:rPr>
              <w:t>88</w:t>
            </w:r>
          </w:hyperlink>
        </w:p>
        <w:p>
          <w:pPr>
            <w:pStyle w:val="Contents4"/>
            <w:tabs>
              <w:tab w:val="clear" w:pos="8176"/>
              <w:tab w:val="right" w:pos="9026" w:leader="dot"/>
            </w:tabs>
            <w:rPr/>
          </w:pPr>
          <w:hyperlink w:anchor="__RefHeading___Toc7830009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7830011_1280447820">
            <w:r>
              <w:rPr>
                <w:webHidden/>
                <w:rStyle w:val="IndexLink"/>
                <w:rtl w:val="true"/>
              </w:rPr>
              <w:t>مقدّمة التحقيق</w:t>
            </w:r>
            <w:r>
              <w:rPr>
                <w:rStyle w:val="IndexLink"/>
                <w:rtl w:val="true"/>
              </w:rPr>
              <w:tab/>
            </w:r>
            <w:r>
              <w:rPr>
                <w:rStyle w:val="IndexLink"/>
              </w:rPr>
              <w:t>90</w:t>
            </w:r>
          </w:hyperlink>
        </w:p>
        <w:p>
          <w:pPr>
            <w:pStyle w:val="Contents5"/>
            <w:tabs>
              <w:tab w:val="clear" w:pos="7892"/>
              <w:tab w:val="right" w:pos="9026" w:leader="dot"/>
            </w:tabs>
            <w:rPr/>
          </w:pPr>
          <w:hyperlink w:anchor="__RefHeading___Toc7830013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7830015_1280447820">
            <w:r>
              <w:rPr>
                <w:webHidden/>
                <w:rStyle w:val="IndexLink"/>
                <w:rtl w:val="true"/>
              </w:rPr>
              <w:t>عنوان الرسالة</w:t>
            </w:r>
            <w:r>
              <w:rPr>
                <w:rStyle w:val="IndexLink"/>
                <w:rtl w:val="true"/>
              </w:rPr>
              <w:tab/>
            </w:r>
            <w:r>
              <w:rPr>
                <w:rStyle w:val="IndexLink"/>
              </w:rPr>
              <w:t>91</w:t>
            </w:r>
          </w:hyperlink>
        </w:p>
        <w:p>
          <w:pPr>
            <w:pStyle w:val="Contents5"/>
            <w:tabs>
              <w:tab w:val="clear" w:pos="7892"/>
              <w:tab w:val="right" w:pos="9026" w:leader="dot"/>
            </w:tabs>
            <w:rPr/>
          </w:pPr>
          <w:hyperlink w:anchor="__RefHeading___Toc7830017_1280447820">
            <w:r>
              <w:rPr>
                <w:webHidden/>
                <w:rStyle w:val="IndexLink"/>
                <w:rtl w:val="true"/>
              </w:rPr>
              <w:t>مخطوطات الرسالة</w:t>
            </w:r>
            <w:r>
              <w:rPr>
                <w:rStyle w:val="IndexLink"/>
                <w:rtl w:val="true"/>
              </w:rPr>
              <w:tab/>
            </w:r>
            <w:r>
              <w:rPr>
                <w:rStyle w:val="IndexLink"/>
              </w:rPr>
              <w:t>92</w:t>
            </w:r>
          </w:hyperlink>
        </w:p>
        <w:p>
          <w:pPr>
            <w:pStyle w:val="Contents4"/>
            <w:tabs>
              <w:tab w:val="clear" w:pos="8176"/>
              <w:tab w:val="right" w:pos="9026" w:leader="dot"/>
            </w:tabs>
            <w:rPr/>
          </w:pPr>
          <w:hyperlink w:anchor="__RefHeading___Toc7830019_1280447820">
            <w:r>
              <w:rPr>
                <w:webHidden/>
                <w:rStyle w:val="IndexLink"/>
                <w:rtl w:val="true"/>
              </w:rPr>
              <w:t>مسألةٌ في إبطالِ أحدِ الأدلَّةِ على كونِ الصِّفةِ بالفاعلِ‌</w:t>
            </w:r>
            <w:r>
              <w:rPr>
                <w:rStyle w:val="IndexLink"/>
                <w:rtl w:val="true"/>
              </w:rPr>
              <w:tab/>
            </w:r>
            <w:r>
              <w:rPr>
                <w:rStyle w:val="IndexLink"/>
              </w:rPr>
              <w:t>95</w:t>
            </w:r>
          </w:hyperlink>
        </w:p>
        <w:p>
          <w:pPr>
            <w:pStyle w:val="Contents3"/>
            <w:tabs>
              <w:tab w:val="clear" w:pos="8459"/>
              <w:tab w:val="right" w:pos="9026" w:leader="dot"/>
            </w:tabs>
            <w:rPr/>
          </w:pPr>
          <w:hyperlink w:anchor="__RefHeading___Toc7830021_1280447820">
            <w:r>
              <w:rPr>
                <w:webHidden/>
                <w:rStyle w:val="IndexLink"/>
                <w:rtl w:val="true"/>
              </w:rPr>
              <w:t>(</w:t>
            </w:r>
            <w:r>
              <w:rPr>
                <w:rStyle w:val="IndexLink"/>
              </w:rPr>
              <w:t>45</w:t>
            </w:r>
            <w:r>
              <w:rPr>
                <w:rStyle w:val="IndexLink"/>
                <w:rtl w:val="true"/>
              </w:rPr>
              <w:t xml:space="preserve">) </w:t>
            </w:r>
            <w:r>
              <w:rPr>
                <w:rStyle w:val="IndexLink"/>
                <w:rtl w:val="true"/>
              </w:rPr>
              <w:t>مسألةٌ في مناقَشةِ الدليلِ علىٰ أنَّ الجوهرَ ليس محدَثاً بمعنىً‌</w:t>
            </w:r>
            <w:r>
              <w:rPr>
                <w:rStyle w:val="IndexLink"/>
                <w:rtl w:val="true"/>
              </w:rPr>
              <w:tab/>
            </w:r>
            <w:r>
              <w:rPr>
                <w:rStyle w:val="IndexLink"/>
              </w:rPr>
              <w:t>99</w:t>
            </w:r>
          </w:hyperlink>
        </w:p>
        <w:p>
          <w:pPr>
            <w:pStyle w:val="Contents4"/>
            <w:tabs>
              <w:tab w:val="clear" w:pos="8176"/>
              <w:tab w:val="right" w:pos="9026" w:leader="dot"/>
            </w:tabs>
            <w:rPr/>
          </w:pPr>
          <w:hyperlink w:anchor="__RefHeading___Toc7830023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7830025_1280447820">
            <w:r>
              <w:rPr>
                <w:webHidden/>
                <w:rStyle w:val="IndexLink"/>
                <w:rtl w:val="true"/>
              </w:rPr>
              <w:t>مقدّمة التحقيق</w:t>
            </w:r>
            <w:r>
              <w:rPr>
                <w:rStyle w:val="IndexLink"/>
                <w:rtl w:val="true"/>
              </w:rPr>
              <w:tab/>
            </w:r>
            <w:r>
              <w:rPr>
                <w:rStyle w:val="IndexLink"/>
              </w:rPr>
              <w:t>101</w:t>
            </w:r>
          </w:hyperlink>
        </w:p>
        <w:p>
          <w:pPr>
            <w:pStyle w:val="Contents5"/>
            <w:tabs>
              <w:tab w:val="clear" w:pos="7892"/>
              <w:tab w:val="right" w:pos="9026" w:leader="dot"/>
            </w:tabs>
            <w:rPr/>
          </w:pPr>
          <w:hyperlink w:anchor="__RefHeading___Toc7830027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7830029_1280447820">
            <w:r>
              <w:rPr>
                <w:webHidden/>
                <w:rStyle w:val="IndexLink"/>
                <w:rtl w:val="true"/>
              </w:rPr>
              <w:t>عنوان الرسالة</w:t>
            </w:r>
            <w:r>
              <w:rPr>
                <w:rStyle w:val="IndexLink"/>
                <w:rtl w:val="true"/>
              </w:rPr>
              <w:tab/>
            </w:r>
            <w:r>
              <w:rPr>
                <w:rStyle w:val="IndexLink"/>
              </w:rPr>
              <w:t>102</w:t>
            </w:r>
          </w:hyperlink>
        </w:p>
        <w:p>
          <w:pPr>
            <w:pStyle w:val="Contents5"/>
            <w:tabs>
              <w:tab w:val="clear" w:pos="7892"/>
              <w:tab w:val="right" w:pos="9026" w:leader="dot"/>
            </w:tabs>
            <w:rPr/>
          </w:pPr>
          <w:hyperlink w:anchor="__RefHeading___Toc7830031_1280447820">
            <w:r>
              <w:rPr>
                <w:webHidden/>
                <w:rStyle w:val="IndexLink"/>
                <w:rtl w:val="true"/>
              </w:rPr>
              <w:t>مخطوطات الرسالة</w:t>
            </w:r>
            <w:r>
              <w:rPr>
                <w:rStyle w:val="IndexLink"/>
                <w:rtl w:val="true"/>
              </w:rPr>
              <w:tab/>
            </w:r>
            <w:r>
              <w:rPr>
                <w:rStyle w:val="IndexLink"/>
              </w:rPr>
              <w:t>103</w:t>
            </w:r>
          </w:hyperlink>
        </w:p>
        <w:p>
          <w:pPr>
            <w:pStyle w:val="Contents4"/>
            <w:tabs>
              <w:tab w:val="clear" w:pos="8176"/>
              <w:tab w:val="right" w:pos="9026" w:leader="dot"/>
            </w:tabs>
            <w:rPr/>
          </w:pPr>
          <w:hyperlink w:anchor="__RefHeading___Toc7830033_1280447820">
            <w:r>
              <w:rPr>
                <w:webHidden/>
                <w:rStyle w:val="IndexLink"/>
                <w:rtl w:val="true"/>
              </w:rPr>
              <w:t>مسألةٌ في مناقَشةِ الدليلِ علىٰ أنَّ الجوهرَ ليس محدَثاً بمعنىً‌</w:t>
            </w:r>
            <w:r>
              <w:rPr>
                <w:rStyle w:val="IndexLink"/>
                <w:rtl w:val="true"/>
              </w:rPr>
              <w:tab/>
            </w:r>
            <w:r>
              <w:rPr>
                <w:rStyle w:val="IndexLink"/>
              </w:rPr>
              <w:t>105</w:t>
            </w:r>
          </w:hyperlink>
        </w:p>
        <w:p>
          <w:pPr>
            <w:pStyle w:val="Contents3"/>
            <w:tabs>
              <w:tab w:val="clear" w:pos="8459"/>
              <w:tab w:val="right" w:pos="9026" w:leader="dot"/>
            </w:tabs>
            <w:rPr/>
          </w:pPr>
          <w:hyperlink w:anchor="__RefHeading___Toc7830035_1280447820">
            <w:r>
              <w:rPr>
                <w:webHidden/>
                <w:rStyle w:val="IndexLink"/>
                <w:rtl w:val="true"/>
              </w:rPr>
              <w:t>(</w:t>
            </w:r>
            <w:r>
              <w:rPr>
                <w:rStyle w:val="IndexLink"/>
              </w:rPr>
              <w:t>46</w:t>
            </w:r>
            <w:r>
              <w:rPr>
                <w:rStyle w:val="IndexLink"/>
                <w:rtl w:val="true"/>
              </w:rPr>
              <w:t xml:space="preserve">) </w:t>
            </w:r>
            <w:r>
              <w:rPr>
                <w:rStyle w:val="IndexLink"/>
                <w:rtl w:val="true"/>
              </w:rPr>
              <w:t>مسألةٌ في وجِه المناسَبةِ بَينَ الأفعالِ الشرعيّةِ و ما هي لُطفٌ فيه</w:t>
            </w:r>
            <w:r>
              <w:rPr>
                <w:rStyle w:val="IndexLink"/>
                <w:rtl w:val="true"/>
              </w:rPr>
              <w:tab/>
            </w:r>
            <w:r>
              <w:rPr>
                <w:rStyle w:val="IndexLink"/>
              </w:rPr>
              <w:t>107</w:t>
            </w:r>
          </w:hyperlink>
        </w:p>
        <w:p>
          <w:pPr>
            <w:pStyle w:val="Contents4"/>
            <w:tabs>
              <w:tab w:val="clear" w:pos="8176"/>
              <w:tab w:val="right" w:pos="9026" w:leader="dot"/>
            </w:tabs>
            <w:rPr/>
          </w:pPr>
          <w:hyperlink w:anchor="__RefHeading___Toc7830037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7830039_1280447820">
            <w:r>
              <w:rPr>
                <w:webHidden/>
                <w:rStyle w:val="IndexLink"/>
                <w:rtl w:val="true"/>
              </w:rPr>
              <w:t>مقدّمة التحقيق</w:t>
            </w:r>
            <w:r>
              <w:rPr>
                <w:rStyle w:val="IndexLink"/>
                <w:rtl w:val="true"/>
              </w:rPr>
              <w:tab/>
            </w:r>
            <w:r>
              <w:rPr>
                <w:rStyle w:val="IndexLink"/>
              </w:rPr>
              <w:t>109</w:t>
            </w:r>
          </w:hyperlink>
        </w:p>
        <w:p>
          <w:pPr>
            <w:pStyle w:val="Contents5"/>
            <w:tabs>
              <w:tab w:val="clear" w:pos="7892"/>
              <w:tab w:val="right" w:pos="9026" w:leader="dot"/>
            </w:tabs>
            <w:rPr/>
          </w:pPr>
          <w:hyperlink w:anchor="__RefHeading___Toc7830041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7830043_1280447820">
            <w:r>
              <w:rPr>
                <w:webHidden/>
                <w:rStyle w:val="IndexLink"/>
                <w:rtl w:val="true"/>
              </w:rPr>
              <w:t>عنوان الرسالة</w:t>
            </w:r>
            <w:r>
              <w:rPr>
                <w:rStyle w:val="IndexLink"/>
                <w:rtl w:val="true"/>
              </w:rPr>
              <w:tab/>
            </w:r>
            <w:r>
              <w:rPr>
                <w:rStyle w:val="IndexLink"/>
              </w:rPr>
              <w:t>110</w:t>
            </w:r>
          </w:hyperlink>
        </w:p>
        <w:p>
          <w:pPr>
            <w:pStyle w:val="Contents5"/>
            <w:tabs>
              <w:tab w:val="clear" w:pos="7892"/>
              <w:tab w:val="right" w:pos="9026" w:leader="dot"/>
            </w:tabs>
            <w:rPr/>
          </w:pPr>
          <w:hyperlink w:anchor="__RefHeading___Toc7830045_1280447820">
            <w:r>
              <w:rPr>
                <w:webHidden/>
                <w:rStyle w:val="IndexLink"/>
                <w:rtl w:val="true"/>
              </w:rPr>
              <w:t>مخطوطات الرسالة</w:t>
            </w:r>
            <w:r>
              <w:rPr>
                <w:rStyle w:val="IndexLink"/>
                <w:rtl w:val="true"/>
              </w:rPr>
              <w:tab/>
            </w:r>
            <w:r>
              <w:rPr>
                <w:rStyle w:val="IndexLink"/>
              </w:rPr>
              <w:t>111</w:t>
            </w:r>
          </w:hyperlink>
        </w:p>
        <w:p>
          <w:pPr>
            <w:pStyle w:val="Contents4"/>
            <w:tabs>
              <w:tab w:val="clear" w:pos="8176"/>
              <w:tab w:val="right" w:pos="9026" w:leader="dot"/>
            </w:tabs>
            <w:rPr/>
          </w:pPr>
          <w:hyperlink w:anchor="__RefHeading___Toc7830047_1280447820">
            <w:r>
              <w:rPr>
                <w:webHidden/>
                <w:rStyle w:val="IndexLink"/>
                <w:rtl w:val="true"/>
              </w:rPr>
              <w:t>مسألةٌ في وجِه المناسَبةِ بَينَ الأفعالِ الشرعيّةِ و ما هي لُطفٌ فيه</w:t>
            </w:r>
            <w:r>
              <w:rPr>
                <w:rStyle w:val="IndexLink"/>
                <w:rtl w:val="true"/>
              </w:rPr>
              <w:tab/>
            </w:r>
            <w:r>
              <w:rPr>
                <w:rStyle w:val="IndexLink"/>
              </w:rPr>
              <w:t>113</w:t>
            </w:r>
          </w:hyperlink>
        </w:p>
        <w:p>
          <w:pPr>
            <w:pStyle w:val="Contents3"/>
            <w:tabs>
              <w:tab w:val="clear" w:pos="8459"/>
              <w:tab w:val="right" w:pos="9026" w:leader="dot"/>
            </w:tabs>
            <w:rPr/>
          </w:pPr>
          <w:hyperlink w:anchor="__RefHeading___Toc7830049_1280447820">
            <w:r>
              <w:rPr>
                <w:webHidden/>
                <w:rStyle w:val="IndexLink"/>
                <w:rtl w:val="true"/>
              </w:rPr>
              <w:t>(</w:t>
            </w:r>
            <w:r>
              <w:rPr>
                <w:rStyle w:val="IndexLink"/>
              </w:rPr>
              <w:t>47</w:t>
            </w:r>
            <w:r>
              <w:rPr>
                <w:rStyle w:val="IndexLink"/>
                <w:rtl w:val="true"/>
              </w:rPr>
              <w:t xml:space="preserve">) </w:t>
            </w:r>
            <w:r>
              <w:rPr>
                <w:rStyle w:val="IndexLink"/>
                <w:rtl w:val="true"/>
              </w:rPr>
              <w:t>مسألةٌ في بَيانِ أحكامِ أهلِ الآخِرةِ‌</w:t>
            </w:r>
            <w:r>
              <w:rPr>
                <w:rStyle w:val="IndexLink"/>
                <w:rtl w:val="true"/>
              </w:rPr>
              <w:tab/>
            </w:r>
            <w:r>
              <w:rPr>
                <w:rStyle w:val="IndexLink"/>
              </w:rPr>
              <w:t>117</w:t>
            </w:r>
          </w:hyperlink>
        </w:p>
        <w:p>
          <w:pPr>
            <w:pStyle w:val="Contents4"/>
            <w:tabs>
              <w:tab w:val="clear" w:pos="8176"/>
              <w:tab w:val="right" w:pos="9026" w:leader="dot"/>
            </w:tabs>
            <w:rPr/>
          </w:pPr>
          <w:hyperlink w:anchor="__RefHeading___Toc7830051_128044782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7830053_1280447820">
            <w:r>
              <w:rPr>
                <w:webHidden/>
                <w:rStyle w:val="IndexLink"/>
                <w:rtl w:val="true"/>
              </w:rPr>
              <w:t>مقدّمة التحقيق</w:t>
            </w:r>
            <w:r>
              <w:rPr>
                <w:rStyle w:val="IndexLink"/>
                <w:rtl w:val="true"/>
              </w:rPr>
              <w:tab/>
            </w:r>
            <w:r>
              <w:rPr>
                <w:rStyle w:val="IndexLink"/>
              </w:rPr>
              <w:t>119</w:t>
            </w:r>
          </w:hyperlink>
        </w:p>
        <w:p>
          <w:pPr>
            <w:pStyle w:val="Contents5"/>
            <w:tabs>
              <w:tab w:val="clear" w:pos="7892"/>
              <w:tab w:val="right" w:pos="9026" w:leader="dot"/>
            </w:tabs>
            <w:rPr/>
          </w:pPr>
          <w:hyperlink w:anchor="__RefHeading___Toc7830055_12804478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7830057_1280447820">
            <w:r>
              <w:rPr>
                <w:webHidden/>
                <w:rStyle w:val="IndexLink"/>
                <w:rtl w:val="true"/>
              </w:rPr>
              <w:t>محتوى الرسالة</w:t>
            </w:r>
            <w:r>
              <w:rPr>
                <w:rStyle w:val="IndexLink"/>
                <w:rtl w:val="true"/>
              </w:rPr>
              <w:tab/>
            </w:r>
            <w:r>
              <w:rPr>
                <w:rStyle w:val="IndexLink"/>
              </w:rPr>
              <w:t>119</w:t>
            </w:r>
          </w:hyperlink>
        </w:p>
        <w:p>
          <w:pPr>
            <w:pStyle w:val="Contents5"/>
            <w:tabs>
              <w:tab w:val="clear" w:pos="7892"/>
              <w:tab w:val="right" w:pos="9026" w:leader="dot"/>
            </w:tabs>
            <w:rPr/>
          </w:pPr>
          <w:hyperlink w:anchor="__RefHeading___Toc7830059_1280447820">
            <w:r>
              <w:rPr>
                <w:webHidden/>
                <w:rStyle w:val="IndexLink"/>
                <w:rtl w:val="true"/>
              </w:rPr>
              <w:t>نسبة الرسالة</w:t>
            </w:r>
            <w:r>
              <w:rPr>
                <w:rStyle w:val="IndexLink"/>
                <w:rtl w:val="true"/>
              </w:rPr>
              <w:tab/>
            </w:r>
            <w:r>
              <w:rPr>
                <w:rStyle w:val="IndexLink"/>
              </w:rPr>
              <w:t>123</w:t>
            </w:r>
          </w:hyperlink>
        </w:p>
        <w:p>
          <w:pPr>
            <w:pStyle w:val="Contents5"/>
            <w:tabs>
              <w:tab w:val="clear" w:pos="7892"/>
              <w:tab w:val="right" w:pos="9026" w:leader="dot"/>
            </w:tabs>
            <w:rPr/>
          </w:pPr>
          <w:hyperlink w:anchor="__RefHeading___Toc7830061_1280447820">
            <w:r>
              <w:rPr>
                <w:webHidden/>
                <w:rStyle w:val="IndexLink"/>
                <w:rtl w:val="true"/>
              </w:rPr>
              <w:t>مخطوطات الرسالة</w:t>
            </w:r>
            <w:r>
              <w:rPr>
                <w:rStyle w:val="IndexLink"/>
                <w:rtl w:val="true"/>
              </w:rPr>
              <w:tab/>
            </w:r>
            <w:r>
              <w:rPr>
                <w:rStyle w:val="IndexLink"/>
              </w:rPr>
              <w:t>124</w:t>
            </w:r>
          </w:hyperlink>
        </w:p>
        <w:p>
          <w:pPr>
            <w:pStyle w:val="Contents6"/>
            <w:tabs>
              <w:tab w:val="clear" w:pos="7609"/>
              <w:tab w:val="right" w:pos="9026" w:leader="dot"/>
            </w:tabs>
            <w:rPr/>
          </w:pPr>
          <w:hyperlink w:anchor="__RefHeading___Toc7830063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124</w:t>
            </w:r>
          </w:hyperlink>
        </w:p>
        <w:p>
          <w:pPr>
            <w:pStyle w:val="Contents6"/>
            <w:tabs>
              <w:tab w:val="clear" w:pos="7609"/>
              <w:tab w:val="right" w:pos="9026" w:leader="dot"/>
            </w:tabs>
            <w:rPr/>
          </w:pPr>
          <w:hyperlink w:anchor="__RefHeading___Toc7830065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124</w:t>
            </w:r>
          </w:hyperlink>
        </w:p>
        <w:p>
          <w:pPr>
            <w:pStyle w:val="Contents4"/>
            <w:tabs>
              <w:tab w:val="clear" w:pos="8176"/>
              <w:tab w:val="right" w:pos="9026" w:leader="dot"/>
            </w:tabs>
            <w:rPr/>
          </w:pPr>
          <w:hyperlink w:anchor="__RefHeading___Toc7830067_1280447820">
            <w:r>
              <w:rPr>
                <w:webHidden/>
                <w:rStyle w:val="IndexLink"/>
                <w:rtl w:val="true"/>
              </w:rPr>
              <w:t>مسألةٌ في بَيانِ‌ أحكامِ أهلِ الآخِرةِ‌</w:t>
            </w:r>
            <w:r>
              <w:rPr>
                <w:rStyle w:val="IndexLink"/>
                <w:rtl w:val="true"/>
              </w:rPr>
              <w:tab/>
            </w:r>
            <w:r>
              <w:rPr>
                <w:rStyle w:val="IndexLink"/>
              </w:rPr>
              <w:t>127</w:t>
            </w:r>
          </w:hyperlink>
        </w:p>
        <w:p>
          <w:pPr>
            <w:pStyle w:val="Contents5"/>
            <w:tabs>
              <w:tab w:val="clear" w:pos="7892"/>
              <w:tab w:val="right" w:pos="9026" w:leader="dot"/>
            </w:tabs>
            <w:rPr/>
          </w:pPr>
          <w:hyperlink w:anchor="__RefHeading___Toc7830069_128044782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7830071_1280447820">
            <w:r>
              <w:rPr>
                <w:webHidden/>
                <w:rStyle w:val="IndexLink"/>
                <w:rtl w:val="true"/>
              </w:rPr>
              <w:t>في بيان سقوط التكليف عن أهل الآخرة</w:t>
            </w:r>
            <w:r>
              <w:rPr>
                <w:rStyle w:val="IndexLink"/>
                <w:rtl w:val="true"/>
              </w:rPr>
              <w:tab/>
            </w:r>
            <w:r>
              <w:rPr>
                <w:rStyle w:val="IndexLink"/>
              </w:rPr>
              <w:t>128</w:t>
            </w:r>
          </w:hyperlink>
        </w:p>
        <w:p>
          <w:pPr>
            <w:pStyle w:val="Contents5"/>
            <w:tabs>
              <w:tab w:val="clear" w:pos="7892"/>
              <w:tab w:val="right" w:pos="9026" w:leader="dot"/>
            </w:tabs>
            <w:rPr/>
          </w:pPr>
          <w:hyperlink w:anchor="__RefHeading___Toc7830073_1280447820">
            <w:r>
              <w:rPr>
                <w:webHidden/>
                <w:rStyle w:val="IndexLink"/>
                <w:rtl w:val="true"/>
              </w:rPr>
              <w:t>في بيان أنّ معارف أهل الآخرة ضروريّة</w:t>
            </w:r>
            <w:r>
              <w:rPr>
                <w:rStyle w:val="IndexLink"/>
                <w:rtl w:val="true"/>
              </w:rPr>
              <w:tab/>
            </w:r>
            <w:r>
              <w:rPr>
                <w:rStyle w:val="IndexLink"/>
              </w:rPr>
              <w:t>129</w:t>
            </w:r>
          </w:hyperlink>
        </w:p>
        <w:p>
          <w:pPr>
            <w:pStyle w:val="Contents5"/>
            <w:tabs>
              <w:tab w:val="clear" w:pos="7892"/>
              <w:tab w:val="right" w:pos="9026" w:leader="dot"/>
            </w:tabs>
            <w:rPr/>
          </w:pPr>
          <w:hyperlink w:anchor="__RefHeading___Toc7830075_1280447820">
            <w:r>
              <w:rPr>
                <w:webHidden/>
                <w:rStyle w:val="IndexLink"/>
                <w:rtl w:val="true"/>
              </w:rPr>
              <w:t>أفعال أهل الآخرة</w:t>
            </w:r>
            <w:r>
              <w:rPr>
                <w:rStyle w:val="IndexLink"/>
                <w:rtl w:val="true"/>
              </w:rPr>
              <w:tab/>
            </w:r>
            <w:r>
              <w:rPr>
                <w:rStyle w:val="IndexLink"/>
              </w:rPr>
              <w:t>136</w:t>
            </w:r>
          </w:hyperlink>
        </w:p>
        <w:p>
          <w:pPr>
            <w:pStyle w:val="Contents3"/>
            <w:tabs>
              <w:tab w:val="clear" w:pos="8459"/>
              <w:tab w:val="right" w:pos="9026" w:leader="dot"/>
            </w:tabs>
            <w:rPr/>
          </w:pPr>
          <w:hyperlink w:anchor="__RefHeading___Toc7830077_1280447820">
            <w:r>
              <w:rPr>
                <w:webHidden/>
                <w:rStyle w:val="IndexLink"/>
                <w:rtl w:val="true"/>
              </w:rPr>
              <w:t>(</w:t>
            </w:r>
            <w:r>
              <w:rPr>
                <w:rStyle w:val="IndexLink"/>
              </w:rPr>
              <w:t>48</w:t>
            </w:r>
            <w:r>
              <w:rPr>
                <w:rStyle w:val="IndexLink"/>
                <w:rtl w:val="true"/>
              </w:rPr>
              <w:t xml:space="preserve">) </w:t>
            </w:r>
            <w:r>
              <w:rPr>
                <w:rStyle w:val="IndexLink"/>
                <w:rtl w:val="true"/>
              </w:rPr>
              <w:t>مُناظَرةُ أبي العَلاءِ المَعَرّيِّ مع الشريفِ المرتضى</w:t>
            </w:r>
            <w:r>
              <w:rPr>
                <w:rStyle w:val="IndexLink"/>
                <w:rtl w:val="true"/>
              </w:rPr>
              <w:tab/>
            </w:r>
            <w:r>
              <w:rPr>
                <w:rStyle w:val="IndexLink"/>
              </w:rPr>
              <w:t>139</w:t>
            </w:r>
          </w:hyperlink>
        </w:p>
        <w:p>
          <w:pPr>
            <w:pStyle w:val="Contents4"/>
            <w:tabs>
              <w:tab w:val="clear" w:pos="8176"/>
              <w:tab w:val="right" w:pos="9026" w:leader="dot"/>
            </w:tabs>
            <w:rPr/>
          </w:pPr>
          <w:hyperlink w:anchor="__RefHeading___Toc7830079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7830081_1280447820">
            <w:r>
              <w:rPr>
                <w:webHidden/>
                <w:rStyle w:val="IndexLink"/>
                <w:rtl w:val="true"/>
              </w:rPr>
              <w:t>مقدّمة التحقيق</w:t>
            </w:r>
            <w:r>
              <w:rPr>
                <w:rStyle w:val="IndexLink"/>
                <w:rtl w:val="true"/>
              </w:rPr>
              <w:tab/>
            </w:r>
            <w:r>
              <w:rPr>
                <w:rStyle w:val="IndexLink"/>
              </w:rPr>
              <w:t>141</w:t>
            </w:r>
          </w:hyperlink>
        </w:p>
        <w:p>
          <w:pPr>
            <w:pStyle w:val="Contents5"/>
            <w:tabs>
              <w:tab w:val="clear" w:pos="7892"/>
              <w:tab w:val="right" w:pos="9026" w:leader="dot"/>
            </w:tabs>
            <w:rPr/>
          </w:pPr>
          <w:hyperlink w:anchor="__RefHeading___Toc7830083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7830085_1280447820">
            <w:r>
              <w:rPr>
                <w:webHidden/>
                <w:rStyle w:val="IndexLink"/>
                <w:rtl w:val="true"/>
              </w:rPr>
              <w:t>نسبتها إلى المؤلّف</w:t>
            </w:r>
            <w:r>
              <w:rPr>
                <w:rStyle w:val="IndexLink"/>
                <w:rtl w:val="true"/>
              </w:rPr>
              <w:tab/>
            </w:r>
            <w:r>
              <w:rPr>
                <w:rStyle w:val="IndexLink"/>
              </w:rPr>
              <w:t>142</w:t>
            </w:r>
          </w:hyperlink>
        </w:p>
        <w:p>
          <w:pPr>
            <w:pStyle w:val="Contents5"/>
            <w:tabs>
              <w:tab w:val="clear" w:pos="7892"/>
              <w:tab w:val="right" w:pos="9026" w:leader="dot"/>
            </w:tabs>
            <w:rPr/>
          </w:pPr>
          <w:hyperlink w:anchor="__RefHeading___Toc7830087_1280447820">
            <w:r>
              <w:rPr>
                <w:webHidden/>
                <w:rStyle w:val="IndexLink"/>
                <w:rtl w:val="true"/>
              </w:rPr>
              <w:t>مخطوطات الرسالة</w:t>
            </w:r>
            <w:r>
              <w:rPr>
                <w:rStyle w:val="IndexLink"/>
                <w:rtl w:val="true"/>
              </w:rPr>
              <w:tab/>
            </w:r>
            <w:r>
              <w:rPr>
                <w:rStyle w:val="IndexLink"/>
              </w:rPr>
              <w:t>145</w:t>
            </w:r>
          </w:hyperlink>
        </w:p>
        <w:p>
          <w:pPr>
            <w:pStyle w:val="Contents4"/>
            <w:tabs>
              <w:tab w:val="clear" w:pos="8176"/>
              <w:tab w:val="right" w:pos="9026" w:leader="dot"/>
            </w:tabs>
            <w:rPr/>
          </w:pPr>
          <w:hyperlink w:anchor="__RefHeading___Toc7830089_1280447820">
            <w:r>
              <w:rPr>
                <w:webHidden/>
                <w:rStyle w:val="IndexLink"/>
                <w:rtl w:val="true"/>
              </w:rPr>
              <w:t>مُناظَرةُ أبي العَلاءِ المَعَرّيِّ مع الشريفِ المرتضى</w:t>
            </w:r>
            <w:r>
              <w:rPr>
                <w:rStyle w:val="IndexLink"/>
                <w:rtl w:val="true"/>
              </w:rPr>
              <w:tab/>
            </w:r>
            <w:r>
              <w:rPr>
                <w:rStyle w:val="IndexLink"/>
              </w:rPr>
              <w:t>147</w:t>
            </w:r>
          </w:hyperlink>
        </w:p>
        <w:p>
          <w:pPr>
            <w:pStyle w:val="Contents5"/>
            <w:tabs>
              <w:tab w:val="clear" w:pos="7892"/>
              <w:tab w:val="right" w:pos="9026" w:leader="dot"/>
            </w:tabs>
            <w:rPr/>
          </w:pPr>
          <w:hyperlink w:anchor="__RefHeading___Toc7830091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7830093_1280447820">
            <w:r>
              <w:rPr>
                <w:webHidden/>
                <w:rStyle w:val="IndexLink"/>
                <w:rtl w:val="true"/>
              </w:rPr>
              <w:t>نصّ المناظرة</w:t>
            </w:r>
            <w:r>
              <w:rPr>
                <w:rStyle w:val="IndexLink"/>
                <w:rtl w:val="true"/>
              </w:rPr>
              <w:tab/>
            </w:r>
            <w:r>
              <w:rPr>
                <w:rStyle w:val="IndexLink"/>
              </w:rPr>
              <w:t>147</w:t>
            </w:r>
          </w:hyperlink>
        </w:p>
        <w:p>
          <w:pPr>
            <w:pStyle w:val="Contents5"/>
            <w:tabs>
              <w:tab w:val="clear" w:pos="7892"/>
              <w:tab w:val="right" w:pos="9026" w:leader="dot"/>
            </w:tabs>
            <w:rPr/>
          </w:pPr>
          <w:hyperlink w:anchor="__RefHeading___Toc7830095_1280447820">
            <w:r>
              <w:rPr>
                <w:webHidden/>
                <w:rStyle w:val="IndexLink"/>
                <w:rtl w:val="true"/>
              </w:rPr>
              <w:t>شرح الشريف المرتضى للمناظرة</w:t>
            </w:r>
            <w:r>
              <w:rPr>
                <w:rStyle w:val="IndexLink"/>
                <w:rtl w:val="true"/>
              </w:rPr>
              <w:tab/>
            </w:r>
            <w:r>
              <w:rPr>
                <w:rStyle w:val="IndexLink"/>
              </w:rPr>
              <w:t>150</w:t>
            </w:r>
          </w:hyperlink>
        </w:p>
        <w:p>
          <w:pPr>
            <w:pStyle w:val="Contents3"/>
            <w:tabs>
              <w:tab w:val="clear" w:pos="8459"/>
              <w:tab w:val="right" w:pos="9026" w:leader="dot"/>
            </w:tabs>
            <w:rPr/>
          </w:pPr>
          <w:hyperlink w:anchor="__RefHeading___Toc7830097_1280447820">
            <w:r>
              <w:rPr>
                <w:webHidden/>
                <w:rStyle w:val="IndexLink"/>
                <w:rtl w:val="true"/>
              </w:rPr>
              <w:t>(</w:t>
            </w:r>
            <w:r>
              <w:rPr>
                <w:rStyle w:val="IndexLink"/>
              </w:rPr>
              <w:t>49</w:t>
            </w:r>
            <w:r>
              <w:rPr>
                <w:rStyle w:val="IndexLink"/>
                <w:rtl w:val="true"/>
              </w:rPr>
              <w:t xml:space="preserve">) </w:t>
            </w:r>
            <w:r>
              <w:rPr>
                <w:rStyle w:val="IndexLink"/>
                <w:rtl w:val="true"/>
              </w:rPr>
              <w:t>المسائِلُ المقدَّسيّاتُ‌</w:t>
            </w:r>
            <w:r>
              <w:rPr>
                <w:rStyle w:val="IndexLink"/>
                <w:rtl w:val="true"/>
              </w:rPr>
              <w:tab/>
            </w:r>
            <w:r>
              <w:rPr>
                <w:rStyle w:val="IndexLink"/>
              </w:rPr>
              <w:t>157</w:t>
            </w:r>
          </w:hyperlink>
        </w:p>
        <w:p>
          <w:pPr>
            <w:pStyle w:val="Contents4"/>
            <w:tabs>
              <w:tab w:val="clear" w:pos="8176"/>
              <w:tab w:val="right" w:pos="9026" w:leader="dot"/>
            </w:tabs>
            <w:rPr/>
          </w:pPr>
          <w:hyperlink w:anchor="__RefHeading___Toc7830099_128044782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7830101_1280447820">
            <w:r>
              <w:rPr>
                <w:webHidden/>
                <w:rStyle w:val="IndexLink"/>
                <w:rtl w:val="true"/>
              </w:rPr>
              <w:t>مقدّمة التحقيق</w:t>
            </w:r>
            <w:r>
              <w:rPr>
                <w:rStyle w:val="IndexLink"/>
                <w:rtl w:val="true"/>
              </w:rPr>
              <w:tab/>
            </w:r>
            <w:r>
              <w:rPr>
                <w:rStyle w:val="IndexLink"/>
              </w:rPr>
              <w:t>159</w:t>
            </w:r>
          </w:hyperlink>
        </w:p>
        <w:p>
          <w:pPr>
            <w:pStyle w:val="Contents5"/>
            <w:tabs>
              <w:tab w:val="clear" w:pos="7892"/>
              <w:tab w:val="right" w:pos="9026" w:leader="dot"/>
            </w:tabs>
            <w:rPr/>
          </w:pPr>
          <w:hyperlink w:anchor="__RefHeading___Toc7830103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7830105_1280447820">
            <w:r>
              <w:rPr>
                <w:webHidden/>
                <w:rStyle w:val="IndexLink"/>
                <w:rtl w:val="true"/>
              </w:rPr>
              <w:t>مخطوطات الرسالة</w:t>
            </w:r>
            <w:r>
              <w:rPr>
                <w:rStyle w:val="IndexLink"/>
                <w:rtl w:val="true"/>
              </w:rPr>
              <w:tab/>
            </w:r>
            <w:r>
              <w:rPr>
                <w:rStyle w:val="IndexLink"/>
              </w:rPr>
              <w:t>163</w:t>
            </w:r>
          </w:hyperlink>
        </w:p>
        <w:p>
          <w:pPr>
            <w:pStyle w:val="Contents4"/>
            <w:tabs>
              <w:tab w:val="clear" w:pos="8176"/>
              <w:tab w:val="right" w:pos="9026" w:leader="dot"/>
            </w:tabs>
            <w:rPr/>
          </w:pPr>
          <w:hyperlink w:anchor="__RefHeading___Toc7830107_1280447820">
            <w:r>
              <w:rPr>
                <w:webHidden/>
                <w:rStyle w:val="IndexLink"/>
                <w:rtl w:val="true"/>
              </w:rPr>
              <w:t>المسائِلُ المقدَّسيّاتُ‌</w:t>
            </w:r>
            <w:r>
              <w:rPr>
                <w:rStyle w:val="IndexLink"/>
                <w:rtl w:val="true"/>
              </w:rPr>
              <w:tab/>
            </w:r>
            <w:r>
              <w:rPr>
                <w:rStyle w:val="IndexLink"/>
              </w:rPr>
              <w:t>165</w:t>
            </w:r>
          </w:hyperlink>
        </w:p>
        <w:p>
          <w:pPr>
            <w:pStyle w:val="Contents5"/>
            <w:tabs>
              <w:tab w:val="clear" w:pos="7892"/>
              <w:tab w:val="right" w:pos="9026" w:leader="dot"/>
            </w:tabs>
            <w:rPr/>
          </w:pPr>
          <w:hyperlink w:anchor="__RefHeading___Toc7830109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7830111_1280447820">
            <w:r>
              <w:rPr>
                <w:webHidden/>
                <w:rStyle w:val="IndexLink"/>
                <w:rtl w:val="true"/>
              </w:rPr>
              <w:t>و مِن المَسائلِ المُقدَّسِيّاتِ‌</w:t>
            </w:r>
            <w:r>
              <w:rPr>
                <w:rStyle w:val="IndexLink"/>
                <w:rtl w:val="true"/>
              </w:rPr>
              <w:tab/>
            </w:r>
            <w:r>
              <w:rPr>
                <w:rStyle w:val="IndexLink"/>
              </w:rPr>
              <w:t>165</w:t>
            </w:r>
          </w:hyperlink>
        </w:p>
        <w:p>
          <w:pPr>
            <w:pStyle w:val="Contents3"/>
            <w:tabs>
              <w:tab w:val="clear" w:pos="8459"/>
              <w:tab w:val="right" w:pos="9026" w:leader="dot"/>
            </w:tabs>
            <w:rPr/>
          </w:pPr>
          <w:hyperlink w:anchor="__RefHeading___Toc7830113_1280447820">
            <w:r>
              <w:rPr>
                <w:webHidden/>
                <w:rStyle w:val="IndexLink"/>
                <w:rtl w:val="true"/>
              </w:rPr>
              <w:t>(</w:t>
            </w:r>
            <w:r>
              <w:rPr>
                <w:rStyle w:val="IndexLink"/>
              </w:rPr>
              <w:t>50</w:t>
            </w:r>
            <w:r>
              <w:rPr>
                <w:rStyle w:val="IndexLink"/>
                <w:rtl w:val="true"/>
              </w:rPr>
              <w:t xml:space="preserve">) </w:t>
            </w:r>
            <w:r>
              <w:rPr>
                <w:rStyle w:val="IndexLink"/>
                <w:rtl w:val="true"/>
              </w:rPr>
              <w:t>مَسألةٌ في وَجهِ العلمِ بتَناولِ الوَعيدِ كافّةَ الكفّارِ</w:t>
            </w:r>
            <w:r>
              <w:rPr>
                <w:rStyle w:val="IndexLink"/>
                <w:rtl w:val="true"/>
              </w:rPr>
              <w:tab/>
            </w:r>
            <w:r>
              <w:rPr>
                <w:rStyle w:val="IndexLink"/>
              </w:rPr>
              <w:t>169</w:t>
            </w:r>
          </w:hyperlink>
        </w:p>
        <w:p>
          <w:pPr>
            <w:pStyle w:val="Contents4"/>
            <w:tabs>
              <w:tab w:val="clear" w:pos="8176"/>
              <w:tab w:val="right" w:pos="9026" w:leader="dot"/>
            </w:tabs>
            <w:rPr/>
          </w:pPr>
          <w:hyperlink w:anchor="__RefHeading___Toc7830115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7830117_1280447820">
            <w:r>
              <w:rPr>
                <w:webHidden/>
                <w:rStyle w:val="IndexLink"/>
                <w:rtl w:val="true"/>
              </w:rPr>
              <w:t>مقدّمة التحقيق</w:t>
            </w:r>
            <w:r>
              <w:rPr>
                <w:rStyle w:val="IndexLink"/>
                <w:rtl w:val="true"/>
              </w:rPr>
              <w:tab/>
            </w:r>
            <w:r>
              <w:rPr>
                <w:rStyle w:val="IndexLink"/>
              </w:rPr>
              <w:t>171</w:t>
            </w:r>
          </w:hyperlink>
        </w:p>
        <w:p>
          <w:pPr>
            <w:pStyle w:val="Contents5"/>
            <w:tabs>
              <w:tab w:val="clear" w:pos="7892"/>
              <w:tab w:val="right" w:pos="9026" w:leader="dot"/>
            </w:tabs>
            <w:rPr/>
          </w:pPr>
          <w:hyperlink w:anchor="__RefHeading___Toc7830119_128044782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7830121_1280447820">
            <w:r>
              <w:rPr>
                <w:webHidden/>
                <w:rStyle w:val="IndexLink"/>
                <w:rtl w:val="true"/>
              </w:rPr>
              <w:t>عنوان الرسالة</w:t>
            </w:r>
            <w:r>
              <w:rPr>
                <w:rStyle w:val="IndexLink"/>
                <w:rtl w:val="true"/>
              </w:rPr>
              <w:tab/>
            </w:r>
            <w:r>
              <w:rPr>
                <w:rStyle w:val="IndexLink"/>
              </w:rPr>
              <w:t>174</w:t>
            </w:r>
          </w:hyperlink>
        </w:p>
        <w:p>
          <w:pPr>
            <w:pStyle w:val="Contents5"/>
            <w:tabs>
              <w:tab w:val="clear" w:pos="7892"/>
              <w:tab w:val="right" w:pos="9026" w:leader="dot"/>
            </w:tabs>
            <w:rPr/>
          </w:pPr>
          <w:hyperlink w:anchor="__RefHeading___Toc7830123_1280447820">
            <w:r>
              <w:rPr>
                <w:webHidden/>
                <w:rStyle w:val="IndexLink"/>
                <w:rtl w:val="true"/>
              </w:rPr>
              <w:t>مخطوطات الرسالة</w:t>
            </w:r>
            <w:r>
              <w:rPr>
                <w:rStyle w:val="IndexLink"/>
                <w:rtl w:val="true"/>
              </w:rPr>
              <w:tab/>
            </w:r>
            <w:r>
              <w:rPr>
                <w:rStyle w:val="IndexLink"/>
              </w:rPr>
              <w:t>174</w:t>
            </w:r>
          </w:hyperlink>
        </w:p>
        <w:p>
          <w:pPr>
            <w:pStyle w:val="Contents4"/>
            <w:tabs>
              <w:tab w:val="clear" w:pos="8176"/>
              <w:tab w:val="right" w:pos="9026" w:leader="dot"/>
            </w:tabs>
            <w:rPr/>
          </w:pPr>
          <w:hyperlink w:anchor="__RefHeading___Toc7830125_1280447820">
            <w:r>
              <w:rPr>
                <w:webHidden/>
                <w:rStyle w:val="IndexLink"/>
                <w:rtl w:val="true"/>
              </w:rPr>
              <w:t>مَسألةٌ في وَجهِ العلمِ بتَناولِ الوَعيدِ كافّةَ الكفّارِ</w:t>
            </w:r>
            <w:r>
              <w:rPr>
                <w:rStyle w:val="IndexLink"/>
                <w:rtl w:val="true"/>
              </w:rPr>
              <w:tab/>
            </w:r>
            <w:r>
              <w:rPr>
                <w:rStyle w:val="IndexLink"/>
              </w:rPr>
              <w:t>177</w:t>
            </w:r>
          </w:hyperlink>
        </w:p>
        <w:p>
          <w:pPr>
            <w:pStyle w:val="Contents5"/>
            <w:tabs>
              <w:tab w:val="clear" w:pos="7892"/>
              <w:tab w:val="right" w:pos="9026" w:leader="dot"/>
            </w:tabs>
            <w:rPr/>
          </w:pPr>
          <w:hyperlink w:anchor="__RefHeading___Toc7830127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7830129_1280447820">
            <w:r>
              <w:rPr>
                <w:webHidden/>
                <w:rStyle w:val="IndexLink"/>
                <w:rtl w:val="true"/>
              </w:rPr>
              <w:t>مسألةٌ‌</w:t>
            </w:r>
            <w:r>
              <w:rPr>
                <w:rStyle w:val="IndexLink"/>
                <w:rtl w:val="true"/>
              </w:rPr>
              <w:t>:</w:t>
              <w:tab/>
            </w:r>
            <w:r>
              <w:rPr>
                <w:rStyle w:val="IndexLink"/>
              </w:rPr>
              <w:t>177</w:t>
            </w:r>
          </w:hyperlink>
        </w:p>
        <w:p>
          <w:pPr>
            <w:pStyle w:val="Contents5"/>
            <w:tabs>
              <w:tab w:val="clear" w:pos="7892"/>
              <w:tab w:val="right" w:pos="9026" w:leader="dot"/>
            </w:tabs>
            <w:rPr/>
          </w:pPr>
          <w:hyperlink w:anchor="__RefHeading___Toc7830131_1280447820">
            <w:r>
              <w:rPr>
                <w:webHidden/>
                <w:rStyle w:val="IndexLink"/>
                <w:rtl w:val="true"/>
              </w:rPr>
              <w:t xml:space="preserve">الجوابُ‌ </w:t>
            </w:r>
            <w:r>
              <w:rPr>
                <w:rStyle w:val="IndexLink"/>
                <w:rtl w:val="true"/>
              </w:rPr>
              <w:t>:</w:t>
              <w:tab/>
            </w:r>
            <w:r>
              <w:rPr>
                <w:rStyle w:val="IndexLink"/>
              </w:rPr>
              <w:t>178</w:t>
            </w:r>
          </w:hyperlink>
        </w:p>
        <w:p>
          <w:pPr>
            <w:pStyle w:val="Contents3"/>
            <w:tabs>
              <w:tab w:val="clear" w:pos="8459"/>
              <w:tab w:val="right" w:pos="9026" w:leader="dot"/>
            </w:tabs>
            <w:rPr/>
          </w:pPr>
          <w:hyperlink w:anchor="__RefHeading___Toc7830133_1280447820">
            <w:r>
              <w:rPr>
                <w:webHidden/>
                <w:rStyle w:val="IndexLink"/>
                <w:rtl w:val="true"/>
              </w:rPr>
              <w:t>(</w:t>
            </w:r>
            <w:r>
              <w:rPr>
                <w:rStyle w:val="IndexLink"/>
              </w:rPr>
              <w:t>51</w:t>
            </w:r>
            <w:r>
              <w:rPr>
                <w:rStyle w:val="IndexLink"/>
                <w:rtl w:val="true"/>
              </w:rPr>
              <w:t xml:space="preserve">) </w:t>
            </w:r>
            <w:r>
              <w:rPr>
                <w:rStyle w:val="IndexLink"/>
                <w:rtl w:val="true"/>
              </w:rPr>
              <w:t>مسألةٌ في المَنعِ مِن تفضيلِ المَلائكةِ علَى الأنبياءِ عليهم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7830135_128044782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7830137_1280447820">
            <w:r>
              <w:rPr>
                <w:webHidden/>
                <w:rStyle w:val="IndexLink"/>
                <w:rtl w:val="true"/>
              </w:rPr>
              <w:t>مقدّمة التحقيق</w:t>
            </w:r>
            <w:r>
              <w:rPr>
                <w:rStyle w:val="IndexLink"/>
                <w:rtl w:val="true"/>
              </w:rPr>
              <w:tab/>
            </w:r>
            <w:r>
              <w:rPr>
                <w:rStyle w:val="IndexLink"/>
              </w:rPr>
              <w:t>183</w:t>
            </w:r>
          </w:hyperlink>
        </w:p>
        <w:p>
          <w:pPr>
            <w:pStyle w:val="Contents5"/>
            <w:tabs>
              <w:tab w:val="clear" w:pos="7892"/>
              <w:tab w:val="right" w:pos="9026" w:leader="dot"/>
            </w:tabs>
            <w:rPr/>
          </w:pPr>
          <w:hyperlink w:anchor="__RefHeading___Toc7830139_1280447820">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7830141_1280447820">
            <w:r>
              <w:rPr>
                <w:webHidden/>
                <w:rStyle w:val="IndexLink"/>
                <w:rtl w:val="true"/>
              </w:rPr>
              <w:t>عنوان الرسالة و نسبتها إلى المؤلّف</w:t>
            </w:r>
            <w:r>
              <w:rPr>
                <w:rStyle w:val="IndexLink"/>
                <w:rtl w:val="true"/>
              </w:rPr>
              <w:tab/>
            </w:r>
            <w:r>
              <w:rPr>
                <w:rStyle w:val="IndexLink"/>
              </w:rPr>
              <w:t>187</w:t>
            </w:r>
          </w:hyperlink>
        </w:p>
        <w:p>
          <w:pPr>
            <w:pStyle w:val="Contents5"/>
            <w:tabs>
              <w:tab w:val="clear" w:pos="7892"/>
              <w:tab w:val="right" w:pos="9026" w:leader="dot"/>
            </w:tabs>
            <w:rPr/>
          </w:pPr>
          <w:hyperlink w:anchor="__RefHeading___Toc7830143_1280447820">
            <w:r>
              <w:rPr>
                <w:webHidden/>
                <w:rStyle w:val="IndexLink"/>
                <w:rtl w:val="true"/>
              </w:rPr>
              <w:t>مخطوطات الرسالة</w:t>
            </w:r>
            <w:r>
              <w:rPr>
                <w:rStyle w:val="IndexLink"/>
                <w:rtl w:val="true"/>
              </w:rPr>
              <w:tab/>
            </w:r>
            <w:r>
              <w:rPr>
                <w:rStyle w:val="IndexLink"/>
              </w:rPr>
              <w:t>188</w:t>
            </w:r>
          </w:hyperlink>
        </w:p>
        <w:p>
          <w:pPr>
            <w:pStyle w:val="Contents4"/>
            <w:tabs>
              <w:tab w:val="clear" w:pos="8176"/>
              <w:tab w:val="right" w:pos="9026" w:leader="dot"/>
            </w:tabs>
            <w:rPr/>
          </w:pPr>
          <w:hyperlink w:anchor="__RefHeading___Toc7830145_1280447820">
            <w:r>
              <w:rPr>
                <w:webHidden/>
                <w:rStyle w:val="IndexLink"/>
                <w:rtl w:val="true"/>
              </w:rPr>
              <w:t>مسألةٌ‌ في المَنعِ مِن تفضيلِ المَلائكةِ علَى الأنبياءِ‌</w:t>
            </w:r>
            <w:r>
              <w:rPr>
                <w:rStyle w:val="IndexLink"/>
                <w:rtl w:val="true"/>
              </w:rPr>
              <w:t>:</w:t>
              <w:tab/>
            </w:r>
            <w:r>
              <w:rPr>
                <w:rStyle w:val="IndexLink"/>
              </w:rPr>
              <w:t>189</w:t>
            </w:r>
          </w:hyperlink>
        </w:p>
        <w:p>
          <w:pPr>
            <w:pStyle w:val="Contents3"/>
            <w:tabs>
              <w:tab w:val="clear" w:pos="8459"/>
              <w:tab w:val="right" w:pos="9026" w:leader="dot"/>
            </w:tabs>
            <w:rPr/>
          </w:pPr>
          <w:hyperlink w:anchor="__RefHeading___Toc7830147_1280447820">
            <w:r>
              <w:rPr>
                <w:webHidden/>
                <w:rStyle w:val="IndexLink"/>
                <w:rtl w:val="true"/>
              </w:rPr>
              <w:t>(</w:t>
            </w:r>
            <w:r>
              <w:rPr>
                <w:rStyle w:val="IndexLink"/>
              </w:rPr>
              <w:t>52</w:t>
            </w:r>
            <w:r>
              <w:rPr>
                <w:rStyle w:val="IndexLink"/>
                <w:rtl w:val="true"/>
              </w:rPr>
              <w:t xml:space="preserve">) </w:t>
            </w:r>
            <w:r>
              <w:rPr>
                <w:rStyle w:val="IndexLink"/>
                <w:rtl w:val="true"/>
              </w:rPr>
              <w:t>دَفعُ شُبهةٍ للبَراهِمةِ في بَعثِ الأنبياءِ عليهم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7830149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7830151_1280447820">
            <w:r>
              <w:rPr>
                <w:webHidden/>
                <w:rStyle w:val="IndexLink"/>
                <w:rtl w:val="true"/>
              </w:rPr>
              <w:t>مقدّمة التحقيق</w:t>
            </w:r>
            <w:r>
              <w:rPr>
                <w:rStyle w:val="IndexLink"/>
                <w:rtl w:val="true"/>
              </w:rPr>
              <w:tab/>
            </w:r>
            <w:r>
              <w:rPr>
                <w:rStyle w:val="IndexLink"/>
              </w:rPr>
              <w:t>199</w:t>
            </w:r>
          </w:hyperlink>
        </w:p>
        <w:p>
          <w:pPr>
            <w:pStyle w:val="Contents5"/>
            <w:tabs>
              <w:tab w:val="clear" w:pos="7892"/>
              <w:tab w:val="right" w:pos="9026" w:leader="dot"/>
            </w:tabs>
            <w:rPr/>
          </w:pPr>
          <w:hyperlink w:anchor="__RefHeading___Toc7830153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7830155_1280447820">
            <w:r>
              <w:rPr>
                <w:webHidden/>
                <w:rStyle w:val="IndexLink"/>
                <w:rtl w:val="true"/>
              </w:rPr>
              <w:t>عنوان الرسالة</w:t>
            </w:r>
            <w:r>
              <w:rPr>
                <w:rStyle w:val="IndexLink"/>
                <w:rtl w:val="true"/>
              </w:rPr>
              <w:tab/>
            </w:r>
            <w:r>
              <w:rPr>
                <w:rStyle w:val="IndexLink"/>
              </w:rPr>
              <w:t>203</w:t>
            </w:r>
          </w:hyperlink>
        </w:p>
        <w:p>
          <w:pPr>
            <w:pStyle w:val="Contents5"/>
            <w:tabs>
              <w:tab w:val="clear" w:pos="7892"/>
              <w:tab w:val="right" w:pos="9026" w:leader="dot"/>
            </w:tabs>
            <w:rPr/>
          </w:pPr>
          <w:hyperlink w:anchor="__RefHeading___Toc7830157_1280447820">
            <w:r>
              <w:rPr>
                <w:webHidden/>
                <w:rStyle w:val="IndexLink"/>
                <w:rtl w:val="true"/>
              </w:rPr>
              <w:t>مخطوطات الرسالة</w:t>
            </w:r>
            <w:r>
              <w:rPr>
                <w:rStyle w:val="IndexLink"/>
                <w:rtl w:val="true"/>
              </w:rPr>
              <w:tab/>
            </w:r>
            <w:r>
              <w:rPr>
                <w:rStyle w:val="IndexLink"/>
              </w:rPr>
              <w:t>203</w:t>
            </w:r>
          </w:hyperlink>
        </w:p>
        <w:p>
          <w:pPr>
            <w:pStyle w:val="Contents4"/>
            <w:tabs>
              <w:tab w:val="clear" w:pos="8176"/>
              <w:tab w:val="right" w:pos="9026" w:leader="dot"/>
            </w:tabs>
            <w:rPr/>
          </w:pPr>
          <w:hyperlink w:anchor="__RefHeading___Toc7830159_1280447820">
            <w:r>
              <w:rPr>
                <w:webHidden/>
                <w:rStyle w:val="IndexLink"/>
                <w:rtl w:val="true"/>
              </w:rPr>
              <w:t>دَفعُ‌ شُبهةٍ للبَراهِمةِ في بَعثِ الأنبياءِ‌</w:t>
            </w:r>
            <w:r>
              <w:rPr>
                <w:rStyle w:val="IndexLink"/>
                <w:rtl w:val="true"/>
              </w:rPr>
              <w:t>:</w:t>
              <w:tab/>
            </w:r>
            <w:r>
              <w:rPr>
                <w:rStyle w:val="IndexLink"/>
              </w:rPr>
              <w:t>205</w:t>
            </w:r>
          </w:hyperlink>
        </w:p>
        <w:p>
          <w:pPr>
            <w:pStyle w:val="Contents5"/>
            <w:tabs>
              <w:tab w:val="clear" w:pos="7892"/>
              <w:tab w:val="right" w:pos="9026" w:leader="dot"/>
            </w:tabs>
            <w:rPr/>
          </w:pPr>
          <w:hyperlink w:anchor="__RefHeading___Toc7830161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7830163_1280447820">
            <w:r>
              <w:rPr>
                <w:webHidden/>
                <w:rStyle w:val="IndexLink"/>
                <w:rtl w:val="true"/>
              </w:rPr>
              <w:t>شُبهةٌ للبَراهِمةِ‌</w:t>
            </w:r>
            <w:r>
              <w:rPr>
                <w:rStyle w:val="IndexLink"/>
                <w:rtl w:val="true"/>
              </w:rPr>
              <w:t>:</w:t>
              <w:tab/>
            </w:r>
            <w:r>
              <w:rPr>
                <w:rStyle w:val="IndexLink"/>
              </w:rPr>
              <w:t>205</w:t>
            </w:r>
          </w:hyperlink>
        </w:p>
        <w:p>
          <w:pPr>
            <w:pStyle w:val="Contents5"/>
            <w:tabs>
              <w:tab w:val="clear" w:pos="7892"/>
              <w:tab w:val="right" w:pos="9026" w:leader="dot"/>
            </w:tabs>
            <w:rPr/>
          </w:pPr>
          <w:hyperlink w:anchor="__RefHeading___Toc7830165_1280447820">
            <w:r>
              <w:rPr>
                <w:webHidden/>
                <w:rStyle w:val="IndexLink"/>
                <w:rtl w:val="true"/>
              </w:rPr>
              <w:t>الجوابُ‌</w:t>
            </w:r>
            <w:r>
              <w:rPr>
                <w:rStyle w:val="IndexLink"/>
                <w:rtl w:val="true"/>
              </w:rPr>
              <w:t>:</w:t>
              <w:tab/>
            </w:r>
            <w:r>
              <w:rPr>
                <w:rStyle w:val="IndexLink"/>
              </w:rPr>
              <w:t>205</w:t>
            </w:r>
          </w:hyperlink>
        </w:p>
        <w:p>
          <w:pPr>
            <w:pStyle w:val="Contents5"/>
            <w:tabs>
              <w:tab w:val="clear" w:pos="7892"/>
              <w:tab w:val="right" w:pos="9026" w:leader="dot"/>
            </w:tabs>
            <w:rPr/>
          </w:pPr>
          <w:hyperlink w:anchor="__RefHeading___Toc7830167_1280447820">
            <w:r>
              <w:rPr>
                <w:webHidden/>
                <w:rStyle w:val="IndexLink"/>
                <w:rtl w:val="true"/>
              </w:rPr>
              <w:t>جوابٌ آخَرُ</w:t>
            </w:r>
            <w:r>
              <w:rPr>
                <w:rStyle w:val="IndexLink"/>
                <w:rtl w:val="true"/>
              </w:rPr>
              <w:t>:</w:t>
              <w:tab/>
            </w:r>
            <w:r>
              <w:rPr>
                <w:rStyle w:val="IndexLink"/>
              </w:rPr>
              <w:t>208</w:t>
            </w:r>
          </w:hyperlink>
        </w:p>
        <w:p>
          <w:pPr>
            <w:pStyle w:val="Contents3"/>
            <w:tabs>
              <w:tab w:val="clear" w:pos="8459"/>
              <w:tab w:val="right" w:pos="9026" w:leader="dot"/>
            </w:tabs>
            <w:rPr/>
          </w:pPr>
          <w:hyperlink w:anchor="__RefHeading___Toc7830169_1280447820">
            <w:r>
              <w:rPr>
                <w:webHidden/>
                <w:rStyle w:val="IndexLink"/>
                <w:rtl w:val="true"/>
              </w:rPr>
              <w:t>(</w:t>
            </w:r>
            <w:r>
              <w:rPr>
                <w:rStyle w:val="IndexLink"/>
              </w:rPr>
              <w:t>53</w:t>
            </w:r>
            <w:r>
              <w:rPr>
                <w:rStyle w:val="IndexLink"/>
                <w:rtl w:val="true"/>
              </w:rPr>
              <w:t xml:space="preserve">) </w:t>
            </w:r>
            <w:r>
              <w:rPr>
                <w:rStyle w:val="IndexLink"/>
                <w:rtl w:val="true"/>
              </w:rPr>
              <w:t>مسألةٌ في ميراثِ الأنبياءِ عليهم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7830171_128044782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7830173_1280447820">
            <w:r>
              <w:rPr>
                <w:webHidden/>
                <w:rStyle w:val="IndexLink"/>
                <w:rtl w:val="true"/>
              </w:rPr>
              <w:t>مقدّمة التحقيق</w:t>
            </w:r>
            <w:r>
              <w:rPr>
                <w:rStyle w:val="IndexLink"/>
                <w:rtl w:val="true"/>
              </w:rPr>
              <w:tab/>
            </w:r>
            <w:r>
              <w:rPr>
                <w:rStyle w:val="IndexLink"/>
              </w:rPr>
              <w:t>215</w:t>
            </w:r>
          </w:hyperlink>
        </w:p>
        <w:p>
          <w:pPr>
            <w:pStyle w:val="Contents5"/>
            <w:tabs>
              <w:tab w:val="clear" w:pos="7892"/>
              <w:tab w:val="right" w:pos="9026" w:leader="dot"/>
            </w:tabs>
            <w:rPr/>
          </w:pPr>
          <w:hyperlink w:anchor="__RefHeading___Toc7830175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7830177_1280447820">
            <w:r>
              <w:rPr>
                <w:webHidden/>
                <w:rStyle w:val="IndexLink"/>
                <w:rtl w:val="true"/>
              </w:rPr>
              <w:t>مخطوطة الرسالة</w:t>
            </w:r>
            <w:r>
              <w:rPr>
                <w:rStyle w:val="IndexLink"/>
                <w:rtl w:val="true"/>
              </w:rPr>
              <w:tab/>
            </w:r>
            <w:r>
              <w:rPr>
                <w:rStyle w:val="IndexLink"/>
              </w:rPr>
              <w:t>216</w:t>
            </w:r>
          </w:hyperlink>
        </w:p>
        <w:p>
          <w:pPr>
            <w:pStyle w:val="Contents4"/>
            <w:tabs>
              <w:tab w:val="clear" w:pos="8176"/>
              <w:tab w:val="right" w:pos="9026" w:leader="dot"/>
            </w:tabs>
            <w:rPr/>
          </w:pPr>
          <w:hyperlink w:anchor="__RefHeading___Toc7830179_1280447820">
            <w:r>
              <w:rPr>
                <w:webHidden/>
                <w:rStyle w:val="IndexLink"/>
                <w:rtl w:val="true"/>
              </w:rPr>
              <w:t>مسألةٌ في ميراثِ الأنبياءِ عليهم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7830181_1280447820">
            <w:r>
              <w:rPr>
                <w:webHidden/>
                <w:rStyle w:val="IndexLink"/>
                <w:rtl w:val="true"/>
              </w:rPr>
              <w:t>(</w:t>
            </w:r>
            <w:r>
              <w:rPr>
                <w:rStyle w:val="IndexLink"/>
              </w:rPr>
              <w:t>54</w:t>
            </w:r>
            <w:r>
              <w:rPr>
                <w:rStyle w:val="IndexLink"/>
                <w:rtl w:val="true"/>
              </w:rPr>
              <w:t xml:space="preserve">) </w:t>
            </w:r>
            <w:r>
              <w:rPr>
                <w:rStyle w:val="IndexLink"/>
                <w:rtl w:val="true"/>
              </w:rPr>
              <w:t>الرِّسالةُ الباهِرةُ في فَضلِ العِترةِ الطاهِرةِ‌</w:t>
            </w:r>
            <w:r>
              <w:rPr>
                <w:rStyle w:val="IndexLink"/>
                <w:rtl w:val="true"/>
              </w:rPr>
              <w:tab/>
            </w:r>
            <w:r>
              <w:rPr>
                <w:rStyle w:val="IndexLink"/>
              </w:rPr>
              <w:t>221</w:t>
            </w:r>
          </w:hyperlink>
        </w:p>
        <w:p>
          <w:pPr>
            <w:pStyle w:val="Contents4"/>
            <w:tabs>
              <w:tab w:val="clear" w:pos="8176"/>
              <w:tab w:val="right" w:pos="9026" w:leader="dot"/>
            </w:tabs>
            <w:rPr/>
          </w:pPr>
          <w:hyperlink w:anchor="__RefHeading___Toc7830183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7830185_1280447820">
            <w:r>
              <w:rPr>
                <w:webHidden/>
                <w:rStyle w:val="IndexLink"/>
                <w:rtl w:val="true"/>
              </w:rPr>
              <w:t>مقدّمة التحقيق</w:t>
            </w:r>
            <w:r>
              <w:rPr>
                <w:rStyle w:val="IndexLink"/>
                <w:rtl w:val="true"/>
              </w:rPr>
              <w:tab/>
            </w:r>
            <w:r>
              <w:rPr>
                <w:rStyle w:val="IndexLink"/>
              </w:rPr>
              <w:t>223</w:t>
            </w:r>
          </w:hyperlink>
        </w:p>
        <w:p>
          <w:pPr>
            <w:pStyle w:val="Contents5"/>
            <w:tabs>
              <w:tab w:val="clear" w:pos="7892"/>
              <w:tab w:val="right" w:pos="9026" w:leader="dot"/>
            </w:tabs>
            <w:rPr/>
          </w:pPr>
          <w:hyperlink w:anchor="__RefHeading___Toc7830187_128044782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7830189_1280447820">
            <w:r>
              <w:rPr>
                <w:webHidden/>
                <w:rStyle w:val="IndexLink"/>
                <w:rtl w:val="true"/>
              </w:rPr>
              <w:t>محتوى الرسالة</w:t>
            </w:r>
            <w:r>
              <w:rPr>
                <w:rStyle w:val="IndexLink"/>
                <w:rtl w:val="true"/>
              </w:rPr>
              <w:tab/>
            </w:r>
            <w:r>
              <w:rPr>
                <w:rStyle w:val="IndexLink"/>
              </w:rPr>
              <w:t>224</w:t>
            </w:r>
          </w:hyperlink>
        </w:p>
        <w:p>
          <w:pPr>
            <w:pStyle w:val="Contents5"/>
            <w:tabs>
              <w:tab w:val="clear" w:pos="7892"/>
              <w:tab w:val="right" w:pos="9026" w:leader="dot"/>
            </w:tabs>
            <w:rPr/>
          </w:pPr>
          <w:hyperlink w:anchor="__RefHeading___Toc7830191_1280447820">
            <w:r>
              <w:rPr>
                <w:webHidden/>
                <w:rStyle w:val="IndexLink"/>
                <w:rtl w:val="true"/>
              </w:rPr>
              <w:t>مخطوطات الرسالة</w:t>
            </w:r>
            <w:r>
              <w:rPr>
                <w:rStyle w:val="IndexLink"/>
                <w:rtl w:val="true"/>
              </w:rPr>
              <w:tab/>
            </w:r>
            <w:r>
              <w:rPr>
                <w:rStyle w:val="IndexLink"/>
              </w:rPr>
              <w:t>226</w:t>
            </w:r>
          </w:hyperlink>
        </w:p>
        <w:p>
          <w:pPr>
            <w:pStyle w:val="Contents4"/>
            <w:tabs>
              <w:tab w:val="clear" w:pos="8176"/>
              <w:tab w:val="right" w:pos="9026" w:leader="dot"/>
            </w:tabs>
            <w:rPr/>
          </w:pPr>
          <w:hyperlink w:anchor="__RefHeading___Toc7830193_1280447820">
            <w:r>
              <w:rPr>
                <w:webHidden/>
                <w:rStyle w:val="IndexLink"/>
                <w:rtl w:val="true"/>
              </w:rPr>
              <w:t>الرِّسالةُ الباهِرةُ في فَضلِ العِترةِ الطاهِرةِ‌</w:t>
            </w:r>
            <w:r>
              <w:rPr>
                <w:rStyle w:val="IndexLink"/>
                <w:rtl w:val="true"/>
              </w:rPr>
              <w:tab/>
            </w:r>
            <w:r>
              <w:rPr>
                <w:rStyle w:val="IndexLink"/>
              </w:rPr>
              <w:t>229</w:t>
            </w:r>
          </w:hyperlink>
        </w:p>
        <w:p>
          <w:pPr>
            <w:pStyle w:val="Contents5"/>
            <w:tabs>
              <w:tab w:val="clear" w:pos="7892"/>
              <w:tab w:val="right" w:pos="9026" w:leader="dot"/>
            </w:tabs>
            <w:rPr/>
          </w:pPr>
          <w:hyperlink w:anchor="__RefHeading___Toc7830195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7830197_1280447820">
            <w:r>
              <w:rPr>
                <w:webHidden/>
                <w:rStyle w:val="IndexLink"/>
                <w:rtl w:val="true"/>
              </w:rPr>
              <w:t>إجماعُ الإماميّةِ علىٰ وُجوبِ مَعرِفةِ الأئمّةِ عليهم السلام</w:t>
            </w:r>
            <w:r>
              <w:rPr>
                <w:rStyle w:val="IndexLink"/>
                <w:rtl w:val="true"/>
              </w:rPr>
              <w:tab/>
            </w:r>
            <w:r>
              <w:rPr>
                <w:rStyle w:val="IndexLink"/>
              </w:rPr>
              <w:t>230</w:t>
            </w:r>
          </w:hyperlink>
        </w:p>
        <w:p>
          <w:pPr>
            <w:pStyle w:val="Contents5"/>
            <w:tabs>
              <w:tab w:val="clear" w:pos="7892"/>
              <w:tab w:val="right" w:pos="9026" w:leader="dot"/>
            </w:tabs>
            <w:rPr/>
          </w:pPr>
          <w:hyperlink w:anchor="__RefHeading___Toc7830199_1280447820">
            <w:r>
              <w:rPr>
                <w:webHidden/>
                <w:rStyle w:val="IndexLink"/>
                <w:rtl w:val="true"/>
              </w:rPr>
              <w:t>إجماعُ الأُمّةِ علىٰ وجوبِ مَعرفةِ الأئمّةِ عليهم السلام و فَضلِهِم</w:t>
            </w:r>
            <w:r>
              <w:rPr>
                <w:rStyle w:val="IndexLink"/>
                <w:rtl w:val="true"/>
              </w:rPr>
              <w:tab/>
            </w:r>
            <w:r>
              <w:rPr>
                <w:rStyle w:val="IndexLink"/>
              </w:rPr>
              <w:t>230</w:t>
            </w:r>
          </w:hyperlink>
        </w:p>
        <w:p>
          <w:pPr>
            <w:pStyle w:val="Contents5"/>
            <w:tabs>
              <w:tab w:val="clear" w:pos="7892"/>
              <w:tab w:val="right" w:pos="9026" w:leader="dot"/>
            </w:tabs>
            <w:rPr/>
          </w:pPr>
          <w:hyperlink w:anchor="__RefHeading___Toc7830201_1280447820">
            <w:r>
              <w:rPr>
                <w:webHidden/>
                <w:rStyle w:val="IndexLink"/>
                <w:rtl w:val="true"/>
              </w:rPr>
              <w:t>إجماعُ الأُمَّةِ علىٰ لُزومِ تَعظيمِ الأئمّةِ عليهم السلام و إكبارِهِم</w:t>
            </w:r>
            <w:r>
              <w:rPr>
                <w:rStyle w:val="IndexLink"/>
                <w:rtl w:val="true"/>
              </w:rPr>
              <w:tab/>
            </w:r>
            <w:r>
              <w:rPr>
                <w:rStyle w:val="IndexLink"/>
              </w:rPr>
              <w:t>232</w:t>
            </w:r>
          </w:hyperlink>
        </w:p>
        <w:p>
          <w:pPr>
            <w:pStyle w:val="Contents5"/>
            <w:tabs>
              <w:tab w:val="clear" w:pos="7892"/>
              <w:tab w:val="right" w:pos="9026" w:leader="dot"/>
            </w:tabs>
            <w:rPr/>
          </w:pPr>
          <w:hyperlink w:anchor="__RefHeading___Toc7830203_1280447820">
            <w:r>
              <w:rPr>
                <w:webHidden/>
                <w:rStyle w:val="IndexLink"/>
                <w:rtl w:val="true"/>
              </w:rPr>
              <w:t>دَفعُ شُبهةٍ في المَقامِ‌</w:t>
            </w:r>
            <w:r>
              <w:rPr>
                <w:rStyle w:val="IndexLink"/>
                <w:rtl w:val="true"/>
              </w:rPr>
              <w:tab/>
            </w:r>
            <w:r>
              <w:rPr>
                <w:rStyle w:val="IndexLink"/>
              </w:rPr>
              <w:t>234</w:t>
            </w:r>
          </w:hyperlink>
        </w:p>
        <w:p>
          <w:pPr>
            <w:pStyle w:val="Contents3"/>
            <w:tabs>
              <w:tab w:val="clear" w:pos="8459"/>
              <w:tab w:val="right" w:pos="9026" w:leader="dot"/>
            </w:tabs>
            <w:rPr/>
          </w:pPr>
          <w:hyperlink w:anchor="__RefHeading___Toc7830205_1280447820">
            <w:r>
              <w:rPr>
                <w:webHidden/>
                <w:rStyle w:val="IndexLink"/>
                <w:rtl w:val="true"/>
              </w:rPr>
              <w:t>(</w:t>
            </w:r>
            <w:r>
              <w:rPr>
                <w:rStyle w:val="IndexLink"/>
              </w:rPr>
              <w:t>55</w:t>
            </w:r>
            <w:r>
              <w:rPr>
                <w:rStyle w:val="IndexLink"/>
                <w:rtl w:val="true"/>
              </w:rPr>
              <w:t xml:space="preserve">) </w:t>
            </w:r>
            <w:r>
              <w:rPr>
                <w:rStyle w:val="IndexLink"/>
                <w:rtl w:val="true"/>
              </w:rPr>
              <w:t>مسألةٌ في وجهِ اختصاصِ الأئمّةِ الِاثنَي عَشَرَ عليهم السلام بالإمامةِ دونَ سائرِ أهلِ البيتِ‌</w:t>
            </w:r>
            <w:r>
              <w:rPr>
                <w:rStyle w:val="IndexLink"/>
                <w:rtl w:val="true"/>
              </w:rPr>
              <w:tab/>
            </w:r>
            <w:r>
              <w:rPr>
                <w:rStyle w:val="IndexLink"/>
              </w:rPr>
              <w:t>239</w:t>
            </w:r>
          </w:hyperlink>
        </w:p>
        <w:p>
          <w:pPr>
            <w:pStyle w:val="Contents4"/>
            <w:tabs>
              <w:tab w:val="clear" w:pos="8176"/>
              <w:tab w:val="right" w:pos="9026" w:leader="dot"/>
            </w:tabs>
            <w:rPr/>
          </w:pPr>
          <w:hyperlink w:anchor="__RefHeading___Toc7830207_1280447820">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7830209_1280447820">
            <w:r>
              <w:rPr>
                <w:webHidden/>
                <w:rStyle w:val="IndexLink"/>
                <w:rtl w:val="true"/>
              </w:rPr>
              <w:t>مقدّمة التحقيق</w:t>
            </w:r>
            <w:r>
              <w:rPr>
                <w:rStyle w:val="IndexLink"/>
                <w:rtl w:val="true"/>
              </w:rPr>
              <w:tab/>
            </w:r>
            <w:r>
              <w:rPr>
                <w:rStyle w:val="IndexLink"/>
              </w:rPr>
              <w:t>241</w:t>
            </w:r>
          </w:hyperlink>
        </w:p>
        <w:p>
          <w:pPr>
            <w:pStyle w:val="Contents5"/>
            <w:tabs>
              <w:tab w:val="clear" w:pos="7892"/>
              <w:tab w:val="right" w:pos="9026" w:leader="dot"/>
            </w:tabs>
            <w:rPr/>
          </w:pPr>
          <w:hyperlink w:anchor="__RefHeading___Toc7830211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7830213_1280447820">
            <w:r>
              <w:rPr>
                <w:webHidden/>
                <w:rStyle w:val="IndexLink"/>
                <w:rtl w:val="true"/>
              </w:rPr>
              <w:t>نسبتها إلى المؤلّف</w:t>
            </w:r>
            <w:r>
              <w:rPr>
                <w:rStyle w:val="IndexLink"/>
                <w:rtl w:val="true"/>
              </w:rPr>
              <w:tab/>
            </w:r>
            <w:r>
              <w:rPr>
                <w:rStyle w:val="IndexLink"/>
              </w:rPr>
              <w:t>241</w:t>
            </w:r>
          </w:hyperlink>
        </w:p>
        <w:p>
          <w:pPr>
            <w:pStyle w:val="Contents5"/>
            <w:tabs>
              <w:tab w:val="clear" w:pos="7892"/>
              <w:tab w:val="right" w:pos="9026" w:leader="dot"/>
            </w:tabs>
            <w:rPr/>
          </w:pPr>
          <w:hyperlink w:anchor="__RefHeading___Toc7830215_1280447820">
            <w:r>
              <w:rPr>
                <w:webHidden/>
                <w:rStyle w:val="IndexLink"/>
                <w:rtl w:val="true"/>
              </w:rPr>
              <w:t>مخطوطة الرسالة</w:t>
            </w:r>
            <w:r>
              <w:rPr>
                <w:rStyle w:val="IndexLink"/>
                <w:rtl w:val="true"/>
              </w:rPr>
              <w:tab/>
            </w:r>
            <w:r>
              <w:rPr>
                <w:rStyle w:val="IndexLink"/>
              </w:rPr>
              <w:t>242</w:t>
            </w:r>
          </w:hyperlink>
        </w:p>
        <w:p>
          <w:pPr>
            <w:pStyle w:val="Contents4"/>
            <w:tabs>
              <w:tab w:val="clear" w:pos="8176"/>
              <w:tab w:val="right" w:pos="9026" w:leader="dot"/>
            </w:tabs>
            <w:rPr/>
          </w:pPr>
          <w:hyperlink w:anchor="__RefHeading___Toc7830217_1280447820">
            <w:r>
              <w:rPr>
                <w:webHidden/>
                <w:rStyle w:val="IndexLink"/>
                <w:rtl w:val="true"/>
              </w:rPr>
              <w:t>مسألةٌ في وجهِ اختصاصِ الأئمّةِ الِاثنَي عَشَرَ عليهم السلام بالإمامةِ دونَ سائرِ أهلِ البيتِ‌</w:t>
            </w:r>
            <w:r>
              <w:rPr>
                <w:rStyle w:val="IndexLink"/>
                <w:rtl w:val="true"/>
              </w:rPr>
              <w:tab/>
            </w:r>
            <w:r>
              <w:rPr>
                <w:rStyle w:val="IndexLink"/>
              </w:rPr>
              <w:t>243</w:t>
            </w:r>
          </w:hyperlink>
        </w:p>
        <w:p>
          <w:pPr>
            <w:pStyle w:val="Contents3"/>
            <w:tabs>
              <w:tab w:val="clear" w:pos="8459"/>
              <w:tab w:val="right" w:pos="9026" w:leader="dot"/>
            </w:tabs>
            <w:rPr/>
          </w:pPr>
          <w:hyperlink w:anchor="__RefHeading___Toc7830219_1280447820">
            <w:r>
              <w:rPr>
                <w:webHidden/>
                <w:rStyle w:val="IndexLink"/>
                <w:rtl w:val="true"/>
              </w:rPr>
              <w:t>(</w:t>
            </w:r>
            <w:r>
              <w:rPr>
                <w:rStyle w:val="IndexLink"/>
              </w:rPr>
              <w:t>56</w:t>
            </w:r>
            <w:r>
              <w:rPr>
                <w:rStyle w:val="IndexLink"/>
                <w:rtl w:val="true"/>
              </w:rPr>
              <w:t xml:space="preserve">) </w:t>
            </w:r>
            <w:r>
              <w:rPr>
                <w:rStyle w:val="IndexLink"/>
                <w:rtl w:val="true"/>
              </w:rPr>
              <w:t>مسألةٌ فيمن يَتولّىٰ غُسلَ الإمامِ‌</w:t>
            </w:r>
            <w:r>
              <w:rPr>
                <w:rStyle w:val="IndexLink"/>
                <w:rtl w:val="true"/>
              </w:rPr>
              <w:tab/>
            </w:r>
            <w:r>
              <w:rPr>
                <w:rStyle w:val="IndexLink"/>
              </w:rPr>
              <w:t>253</w:t>
            </w:r>
          </w:hyperlink>
        </w:p>
        <w:p>
          <w:pPr>
            <w:pStyle w:val="Contents4"/>
            <w:tabs>
              <w:tab w:val="clear" w:pos="8176"/>
              <w:tab w:val="right" w:pos="9026" w:leader="dot"/>
            </w:tabs>
            <w:rPr/>
          </w:pPr>
          <w:hyperlink w:anchor="__RefHeading___Toc7830221_1280447820">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7830223_1280447820">
            <w:r>
              <w:rPr>
                <w:webHidden/>
                <w:rStyle w:val="IndexLink"/>
                <w:rtl w:val="true"/>
              </w:rPr>
              <w:t>مقدّمة التحقيق</w:t>
            </w:r>
            <w:r>
              <w:rPr>
                <w:rStyle w:val="IndexLink"/>
                <w:rtl w:val="true"/>
              </w:rPr>
              <w:tab/>
            </w:r>
            <w:r>
              <w:rPr>
                <w:rStyle w:val="IndexLink"/>
              </w:rPr>
              <w:t>255</w:t>
            </w:r>
          </w:hyperlink>
        </w:p>
        <w:p>
          <w:pPr>
            <w:pStyle w:val="Contents5"/>
            <w:tabs>
              <w:tab w:val="clear" w:pos="7892"/>
              <w:tab w:val="right" w:pos="9026" w:leader="dot"/>
            </w:tabs>
            <w:rPr/>
          </w:pPr>
          <w:hyperlink w:anchor="__RefHeading___Toc7830225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7830227_1280447820">
            <w:r>
              <w:rPr>
                <w:webHidden/>
                <w:rStyle w:val="IndexLink"/>
                <w:rtl w:val="true"/>
              </w:rPr>
              <w:t>نسبتها إلى المؤّلف</w:t>
            </w:r>
            <w:r>
              <w:rPr>
                <w:rStyle w:val="IndexLink"/>
                <w:rtl w:val="true"/>
              </w:rPr>
              <w:tab/>
            </w:r>
            <w:r>
              <w:rPr>
                <w:rStyle w:val="IndexLink"/>
              </w:rPr>
              <w:t>259</w:t>
            </w:r>
          </w:hyperlink>
        </w:p>
        <w:p>
          <w:pPr>
            <w:pStyle w:val="Contents5"/>
            <w:tabs>
              <w:tab w:val="clear" w:pos="7892"/>
              <w:tab w:val="right" w:pos="9026" w:leader="dot"/>
            </w:tabs>
            <w:rPr/>
          </w:pPr>
          <w:hyperlink w:anchor="__RefHeading___Toc7830229_1280447820">
            <w:r>
              <w:rPr>
                <w:webHidden/>
                <w:rStyle w:val="IndexLink"/>
                <w:rtl w:val="true"/>
              </w:rPr>
              <w:t>مخطوطات الرسالة</w:t>
            </w:r>
            <w:r>
              <w:rPr>
                <w:rStyle w:val="IndexLink"/>
                <w:rtl w:val="true"/>
              </w:rPr>
              <w:tab/>
            </w:r>
            <w:r>
              <w:rPr>
                <w:rStyle w:val="IndexLink"/>
              </w:rPr>
              <w:t>259</w:t>
            </w:r>
          </w:hyperlink>
        </w:p>
        <w:p>
          <w:pPr>
            <w:pStyle w:val="Contents6"/>
            <w:tabs>
              <w:tab w:val="clear" w:pos="7609"/>
              <w:tab w:val="right" w:pos="9026" w:leader="dot"/>
            </w:tabs>
            <w:rPr/>
          </w:pPr>
          <w:hyperlink w:anchor="__RefHeading___Toc7830231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259</w:t>
            </w:r>
          </w:hyperlink>
        </w:p>
        <w:p>
          <w:pPr>
            <w:pStyle w:val="Contents6"/>
            <w:tabs>
              <w:tab w:val="clear" w:pos="7609"/>
              <w:tab w:val="right" w:pos="9026" w:leader="dot"/>
            </w:tabs>
            <w:rPr/>
          </w:pPr>
          <w:hyperlink w:anchor="__RefHeading___Toc7830233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260</w:t>
            </w:r>
          </w:hyperlink>
        </w:p>
        <w:p>
          <w:pPr>
            <w:pStyle w:val="Contents4"/>
            <w:tabs>
              <w:tab w:val="clear" w:pos="8176"/>
              <w:tab w:val="right" w:pos="9026" w:leader="dot"/>
            </w:tabs>
            <w:rPr/>
          </w:pPr>
          <w:hyperlink w:anchor="__RefHeading___Toc7830235_1280447820">
            <w:r>
              <w:rPr>
                <w:webHidden/>
                <w:rStyle w:val="IndexLink"/>
                <w:rtl w:val="true"/>
              </w:rPr>
              <w:t>مسألةٌ فيمن يَتولّىٰ غُسلَ الإمامِ‌</w:t>
            </w:r>
            <w:r>
              <w:rPr>
                <w:rStyle w:val="IndexLink"/>
                <w:rtl w:val="true"/>
              </w:rPr>
              <w:tab/>
            </w:r>
            <w:r>
              <w:rPr>
                <w:rStyle w:val="IndexLink"/>
              </w:rPr>
              <w:t>261</w:t>
            </w:r>
          </w:hyperlink>
        </w:p>
        <w:p>
          <w:pPr>
            <w:pStyle w:val="Contents3"/>
            <w:tabs>
              <w:tab w:val="clear" w:pos="8459"/>
              <w:tab w:val="right" w:pos="9026" w:leader="dot"/>
            </w:tabs>
            <w:rPr/>
          </w:pPr>
          <w:hyperlink w:anchor="__RefHeading___Toc7830237_1280447820">
            <w:r>
              <w:rPr>
                <w:webHidden/>
                <w:rStyle w:val="IndexLink"/>
                <w:rtl w:val="true"/>
              </w:rPr>
              <w:t>(</w:t>
            </w:r>
            <w:r>
              <w:rPr>
                <w:rStyle w:val="IndexLink"/>
              </w:rPr>
              <w:t>57</w:t>
            </w:r>
            <w:r>
              <w:rPr>
                <w:rStyle w:val="IndexLink"/>
                <w:rtl w:val="true"/>
              </w:rPr>
              <w:t xml:space="preserve">) </w:t>
            </w:r>
            <w:r>
              <w:rPr>
                <w:rStyle w:val="IndexLink"/>
                <w:rtl w:val="true"/>
              </w:rPr>
              <w:t>مسألةٌ في عِلمِ الوصيِّ بساعةِ وفاتهِ و عدمِه</w:t>
            </w:r>
            <w:r>
              <w:rPr>
                <w:rStyle w:val="IndexLink"/>
                <w:rtl w:val="true"/>
              </w:rPr>
              <w:tab/>
            </w:r>
            <w:r>
              <w:rPr>
                <w:rStyle w:val="IndexLink"/>
              </w:rPr>
              <w:t>267</w:t>
            </w:r>
          </w:hyperlink>
        </w:p>
        <w:p>
          <w:pPr>
            <w:pStyle w:val="Contents4"/>
            <w:tabs>
              <w:tab w:val="clear" w:pos="8176"/>
              <w:tab w:val="right" w:pos="9026" w:leader="dot"/>
            </w:tabs>
            <w:rPr/>
          </w:pPr>
          <w:hyperlink w:anchor="__RefHeading___Toc7830239_1280447820">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7830241_1280447820">
            <w:r>
              <w:rPr>
                <w:webHidden/>
                <w:rStyle w:val="IndexLink"/>
                <w:rtl w:val="true"/>
              </w:rPr>
              <w:t>مقدّمة التحقيق</w:t>
            </w:r>
            <w:r>
              <w:rPr>
                <w:rStyle w:val="IndexLink"/>
                <w:rtl w:val="true"/>
              </w:rPr>
              <w:tab/>
            </w:r>
            <w:r>
              <w:rPr>
                <w:rStyle w:val="IndexLink"/>
              </w:rPr>
              <w:t>269</w:t>
            </w:r>
          </w:hyperlink>
        </w:p>
        <w:p>
          <w:pPr>
            <w:pStyle w:val="Contents5"/>
            <w:tabs>
              <w:tab w:val="clear" w:pos="7892"/>
              <w:tab w:val="right" w:pos="9026" w:leader="dot"/>
            </w:tabs>
            <w:rPr/>
          </w:pPr>
          <w:hyperlink w:anchor="__RefHeading___Toc7830243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7830245_1280447820">
            <w:r>
              <w:rPr>
                <w:webHidden/>
                <w:rStyle w:val="IndexLink"/>
                <w:rtl w:val="true"/>
              </w:rPr>
              <w:t>محتوى الرسالة و نسبتها إلى المؤلّف</w:t>
            </w:r>
            <w:r>
              <w:rPr>
                <w:rStyle w:val="IndexLink"/>
                <w:rtl w:val="true"/>
              </w:rPr>
              <w:tab/>
            </w:r>
            <w:r>
              <w:rPr>
                <w:rStyle w:val="IndexLink"/>
              </w:rPr>
              <w:t>273</w:t>
            </w:r>
          </w:hyperlink>
        </w:p>
        <w:p>
          <w:pPr>
            <w:pStyle w:val="Contents5"/>
            <w:tabs>
              <w:tab w:val="clear" w:pos="7892"/>
              <w:tab w:val="right" w:pos="9026" w:leader="dot"/>
            </w:tabs>
            <w:rPr/>
          </w:pPr>
          <w:hyperlink w:anchor="__RefHeading___Toc7830247_1280447820">
            <w:r>
              <w:rPr>
                <w:webHidden/>
                <w:rStyle w:val="IndexLink"/>
                <w:rtl w:val="true"/>
              </w:rPr>
              <w:t>مخطوطات الرسالة</w:t>
            </w:r>
            <w:r>
              <w:rPr>
                <w:rStyle w:val="IndexLink"/>
                <w:rtl w:val="true"/>
              </w:rPr>
              <w:tab/>
            </w:r>
            <w:r>
              <w:rPr>
                <w:rStyle w:val="IndexLink"/>
              </w:rPr>
              <w:t>275</w:t>
            </w:r>
          </w:hyperlink>
        </w:p>
        <w:p>
          <w:pPr>
            <w:pStyle w:val="Contents4"/>
            <w:tabs>
              <w:tab w:val="clear" w:pos="8176"/>
              <w:tab w:val="right" w:pos="9026" w:leader="dot"/>
            </w:tabs>
            <w:rPr/>
          </w:pPr>
          <w:hyperlink w:anchor="__RefHeading___Toc7830249_1280447820">
            <w:r>
              <w:rPr>
                <w:webHidden/>
                <w:rStyle w:val="IndexLink"/>
                <w:rtl w:val="true"/>
              </w:rPr>
              <w:t>مسألةٌ في عِلمِ الوصيِّ بساعةِ وفاتهِ و عدمِه</w:t>
            </w:r>
            <w:r>
              <w:rPr>
                <w:rStyle w:val="IndexLink"/>
                <w:rtl w:val="true"/>
              </w:rPr>
              <w:tab/>
            </w:r>
            <w:r>
              <w:rPr>
                <w:rStyle w:val="IndexLink"/>
              </w:rPr>
              <w:t>277</w:t>
            </w:r>
          </w:hyperlink>
        </w:p>
        <w:p>
          <w:pPr>
            <w:pStyle w:val="Contents3"/>
            <w:tabs>
              <w:tab w:val="clear" w:pos="8459"/>
              <w:tab w:val="right" w:pos="9026" w:leader="dot"/>
            </w:tabs>
            <w:rPr/>
          </w:pPr>
          <w:hyperlink w:anchor="__RefHeading___Toc7830251_1280447820">
            <w:r>
              <w:rPr>
                <w:webHidden/>
                <w:rStyle w:val="IndexLink"/>
                <w:rtl w:val="true"/>
              </w:rPr>
              <w:t>(</w:t>
            </w:r>
            <w:r>
              <w:rPr>
                <w:rStyle w:val="IndexLink"/>
              </w:rPr>
              <w:t>58</w:t>
            </w:r>
            <w:r>
              <w:rPr>
                <w:rStyle w:val="IndexLink"/>
                <w:rtl w:val="true"/>
              </w:rPr>
              <w:t xml:space="preserve">) </w:t>
            </w:r>
            <w:r>
              <w:rPr>
                <w:rStyle w:val="IndexLink"/>
                <w:rtl w:val="true"/>
              </w:rPr>
              <w:t>مسألةٌ في مُشاهَدةِ المُحتَضَرِ الإمامَ قَبلَ مَوتِه</w:t>
            </w:r>
            <w:r>
              <w:rPr>
                <w:rStyle w:val="IndexLink"/>
                <w:rtl w:val="true"/>
              </w:rPr>
              <w:tab/>
            </w:r>
            <w:r>
              <w:rPr>
                <w:rStyle w:val="IndexLink"/>
              </w:rPr>
              <w:t>279</w:t>
            </w:r>
          </w:hyperlink>
        </w:p>
        <w:p>
          <w:pPr>
            <w:pStyle w:val="Contents4"/>
            <w:tabs>
              <w:tab w:val="clear" w:pos="8176"/>
              <w:tab w:val="right" w:pos="9026" w:leader="dot"/>
            </w:tabs>
            <w:rPr/>
          </w:pPr>
          <w:hyperlink w:anchor="__RefHeading___Toc7830253_1280447820">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7830255_1280447820">
            <w:r>
              <w:rPr>
                <w:webHidden/>
                <w:rStyle w:val="IndexLink"/>
                <w:rtl w:val="true"/>
              </w:rPr>
              <w:t>مقدّمة التحقيق</w:t>
            </w:r>
            <w:r>
              <w:rPr>
                <w:rStyle w:val="IndexLink"/>
                <w:rtl w:val="true"/>
              </w:rPr>
              <w:tab/>
            </w:r>
            <w:r>
              <w:rPr>
                <w:rStyle w:val="IndexLink"/>
              </w:rPr>
              <w:t>281</w:t>
            </w:r>
          </w:hyperlink>
        </w:p>
        <w:p>
          <w:pPr>
            <w:pStyle w:val="Contents5"/>
            <w:tabs>
              <w:tab w:val="clear" w:pos="7892"/>
              <w:tab w:val="right" w:pos="9026" w:leader="dot"/>
            </w:tabs>
            <w:rPr/>
          </w:pPr>
          <w:hyperlink w:anchor="__RefHeading___Toc7830257_1280447820">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7830259_1280447820">
            <w:r>
              <w:rPr>
                <w:webHidden/>
                <w:rStyle w:val="IndexLink"/>
                <w:rtl w:val="true"/>
              </w:rPr>
              <w:t>نسبتها إلى المؤلّف</w:t>
            </w:r>
            <w:r>
              <w:rPr>
                <w:rStyle w:val="IndexLink"/>
                <w:rtl w:val="true"/>
              </w:rPr>
              <w:tab/>
            </w:r>
            <w:r>
              <w:rPr>
                <w:rStyle w:val="IndexLink"/>
              </w:rPr>
              <w:t>283</w:t>
            </w:r>
          </w:hyperlink>
        </w:p>
        <w:p>
          <w:pPr>
            <w:pStyle w:val="Contents5"/>
            <w:tabs>
              <w:tab w:val="clear" w:pos="7892"/>
              <w:tab w:val="right" w:pos="9026" w:leader="dot"/>
            </w:tabs>
            <w:rPr/>
          </w:pPr>
          <w:hyperlink w:anchor="__RefHeading___Toc7830261_1280447820">
            <w:r>
              <w:rPr>
                <w:webHidden/>
                <w:rStyle w:val="IndexLink"/>
                <w:rtl w:val="true"/>
              </w:rPr>
              <w:t>مخطوطات الرسالة</w:t>
            </w:r>
            <w:r>
              <w:rPr>
                <w:rStyle w:val="IndexLink"/>
                <w:rtl w:val="true"/>
              </w:rPr>
              <w:tab/>
            </w:r>
            <w:r>
              <w:rPr>
                <w:rStyle w:val="IndexLink"/>
              </w:rPr>
              <w:t>283</w:t>
            </w:r>
          </w:hyperlink>
        </w:p>
        <w:p>
          <w:pPr>
            <w:pStyle w:val="Contents4"/>
            <w:tabs>
              <w:tab w:val="clear" w:pos="8176"/>
              <w:tab w:val="right" w:pos="9026" w:leader="dot"/>
            </w:tabs>
            <w:rPr/>
          </w:pPr>
          <w:hyperlink w:anchor="__RefHeading___Toc7830263_1280447820">
            <w:r>
              <w:rPr>
                <w:webHidden/>
                <w:rStyle w:val="IndexLink"/>
                <w:rtl w:val="true"/>
              </w:rPr>
              <w:t>مسألةٌ في مُشاهَدةِ المُحتَضَرِ الإمامَ قَبلَ مَوتِه</w:t>
            </w:r>
            <w:r>
              <w:rPr>
                <w:rStyle w:val="IndexLink"/>
                <w:rtl w:val="true"/>
              </w:rPr>
              <w:tab/>
            </w:r>
            <w:r>
              <w:rPr>
                <w:rStyle w:val="IndexLink"/>
              </w:rPr>
              <w:t>285</w:t>
            </w:r>
          </w:hyperlink>
        </w:p>
        <w:p>
          <w:pPr>
            <w:pStyle w:val="Contents3"/>
            <w:tabs>
              <w:tab w:val="clear" w:pos="8459"/>
              <w:tab w:val="right" w:pos="9026" w:leader="dot"/>
            </w:tabs>
            <w:rPr/>
          </w:pPr>
          <w:hyperlink w:anchor="__RefHeading___Toc7830265_1280447820">
            <w:r>
              <w:rPr>
                <w:webHidden/>
                <w:rStyle w:val="IndexLink"/>
                <w:rtl w:val="true"/>
              </w:rPr>
              <w:t>(</w:t>
            </w:r>
            <w:r>
              <w:rPr>
                <w:rStyle w:val="IndexLink"/>
              </w:rPr>
              <w:t>59</w:t>
            </w:r>
            <w:r>
              <w:rPr>
                <w:rStyle w:val="IndexLink"/>
                <w:rtl w:val="true"/>
              </w:rPr>
              <w:t xml:space="preserve">) </w:t>
            </w:r>
            <w:r>
              <w:rPr>
                <w:rStyle w:val="IndexLink"/>
                <w:rtl w:val="true"/>
              </w:rPr>
              <w:t>مسألةٌ في معنىٰ ما يَقولُه الشيعةُ عندَ مَشاهدِ أئمّتِهم عليهم 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7830267_1280447820">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7830269_1280447820">
            <w:r>
              <w:rPr>
                <w:webHidden/>
                <w:rStyle w:val="IndexLink"/>
                <w:rtl w:val="true"/>
              </w:rPr>
              <w:t>مقدّمة التحقيق</w:t>
            </w:r>
            <w:r>
              <w:rPr>
                <w:rStyle w:val="IndexLink"/>
                <w:rtl w:val="true"/>
              </w:rPr>
              <w:tab/>
            </w:r>
            <w:r>
              <w:rPr>
                <w:rStyle w:val="IndexLink"/>
              </w:rPr>
              <w:t>289</w:t>
            </w:r>
          </w:hyperlink>
        </w:p>
        <w:p>
          <w:pPr>
            <w:pStyle w:val="Contents5"/>
            <w:tabs>
              <w:tab w:val="clear" w:pos="7892"/>
              <w:tab w:val="right" w:pos="9026" w:leader="dot"/>
            </w:tabs>
            <w:rPr/>
          </w:pPr>
          <w:hyperlink w:anchor="__RefHeading___Toc7830271_128044782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7830273_1280447820">
            <w:r>
              <w:rPr>
                <w:webHidden/>
                <w:rStyle w:val="IndexLink"/>
                <w:rtl w:val="true"/>
              </w:rPr>
              <w:t>مخطوطة الرسالة</w:t>
            </w:r>
            <w:r>
              <w:rPr>
                <w:rStyle w:val="IndexLink"/>
                <w:rtl w:val="true"/>
              </w:rPr>
              <w:tab/>
            </w:r>
            <w:r>
              <w:rPr>
                <w:rStyle w:val="IndexLink"/>
              </w:rPr>
              <w:t>290</w:t>
            </w:r>
          </w:hyperlink>
        </w:p>
        <w:p>
          <w:pPr>
            <w:pStyle w:val="Contents4"/>
            <w:tabs>
              <w:tab w:val="clear" w:pos="8176"/>
              <w:tab w:val="right" w:pos="9026" w:leader="dot"/>
            </w:tabs>
            <w:rPr/>
          </w:pPr>
          <w:hyperlink w:anchor="__RefHeading___Toc7830275_1280447820">
            <w:r>
              <w:rPr>
                <w:webHidden/>
                <w:rStyle w:val="IndexLink"/>
                <w:rtl w:val="true"/>
              </w:rPr>
              <w:t>مسألةٌ في معنىٰ ما يَقولُه الشيعةُ عندَ مَشاهدِ أئمّتِهم عليهم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7830277_1280447820">
            <w:r>
              <w:rPr>
                <w:webHidden/>
                <w:rStyle w:val="IndexLink"/>
                <w:rtl w:val="true"/>
              </w:rPr>
              <w:t>(</w:t>
            </w:r>
            <w:r>
              <w:rPr>
                <w:rStyle w:val="IndexLink"/>
              </w:rPr>
              <w:t>60</w:t>
            </w:r>
            <w:r>
              <w:rPr>
                <w:rStyle w:val="IndexLink"/>
                <w:rtl w:val="true"/>
              </w:rPr>
              <w:t xml:space="preserve">) </w:t>
            </w:r>
            <w:r>
              <w:rPr>
                <w:rStyle w:val="IndexLink"/>
                <w:rtl w:val="true"/>
              </w:rPr>
              <w:t>مَسألةٌ في عِلّةِ خِذلانِ أهلِ البَيتِ عليهم السلام و عَدَمِ نُصرتِهم</w:t>
            </w:r>
            <w:r>
              <w:rPr>
                <w:rStyle w:val="IndexLink"/>
                <w:rtl w:val="true"/>
              </w:rPr>
              <w:tab/>
            </w:r>
            <w:r>
              <w:rPr>
                <w:rStyle w:val="IndexLink"/>
              </w:rPr>
              <w:t>297</w:t>
            </w:r>
          </w:hyperlink>
        </w:p>
        <w:p>
          <w:pPr>
            <w:pStyle w:val="Contents4"/>
            <w:tabs>
              <w:tab w:val="clear" w:pos="8176"/>
              <w:tab w:val="right" w:pos="9026" w:leader="dot"/>
            </w:tabs>
            <w:rPr/>
          </w:pPr>
          <w:hyperlink w:anchor="__RefHeading___Toc7830279_1280447820">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7830281_1280447820">
            <w:r>
              <w:rPr>
                <w:webHidden/>
                <w:rStyle w:val="IndexLink"/>
                <w:rtl w:val="true"/>
              </w:rPr>
              <w:t>مقدّمة التحقيق</w:t>
            </w:r>
            <w:r>
              <w:rPr>
                <w:rStyle w:val="IndexLink"/>
                <w:rtl w:val="true"/>
              </w:rPr>
              <w:tab/>
            </w:r>
            <w:r>
              <w:rPr>
                <w:rStyle w:val="IndexLink"/>
              </w:rPr>
              <w:t>299</w:t>
            </w:r>
          </w:hyperlink>
        </w:p>
        <w:p>
          <w:pPr>
            <w:pStyle w:val="Contents5"/>
            <w:tabs>
              <w:tab w:val="clear" w:pos="7892"/>
              <w:tab w:val="right" w:pos="9026" w:leader="dot"/>
            </w:tabs>
            <w:rPr/>
          </w:pPr>
          <w:hyperlink w:anchor="__RefHeading___Toc7830283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7830285_1280447820">
            <w:r>
              <w:rPr>
                <w:webHidden/>
                <w:rStyle w:val="IndexLink"/>
                <w:rtl w:val="true"/>
              </w:rPr>
              <w:t>ملاحظة</w:t>
            </w:r>
            <w:r>
              <w:rPr>
                <w:rStyle w:val="IndexLink"/>
                <w:rtl w:val="true"/>
              </w:rPr>
              <w:tab/>
            </w:r>
            <w:r>
              <w:rPr>
                <w:rStyle w:val="IndexLink"/>
              </w:rPr>
              <w:t>301</w:t>
            </w:r>
          </w:hyperlink>
        </w:p>
        <w:p>
          <w:pPr>
            <w:pStyle w:val="Contents5"/>
            <w:tabs>
              <w:tab w:val="clear" w:pos="7892"/>
              <w:tab w:val="right" w:pos="9026" w:leader="dot"/>
            </w:tabs>
            <w:rPr/>
          </w:pPr>
          <w:hyperlink w:anchor="__RefHeading___Toc7830287_1280447820">
            <w:r>
              <w:rPr>
                <w:webHidden/>
                <w:rStyle w:val="IndexLink"/>
                <w:rtl w:val="true"/>
              </w:rPr>
              <w:t>مخطوطات الرسالة</w:t>
            </w:r>
            <w:r>
              <w:rPr>
                <w:rStyle w:val="IndexLink"/>
                <w:rtl w:val="true"/>
              </w:rPr>
              <w:tab/>
            </w:r>
            <w:r>
              <w:rPr>
                <w:rStyle w:val="IndexLink"/>
              </w:rPr>
              <w:t>302</w:t>
            </w:r>
          </w:hyperlink>
        </w:p>
        <w:p>
          <w:pPr>
            <w:pStyle w:val="Contents6"/>
            <w:tabs>
              <w:tab w:val="clear" w:pos="7609"/>
              <w:tab w:val="right" w:pos="9026" w:leader="dot"/>
            </w:tabs>
            <w:rPr/>
          </w:pPr>
          <w:hyperlink w:anchor="__RefHeading___Toc7830289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302</w:t>
            </w:r>
          </w:hyperlink>
        </w:p>
        <w:p>
          <w:pPr>
            <w:pStyle w:val="Contents6"/>
            <w:tabs>
              <w:tab w:val="clear" w:pos="7609"/>
              <w:tab w:val="right" w:pos="9026" w:leader="dot"/>
            </w:tabs>
            <w:rPr/>
          </w:pPr>
          <w:hyperlink w:anchor="__RefHeading___Toc7830291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303</w:t>
            </w:r>
          </w:hyperlink>
        </w:p>
        <w:p>
          <w:pPr>
            <w:pStyle w:val="Contents4"/>
            <w:tabs>
              <w:tab w:val="clear" w:pos="8176"/>
              <w:tab w:val="right" w:pos="9026" w:leader="dot"/>
            </w:tabs>
            <w:rPr/>
          </w:pPr>
          <w:hyperlink w:anchor="__RefHeading___Toc7830293_1280447820">
            <w:r>
              <w:rPr>
                <w:webHidden/>
                <w:rStyle w:val="IndexLink"/>
                <w:rtl w:val="true"/>
              </w:rPr>
              <w:t>مَسألةٌ في عِلّةِ خِذلانِ أهلِ البَيتِ عليهم السلام و عَدَمِ نُصرتِهم</w:t>
            </w:r>
            <w:r>
              <w:rPr>
                <w:rStyle w:val="IndexLink"/>
                <w:rtl w:val="true"/>
              </w:rPr>
              <w:tab/>
            </w:r>
            <w:r>
              <w:rPr>
                <w:rStyle w:val="IndexLink"/>
              </w:rPr>
              <w:t>305</w:t>
            </w:r>
          </w:hyperlink>
        </w:p>
        <w:p>
          <w:pPr>
            <w:pStyle w:val="Contents5"/>
            <w:tabs>
              <w:tab w:val="clear" w:pos="7892"/>
              <w:tab w:val="right" w:pos="9026" w:leader="dot"/>
            </w:tabs>
            <w:rPr/>
          </w:pPr>
          <w:hyperlink w:anchor="__RefHeading___Toc7830295_128044782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7830297_1280447820">
            <w:r>
              <w:rPr>
                <w:webHidden/>
                <w:rStyle w:val="IndexLink"/>
                <w:rtl w:val="true"/>
              </w:rPr>
              <w:t>في بيان الوجه في دعاء الأئمّة علىٰ مَن ظلمهم</w:t>
            </w:r>
            <w:r>
              <w:rPr>
                <w:rStyle w:val="IndexLink"/>
                <w:rtl w:val="true"/>
              </w:rPr>
              <w:tab/>
            </w:r>
            <w:r>
              <w:rPr>
                <w:rStyle w:val="IndexLink"/>
              </w:rPr>
              <w:t>319</w:t>
            </w:r>
          </w:hyperlink>
        </w:p>
        <w:p>
          <w:pPr>
            <w:pStyle w:val="Contents3"/>
            <w:tabs>
              <w:tab w:val="clear" w:pos="8459"/>
              <w:tab w:val="right" w:pos="9026" w:leader="dot"/>
            </w:tabs>
            <w:rPr/>
          </w:pPr>
          <w:hyperlink w:anchor="__RefHeading___Toc7830299_1280447820">
            <w:r>
              <w:rPr>
                <w:webHidden/>
                <w:rStyle w:val="IndexLink"/>
                <w:rtl w:val="true"/>
              </w:rPr>
              <w:t>(</w:t>
            </w:r>
            <w:r>
              <w:rPr>
                <w:rStyle w:val="IndexLink"/>
              </w:rPr>
              <w:t>61</w:t>
            </w:r>
            <w:r>
              <w:rPr>
                <w:rStyle w:val="IndexLink"/>
                <w:rtl w:val="true"/>
              </w:rPr>
              <w:t xml:space="preserve">) </w:t>
            </w:r>
            <w:r>
              <w:rPr>
                <w:rStyle w:val="IndexLink"/>
                <w:rtl w:val="true"/>
              </w:rPr>
              <w:t>مسألةٌ في الجوابِ عن الشُّبُهاتِ الواردةِ في خبرِ الغَديرِ</w:t>
            </w:r>
            <w:r>
              <w:rPr>
                <w:rStyle w:val="IndexLink"/>
                <w:rtl w:val="true"/>
              </w:rPr>
              <w:tab/>
            </w:r>
            <w:r>
              <w:rPr>
                <w:rStyle w:val="IndexLink"/>
              </w:rPr>
              <w:t>323</w:t>
            </w:r>
          </w:hyperlink>
        </w:p>
        <w:p>
          <w:pPr>
            <w:pStyle w:val="Contents4"/>
            <w:tabs>
              <w:tab w:val="clear" w:pos="8176"/>
              <w:tab w:val="right" w:pos="9026" w:leader="dot"/>
            </w:tabs>
            <w:rPr/>
          </w:pPr>
          <w:hyperlink w:anchor="__RefHeading___Toc7830301_1280447820">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7830303_1280447820">
            <w:r>
              <w:rPr>
                <w:webHidden/>
                <w:rStyle w:val="IndexLink"/>
                <w:rtl w:val="true"/>
              </w:rPr>
              <w:t>مقدّمة التحقيق</w:t>
            </w:r>
            <w:r>
              <w:rPr>
                <w:rStyle w:val="IndexLink"/>
                <w:rtl w:val="true"/>
              </w:rPr>
              <w:tab/>
            </w:r>
            <w:r>
              <w:rPr>
                <w:rStyle w:val="IndexLink"/>
              </w:rPr>
              <w:t>325</w:t>
            </w:r>
          </w:hyperlink>
        </w:p>
        <w:p>
          <w:pPr>
            <w:pStyle w:val="Contents5"/>
            <w:tabs>
              <w:tab w:val="clear" w:pos="7892"/>
              <w:tab w:val="right" w:pos="9026" w:leader="dot"/>
            </w:tabs>
            <w:rPr/>
          </w:pPr>
          <w:hyperlink w:anchor="__RefHeading___Toc7830305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7830307_1280447820">
            <w:r>
              <w:rPr>
                <w:webHidden/>
                <w:rStyle w:val="IndexLink"/>
                <w:rtl w:val="true"/>
              </w:rPr>
              <w:t>محتوى الرسالة و نسبتها إلى المؤلّف</w:t>
            </w:r>
            <w:r>
              <w:rPr>
                <w:rStyle w:val="IndexLink"/>
                <w:rtl w:val="true"/>
              </w:rPr>
              <w:tab/>
            </w:r>
            <w:r>
              <w:rPr>
                <w:rStyle w:val="IndexLink"/>
              </w:rPr>
              <w:t>326</w:t>
            </w:r>
          </w:hyperlink>
        </w:p>
        <w:p>
          <w:pPr>
            <w:pStyle w:val="Contents5"/>
            <w:tabs>
              <w:tab w:val="clear" w:pos="7892"/>
              <w:tab w:val="right" w:pos="9026" w:leader="dot"/>
            </w:tabs>
            <w:rPr/>
          </w:pPr>
          <w:hyperlink w:anchor="__RefHeading___Toc7830309_1280447820">
            <w:r>
              <w:rPr>
                <w:webHidden/>
                <w:rStyle w:val="IndexLink"/>
                <w:rtl w:val="true"/>
              </w:rPr>
              <w:t>مخطوطات الرسالة</w:t>
            </w:r>
            <w:r>
              <w:rPr>
                <w:rStyle w:val="IndexLink"/>
                <w:rtl w:val="true"/>
              </w:rPr>
              <w:tab/>
            </w:r>
            <w:r>
              <w:rPr>
                <w:rStyle w:val="IndexLink"/>
              </w:rPr>
              <w:t>327</w:t>
            </w:r>
          </w:hyperlink>
        </w:p>
        <w:p>
          <w:pPr>
            <w:pStyle w:val="Contents4"/>
            <w:tabs>
              <w:tab w:val="clear" w:pos="8176"/>
              <w:tab w:val="right" w:pos="9026" w:leader="dot"/>
            </w:tabs>
            <w:rPr/>
          </w:pPr>
          <w:hyperlink w:anchor="__RefHeading___Toc7830311_1280447820">
            <w:r>
              <w:rPr>
                <w:webHidden/>
                <w:rStyle w:val="IndexLink"/>
                <w:rtl w:val="true"/>
              </w:rPr>
              <w:t>مسألةٌ في الجوابِ عن الشُّبُهاتِ الواردةِ في خبرِ الغَديرِ</w:t>
            </w:r>
            <w:r>
              <w:rPr>
                <w:rStyle w:val="IndexLink"/>
                <w:rtl w:val="true"/>
              </w:rPr>
              <w:tab/>
            </w:r>
            <w:r>
              <w:rPr>
                <w:rStyle w:val="IndexLink"/>
              </w:rPr>
              <w:t>329</w:t>
            </w:r>
          </w:hyperlink>
        </w:p>
        <w:p>
          <w:pPr>
            <w:pStyle w:val="Contents5"/>
            <w:tabs>
              <w:tab w:val="clear" w:pos="7892"/>
              <w:tab w:val="right" w:pos="9026" w:leader="dot"/>
            </w:tabs>
            <w:rPr/>
          </w:pPr>
          <w:hyperlink w:anchor="__RefHeading___Toc7830313_1280447820">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7830315_1280447820">
            <w:r>
              <w:rPr>
                <w:webHidden/>
                <w:rStyle w:val="IndexLink"/>
                <w:rtl w:val="true"/>
              </w:rPr>
              <w:t>تقرير دلالة حديث الغدير على الإمامة</w:t>
            </w:r>
            <w:r>
              <w:rPr>
                <w:rStyle w:val="IndexLink"/>
                <w:rtl w:val="true"/>
              </w:rPr>
              <w:tab/>
            </w:r>
            <w:r>
              <w:rPr>
                <w:rStyle w:val="IndexLink"/>
              </w:rPr>
              <w:t>332</w:t>
            </w:r>
          </w:hyperlink>
        </w:p>
        <w:p>
          <w:pPr>
            <w:pStyle w:val="Contents3"/>
            <w:tabs>
              <w:tab w:val="clear" w:pos="8459"/>
              <w:tab w:val="right" w:pos="9026" w:leader="dot"/>
            </w:tabs>
            <w:rPr/>
          </w:pPr>
          <w:hyperlink w:anchor="__RefHeading___Toc7830317_1280447820">
            <w:r>
              <w:rPr>
                <w:webHidden/>
                <w:rStyle w:val="IndexLink"/>
                <w:rtl w:val="true"/>
              </w:rPr>
              <w:t>(</w:t>
            </w:r>
            <w:r>
              <w:rPr>
                <w:rStyle w:val="IndexLink"/>
              </w:rPr>
              <w:t>62</w:t>
            </w:r>
            <w:r>
              <w:rPr>
                <w:rStyle w:val="IndexLink"/>
                <w:rtl w:val="true"/>
              </w:rPr>
              <w:t xml:space="preserve">) </w:t>
            </w:r>
            <w:r>
              <w:rPr>
                <w:rStyle w:val="IndexLink"/>
                <w:rtl w:val="true"/>
              </w:rPr>
              <w:t>مسألةٌ في عِلّةِ مُبايَعةِ أميرِ المؤمنينَ عليه السلام أبا بَكرٍ</w:t>
            </w:r>
            <w:r>
              <w:rPr>
                <w:rStyle w:val="IndexLink"/>
                <w:rtl w:val="true"/>
              </w:rPr>
              <w:tab/>
            </w:r>
            <w:r>
              <w:rPr>
                <w:rStyle w:val="IndexLink"/>
              </w:rPr>
              <w:t>335</w:t>
            </w:r>
          </w:hyperlink>
        </w:p>
        <w:p>
          <w:pPr>
            <w:pStyle w:val="Contents4"/>
            <w:tabs>
              <w:tab w:val="clear" w:pos="8176"/>
              <w:tab w:val="right" w:pos="9026" w:leader="dot"/>
            </w:tabs>
            <w:rPr/>
          </w:pPr>
          <w:hyperlink w:anchor="__RefHeading___Toc7830319_1280447820">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7830321_1280447820">
            <w:r>
              <w:rPr>
                <w:webHidden/>
                <w:rStyle w:val="IndexLink"/>
                <w:rtl w:val="true"/>
              </w:rPr>
              <w:t>مقدّمة التحقيق</w:t>
            </w:r>
            <w:r>
              <w:rPr>
                <w:rStyle w:val="IndexLink"/>
                <w:rtl w:val="true"/>
              </w:rPr>
              <w:tab/>
            </w:r>
            <w:r>
              <w:rPr>
                <w:rStyle w:val="IndexLink"/>
              </w:rPr>
              <w:t>337</w:t>
            </w:r>
          </w:hyperlink>
        </w:p>
        <w:p>
          <w:pPr>
            <w:pStyle w:val="Contents5"/>
            <w:tabs>
              <w:tab w:val="clear" w:pos="7892"/>
              <w:tab w:val="right" w:pos="9026" w:leader="dot"/>
            </w:tabs>
            <w:rPr/>
          </w:pPr>
          <w:hyperlink w:anchor="__RefHeading___Toc7830323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7830325_1280447820">
            <w:r>
              <w:rPr>
                <w:webHidden/>
                <w:rStyle w:val="IndexLink"/>
                <w:rtl w:val="true"/>
              </w:rPr>
              <w:t>محتوى الرسالة و نسبتها إلى المؤلّف</w:t>
            </w:r>
            <w:r>
              <w:rPr>
                <w:rStyle w:val="IndexLink"/>
                <w:rtl w:val="true"/>
              </w:rPr>
              <w:tab/>
            </w:r>
            <w:r>
              <w:rPr>
                <w:rStyle w:val="IndexLink"/>
              </w:rPr>
              <w:t>337</w:t>
            </w:r>
          </w:hyperlink>
        </w:p>
        <w:p>
          <w:pPr>
            <w:pStyle w:val="Contents5"/>
            <w:tabs>
              <w:tab w:val="clear" w:pos="7892"/>
              <w:tab w:val="right" w:pos="9026" w:leader="dot"/>
            </w:tabs>
            <w:rPr/>
          </w:pPr>
          <w:hyperlink w:anchor="__RefHeading___Toc7830327_1280447820">
            <w:r>
              <w:rPr>
                <w:webHidden/>
                <w:rStyle w:val="IndexLink"/>
                <w:rtl w:val="true"/>
              </w:rPr>
              <w:t>مخطوطات الرسالة</w:t>
            </w:r>
            <w:r>
              <w:rPr>
                <w:rStyle w:val="IndexLink"/>
                <w:rtl w:val="true"/>
              </w:rPr>
              <w:tab/>
            </w:r>
            <w:r>
              <w:rPr>
                <w:rStyle w:val="IndexLink"/>
              </w:rPr>
              <w:t>340</w:t>
            </w:r>
          </w:hyperlink>
        </w:p>
        <w:p>
          <w:pPr>
            <w:pStyle w:val="Contents4"/>
            <w:tabs>
              <w:tab w:val="clear" w:pos="8176"/>
              <w:tab w:val="right" w:pos="9026" w:leader="dot"/>
            </w:tabs>
            <w:rPr/>
          </w:pPr>
          <w:hyperlink w:anchor="__RefHeading___Toc7830329_1280447820">
            <w:r>
              <w:rPr>
                <w:webHidden/>
                <w:rStyle w:val="IndexLink"/>
                <w:rtl w:val="true"/>
              </w:rPr>
              <w:t>مسألةٌ في عِلّةِ مُبايَعةِ أميرِ المؤمنينَ عليه السلام أبا بَكرٍ</w:t>
            </w:r>
            <w:r>
              <w:rPr>
                <w:rStyle w:val="IndexLink"/>
                <w:rtl w:val="true"/>
              </w:rPr>
              <w:tab/>
            </w:r>
            <w:r>
              <w:rPr>
                <w:rStyle w:val="IndexLink"/>
              </w:rPr>
              <w:t>341</w:t>
            </w:r>
          </w:hyperlink>
        </w:p>
        <w:p>
          <w:pPr>
            <w:pStyle w:val="Contents3"/>
            <w:tabs>
              <w:tab w:val="clear" w:pos="8459"/>
              <w:tab w:val="right" w:pos="9026" w:leader="dot"/>
            </w:tabs>
            <w:rPr/>
          </w:pPr>
          <w:hyperlink w:anchor="__RefHeading___Toc7830331_1280447820">
            <w:r>
              <w:rPr>
                <w:webHidden/>
                <w:rStyle w:val="IndexLink"/>
                <w:rtl w:val="true"/>
              </w:rPr>
              <w:t>(</w:t>
            </w:r>
            <w:r>
              <w:rPr>
                <w:rStyle w:val="IndexLink"/>
              </w:rPr>
              <w:t>63</w:t>
            </w:r>
            <w:r>
              <w:rPr>
                <w:rStyle w:val="IndexLink"/>
                <w:rtl w:val="true"/>
              </w:rPr>
              <w:t xml:space="preserve">) </w:t>
            </w:r>
            <w:r>
              <w:rPr>
                <w:rStyle w:val="IndexLink"/>
                <w:rtl w:val="true"/>
              </w:rPr>
              <w:t>مسألةٌ في عِلّةِ امتناعِ عليٍّ عليه السلام عن مُحارَبةِ الغاصبينَ لحَقِّه بَعدَ الرسولِ صلى الله عليه و آله</w:t>
            </w:r>
            <w:r>
              <w:rPr>
                <w:rStyle w:val="IndexLink"/>
                <w:rtl w:val="true"/>
              </w:rPr>
              <w:tab/>
            </w:r>
            <w:r>
              <w:rPr>
                <w:rStyle w:val="IndexLink"/>
              </w:rPr>
              <w:t>349</w:t>
            </w:r>
          </w:hyperlink>
        </w:p>
        <w:p>
          <w:pPr>
            <w:pStyle w:val="Contents4"/>
            <w:tabs>
              <w:tab w:val="clear" w:pos="8176"/>
              <w:tab w:val="right" w:pos="9026" w:leader="dot"/>
            </w:tabs>
            <w:rPr/>
          </w:pPr>
          <w:hyperlink w:anchor="__RefHeading___Toc7830333_1280447820">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7830335_1280447820">
            <w:r>
              <w:rPr>
                <w:webHidden/>
                <w:rStyle w:val="IndexLink"/>
                <w:rtl w:val="true"/>
              </w:rPr>
              <w:t>مقدّمة التحقيق</w:t>
            </w:r>
            <w:r>
              <w:rPr>
                <w:rStyle w:val="IndexLink"/>
                <w:rtl w:val="true"/>
              </w:rPr>
              <w:tab/>
            </w:r>
            <w:r>
              <w:rPr>
                <w:rStyle w:val="IndexLink"/>
              </w:rPr>
              <w:t>351</w:t>
            </w:r>
          </w:hyperlink>
        </w:p>
        <w:p>
          <w:pPr>
            <w:pStyle w:val="Contents5"/>
            <w:tabs>
              <w:tab w:val="clear" w:pos="7892"/>
              <w:tab w:val="right" w:pos="9026" w:leader="dot"/>
            </w:tabs>
            <w:rPr/>
          </w:pPr>
          <w:hyperlink w:anchor="__RefHeading___Toc7830337_1280447820">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7830339_1280447820">
            <w:r>
              <w:rPr>
                <w:webHidden/>
                <w:rStyle w:val="IndexLink"/>
                <w:rtl w:val="true"/>
              </w:rPr>
              <w:t>مخطوطات الرسالة</w:t>
            </w:r>
            <w:r>
              <w:rPr>
                <w:rStyle w:val="IndexLink"/>
                <w:rtl w:val="true"/>
              </w:rPr>
              <w:tab/>
            </w:r>
            <w:r>
              <w:rPr>
                <w:rStyle w:val="IndexLink"/>
              </w:rPr>
              <w:t>354</w:t>
            </w:r>
          </w:hyperlink>
        </w:p>
        <w:p>
          <w:pPr>
            <w:pStyle w:val="Contents6"/>
            <w:tabs>
              <w:tab w:val="clear" w:pos="7609"/>
              <w:tab w:val="right" w:pos="9026" w:leader="dot"/>
            </w:tabs>
            <w:rPr/>
          </w:pPr>
          <w:hyperlink w:anchor="__RefHeading___Toc7830341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354</w:t>
            </w:r>
          </w:hyperlink>
        </w:p>
        <w:p>
          <w:pPr>
            <w:pStyle w:val="Contents6"/>
            <w:tabs>
              <w:tab w:val="clear" w:pos="7609"/>
              <w:tab w:val="right" w:pos="9026" w:leader="dot"/>
            </w:tabs>
            <w:rPr/>
          </w:pPr>
          <w:hyperlink w:anchor="__RefHeading___Toc7830343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354</w:t>
            </w:r>
          </w:hyperlink>
        </w:p>
        <w:p>
          <w:pPr>
            <w:pStyle w:val="Contents4"/>
            <w:tabs>
              <w:tab w:val="clear" w:pos="8176"/>
              <w:tab w:val="right" w:pos="9026" w:leader="dot"/>
            </w:tabs>
            <w:rPr/>
          </w:pPr>
          <w:hyperlink w:anchor="__RefHeading___Toc7830345_1280447820">
            <w:r>
              <w:rPr>
                <w:webHidden/>
                <w:rStyle w:val="IndexLink"/>
                <w:rtl w:val="true"/>
              </w:rPr>
              <w:t>مسألةٌ في عِلّةِ امتناعِ عليٍّ عليه السلام عن مُحارَبةِ الغاصبينَ لحَقِّه بَعدَ الرسولِ صلى الله عليه و آله</w:t>
            </w:r>
            <w:r>
              <w:rPr>
                <w:rStyle w:val="IndexLink"/>
                <w:rtl w:val="true"/>
              </w:rPr>
              <w:tab/>
            </w:r>
            <w:r>
              <w:rPr>
                <w:rStyle w:val="IndexLink"/>
              </w:rPr>
              <w:t>355</w:t>
            </w:r>
          </w:hyperlink>
        </w:p>
        <w:p>
          <w:pPr>
            <w:pStyle w:val="Contents3"/>
            <w:tabs>
              <w:tab w:val="clear" w:pos="8459"/>
              <w:tab w:val="right" w:pos="9026" w:leader="dot"/>
            </w:tabs>
            <w:rPr/>
          </w:pPr>
          <w:hyperlink w:anchor="__RefHeading___Toc7830347_1280447820">
            <w:r>
              <w:rPr>
                <w:webHidden/>
                <w:rStyle w:val="IndexLink"/>
                <w:rtl w:val="true"/>
              </w:rPr>
              <w:t>(</w:t>
            </w:r>
            <w:r>
              <w:rPr>
                <w:rStyle w:val="IndexLink"/>
              </w:rPr>
              <w:t>64</w:t>
            </w:r>
            <w:r>
              <w:rPr>
                <w:rStyle w:val="IndexLink"/>
                <w:rtl w:val="true"/>
              </w:rPr>
              <w:t xml:space="preserve">) </w:t>
            </w:r>
            <w:r>
              <w:rPr>
                <w:rStyle w:val="IndexLink"/>
                <w:rtl w:val="true"/>
              </w:rPr>
              <w:t>إنكاحُ أميرِ المُؤمِنينَ عليه السلام ابنَتَه مِن عُمَرَ</w:t>
            </w:r>
            <w:r>
              <w:rPr>
                <w:rStyle w:val="IndexLink"/>
                <w:rtl w:val="true"/>
              </w:rPr>
              <w:tab/>
            </w:r>
            <w:r>
              <w:rPr>
                <w:rStyle w:val="IndexLink"/>
              </w:rPr>
              <w:t>363</w:t>
            </w:r>
          </w:hyperlink>
        </w:p>
        <w:p>
          <w:pPr>
            <w:pStyle w:val="Contents4"/>
            <w:tabs>
              <w:tab w:val="clear" w:pos="8176"/>
              <w:tab w:val="right" w:pos="9026" w:leader="dot"/>
            </w:tabs>
            <w:rPr/>
          </w:pPr>
          <w:hyperlink w:anchor="__RefHeading___Toc7830349_1280447820">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7830351_1280447820">
            <w:r>
              <w:rPr>
                <w:webHidden/>
                <w:rStyle w:val="IndexLink"/>
                <w:rtl w:val="true"/>
              </w:rPr>
              <w:t>مقدّمة التحقيق</w:t>
            </w:r>
            <w:r>
              <w:rPr>
                <w:rStyle w:val="IndexLink"/>
                <w:rtl w:val="true"/>
              </w:rPr>
              <w:tab/>
            </w:r>
            <w:r>
              <w:rPr>
                <w:rStyle w:val="IndexLink"/>
              </w:rPr>
              <w:t>365</w:t>
            </w:r>
          </w:hyperlink>
        </w:p>
        <w:p>
          <w:pPr>
            <w:pStyle w:val="Contents5"/>
            <w:tabs>
              <w:tab w:val="clear" w:pos="7892"/>
              <w:tab w:val="right" w:pos="9026" w:leader="dot"/>
            </w:tabs>
            <w:rPr/>
          </w:pPr>
          <w:hyperlink w:anchor="__RefHeading___Toc7830353_1280447820">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7830355_1280447820">
            <w:r>
              <w:rPr>
                <w:webHidden/>
                <w:rStyle w:val="IndexLink"/>
                <w:rtl w:val="true"/>
              </w:rPr>
              <w:t>محتوى الرسالة</w:t>
            </w:r>
            <w:r>
              <w:rPr>
                <w:rStyle w:val="IndexLink"/>
                <w:rtl w:val="true"/>
              </w:rPr>
              <w:tab/>
            </w:r>
            <w:r>
              <w:rPr>
                <w:rStyle w:val="IndexLink"/>
              </w:rPr>
              <w:t>365</w:t>
            </w:r>
          </w:hyperlink>
        </w:p>
        <w:p>
          <w:pPr>
            <w:pStyle w:val="Contents5"/>
            <w:tabs>
              <w:tab w:val="clear" w:pos="7892"/>
              <w:tab w:val="right" w:pos="9026" w:leader="dot"/>
            </w:tabs>
            <w:rPr/>
          </w:pPr>
          <w:hyperlink w:anchor="__RefHeading___Toc7830357_1280447820">
            <w:r>
              <w:rPr>
                <w:webHidden/>
                <w:rStyle w:val="IndexLink"/>
                <w:rtl w:val="true"/>
              </w:rPr>
              <w:t>نسبتها إلى المؤلّف</w:t>
            </w:r>
            <w:r>
              <w:rPr>
                <w:rStyle w:val="IndexLink"/>
                <w:rtl w:val="true"/>
              </w:rPr>
              <w:tab/>
            </w:r>
            <w:r>
              <w:rPr>
                <w:rStyle w:val="IndexLink"/>
              </w:rPr>
              <w:t>368</w:t>
            </w:r>
          </w:hyperlink>
        </w:p>
        <w:p>
          <w:pPr>
            <w:pStyle w:val="Contents5"/>
            <w:tabs>
              <w:tab w:val="clear" w:pos="7892"/>
              <w:tab w:val="right" w:pos="9026" w:leader="dot"/>
            </w:tabs>
            <w:rPr/>
          </w:pPr>
          <w:hyperlink w:anchor="__RefHeading___Toc7830359_1280447820">
            <w:r>
              <w:rPr>
                <w:webHidden/>
                <w:rStyle w:val="IndexLink"/>
                <w:rtl w:val="true"/>
              </w:rPr>
              <w:t>من فوائد المخطوطات</w:t>
            </w:r>
            <w:r>
              <w:rPr>
                <w:rStyle w:val="IndexLink"/>
                <w:rtl w:val="true"/>
              </w:rPr>
              <w:tab/>
            </w:r>
            <w:r>
              <w:rPr>
                <w:rStyle w:val="IndexLink"/>
              </w:rPr>
              <w:t>369</w:t>
            </w:r>
          </w:hyperlink>
        </w:p>
        <w:p>
          <w:pPr>
            <w:pStyle w:val="Contents5"/>
            <w:tabs>
              <w:tab w:val="clear" w:pos="7892"/>
              <w:tab w:val="right" w:pos="9026" w:leader="dot"/>
            </w:tabs>
            <w:rPr/>
          </w:pPr>
          <w:hyperlink w:anchor="__RefHeading___Toc7830361_1280447820">
            <w:r>
              <w:rPr>
                <w:webHidden/>
                <w:rStyle w:val="IndexLink"/>
                <w:rtl w:val="true"/>
              </w:rPr>
              <w:t>مخطوطات الرسالة</w:t>
            </w:r>
            <w:r>
              <w:rPr>
                <w:rStyle w:val="IndexLink"/>
                <w:rtl w:val="true"/>
              </w:rPr>
              <w:tab/>
            </w:r>
            <w:r>
              <w:rPr>
                <w:rStyle w:val="IndexLink"/>
              </w:rPr>
              <w:t>371</w:t>
            </w:r>
          </w:hyperlink>
        </w:p>
        <w:p>
          <w:pPr>
            <w:pStyle w:val="Contents6"/>
            <w:tabs>
              <w:tab w:val="clear" w:pos="7609"/>
              <w:tab w:val="right" w:pos="9026" w:leader="dot"/>
            </w:tabs>
            <w:rPr/>
          </w:pPr>
          <w:hyperlink w:anchor="__RefHeading___Toc7830363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371</w:t>
            </w:r>
          </w:hyperlink>
        </w:p>
        <w:p>
          <w:pPr>
            <w:pStyle w:val="Contents6"/>
            <w:tabs>
              <w:tab w:val="clear" w:pos="7609"/>
              <w:tab w:val="right" w:pos="9026" w:leader="dot"/>
            </w:tabs>
            <w:rPr/>
          </w:pPr>
          <w:hyperlink w:anchor="__RefHeading___Toc7830365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372</w:t>
            </w:r>
          </w:hyperlink>
        </w:p>
        <w:p>
          <w:pPr>
            <w:pStyle w:val="Contents4"/>
            <w:tabs>
              <w:tab w:val="clear" w:pos="8176"/>
              <w:tab w:val="right" w:pos="9026" w:leader="dot"/>
            </w:tabs>
            <w:rPr/>
          </w:pPr>
          <w:hyperlink w:anchor="__RefHeading___Toc7830367_1280447820">
            <w:r>
              <w:rPr>
                <w:webHidden/>
                <w:rStyle w:val="IndexLink"/>
                <w:rtl w:val="true"/>
              </w:rPr>
              <w:t>إنكاحُ أميرِ المُؤمِنينَ عليه السلام ابنَتَه مِن عُمَرَ</w:t>
            </w:r>
            <w:r>
              <w:rPr>
                <w:rStyle w:val="IndexLink"/>
                <w:rtl w:val="true"/>
              </w:rPr>
              <w:tab/>
            </w:r>
            <w:r>
              <w:rPr>
                <w:rStyle w:val="IndexLink"/>
              </w:rPr>
              <w:t>375</w:t>
            </w:r>
          </w:hyperlink>
        </w:p>
        <w:p>
          <w:pPr>
            <w:pStyle w:val="Contents5"/>
            <w:tabs>
              <w:tab w:val="clear" w:pos="7892"/>
              <w:tab w:val="right" w:pos="9026" w:leader="dot"/>
            </w:tabs>
            <w:rPr/>
          </w:pPr>
          <w:hyperlink w:anchor="__RefHeading___Toc7830369_1280447820">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7830371_1280447820">
            <w:r>
              <w:rPr>
                <w:webHidden/>
                <w:rStyle w:val="IndexLink"/>
                <w:rtl w:val="true"/>
              </w:rPr>
              <w:t>إنكاحُ النبيِّ صلى الله عليه و آله ابنَتَيهِ عُثمانَ و نكاحُه عائشةَ و حفصةَ‌</w:t>
            </w:r>
            <w:r>
              <w:rPr>
                <w:rStyle w:val="IndexLink"/>
                <w:rtl w:val="true"/>
              </w:rPr>
              <w:tab/>
            </w:r>
            <w:r>
              <w:rPr>
                <w:rStyle w:val="IndexLink"/>
              </w:rPr>
              <w:t>378</w:t>
            </w:r>
          </w:hyperlink>
        </w:p>
        <w:p>
          <w:pPr>
            <w:pStyle w:val="Contents5"/>
            <w:tabs>
              <w:tab w:val="clear" w:pos="7892"/>
              <w:tab w:val="right" w:pos="9026" w:leader="dot"/>
            </w:tabs>
            <w:rPr/>
          </w:pPr>
          <w:hyperlink w:anchor="__RefHeading___Toc7830373_1280447820">
            <w:r>
              <w:rPr>
                <w:webHidden/>
                <w:rStyle w:val="IndexLink"/>
                <w:rtl w:val="true"/>
              </w:rPr>
              <w:t>حَقُّ القَولِ في إنكاحِ أميرِ المؤمنينَ عليه السلام ابنَتَه مِن عُمَرَ</w:t>
            </w:r>
            <w:r>
              <w:rPr>
                <w:rStyle w:val="IndexLink"/>
                <w:rtl w:val="true"/>
              </w:rPr>
              <w:tab/>
            </w:r>
            <w:r>
              <w:rPr>
                <w:rStyle w:val="IndexLink"/>
              </w:rPr>
              <w:t>385</w:t>
            </w:r>
          </w:hyperlink>
        </w:p>
        <w:p>
          <w:pPr>
            <w:pStyle w:val="Contents3"/>
            <w:tabs>
              <w:tab w:val="clear" w:pos="8459"/>
              <w:tab w:val="right" w:pos="9026" w:leader="dot"/>
            </w:tabs>
            <w:rPr/>
          </w:pPr>
          <w:hyperlink w:anchor="__RefHeading___Toc7830375_1280447820">
            <w:r>
              <w:rPr>
                <w:webHidden/>
                <w:rStyle w:val="IndexLink"/>
                <w:rtl w:val="true"/>
              </w:rPr>
              <w:t>(</w:t>
            </w:r>
            <w:r>
              <w:rPr>
                <w:rStyle w:val="IndexLink"/>
              </w:rPr>
              <w:t>65</w:t>
            </w:r>
            <w:r>
              <w:rPr>
                <w:rStyle w:val="IndexLink"/>
                <w:rtl w:val="true"/>
              </w:rPr>
              <w:t xml:space="preserve">) </w:t>
            </w:r>
            <w:r>
              <w:rPr>
                <w:rStyle w:val="IndexLink"/>
                <w:rtl w:val="true"/>
              </w:rPr>
              <w:t>مَسألةٌ أُخرىٰ حَولَ إنكاحِ أميرِ المؤمنينَ عليه السلام ابنَتَه مِن عُمَرَ</w:t>
            </w:r>
            <w:r>
              <w:rPr>
                <w:rStyle w:val="IndexLink"/>
                <w:rtl w:val="true"/>
              </w:rPr>
              <w:tab/>
            </w:r>
            <w:r>
              <w:rPr>
                <w:rStyle w:val="IndexLink"/>
              </w:rPr>
              <w:t>391</w:t>
            </w:r>
          </w:hyperlink>
        </w:p>
        <w:p>
          <w:pPr>
            <w:pStyle w:val="Contents4"/>
            <w:tabs>
              <w:tab w:val="clear" w:pos="8176"/>
              <w:tab w:val="right" w:pos="9026" w:leader="dot"/>
            </w:tabs>
            <w:rPr/>
          </w:pPr>
          <w:hyperlink w:anchor="__RefHeading___Toc7830377_1280447820">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7830379_1280447820">
            <w:r>
              <w:rPr>
                <w:webHidden/>
                <w:rStyle w:val="IndexLink"/>
                <w:rtl w:val="true"/>
              </w:rPr>
              <w:t>مقدّمة التحقيق</w:t>
            </w:r>
            <w:r>
              <w:rPr>
                <w:rStyle w:val="IndexLink"/>
                <w:rtl w:val="true"/>
              </w:rPr>
              <w:tab/>
            </w:r>
            <w:r>
              <w:rPr>
                <w:rStyle w:val="IndexLink"/>
              </w:rPr>
              <w:t>393</w:t>
            </w:r>
          </w:hyperlink>
        </w:p>
        <w:p>
          <w:pPr>
            <w:pStyle w:val="Contents5"/>
            <w:tabs>
              <w:tab w:val="clear" w:pos="7892"/>
              <w:tab w:val="right" w:pos="9026" w:leader="dot"/>
            </w:tabs>
            <w:rPr/>
          </w:pPr>
          <w:hyperlink w:anchor="__RefHeading___Toc7830381_1280447820">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7830383_1280447820">
            <w:r>
              <w:rPr>
                <w:webHidden/>
                <w:rStyle w:val="IndexLink"/>
                <w:rtl w:val="true"/>
              </w:rPr>
              <w:t>مخطوطات الرسالة</w:t>
            </w:r>
            <w:r>
              <w:rPr>
                <w:rStyle w:val="IndexLink"/>
                <w:rtl w:val="true"/>
              </w:rPr>
              <w:tab/>
            </w:r>
            <w:r>
              <w:rPr>
                <w:rStyle w:val="IndexLink"/>
              </w:rPr>
              <w:t>394</w:t>
            </w:r>
          </w:hyperlink>
        </w:p>
        <w:p>
          <w:pPr>
            <w:pStyle w:val="Contents4"/>
            <w:tabs>
              <w:tab w:val="clear" w:pos="8176"/>
              <w:tab w:val="right" w:pos="9026" w:leader="dot"/>
            </w:tabs>
            <w:rPr/>
          </w:pPr>
          <w:hyperlink w:anchor="__RefHeading___Toc7830385_1280447820">
            <w:r>
              <w:rPr>
                <w:webHidden/>
                <w:rStyle w:val="IndexLink"/>
                <w:rtl w:val="true"/>
              </w:rPr>
              <w:t>مَسألةٌ أُخرىٰ حَولَ إنكاحِ أميرِ المؤمنينَ عليه السلام ابنَتَه مِن عُمَرَ</w:t>
            </w:r>
            <w:r>
              <w:rPr>
                <w:rStyle w:val="IndexLink"/>
                <w:rtl w:val="true"/>
              </w:rPr>
              <w:tab/>
            </w:r>
            <w:r>
              <w:rPr>
                <w:rStyle w:val="IndexLink"/>
              </w:rPr>
              <w:t>395</w:t>
            </w:r>
          </w:hyperlink>
        </w:p>
        <w:p>
          <w:pPr>
            <w:pStyle w:val="Contents3"/>
            <w:tabs>
              <w:tab w:val="clear" w:pos="8459"/>
              <w:tab w:val="right" w:pos="9026" w:leader="dot"/>
            </w:tabs>
            <w:rPr/>
          </w:pPr>
          <w:hyperlink w:anchor="__RefHeading___Toc7830387_1280447820">
            <w:r>
              <w:rPr>
                <w:webHidden/>
                <w:rStyle w:val="IndexLink"/>
                <w:rtl w:val="true"/>
              </w:rPr>
              <w:t>(</w:t>
            </w:r>
            <w:r>
              <w:rPr>
                <w:rStyle w:val="IndexLink"/>
              </w:rPr>
              <w:t>66</w:t>
            </w:r>
            <w:r>
              <w:rPr>
                <w:rStyle w:val="IndexLink"/>
                <w:rtl w:val="true"/>
              </w:rPr>
              <w:t xml:space="preserve">) </w:t>
            </w:r>
            <w:r>
              <w:rPr>
                <w:rStyle w:val="IndexLink"/>
                <w:rtl w:val="true"/>
              </w:rPr>
              <w:t>المسألةُ في تفضيلِ فاطمةَ عليها السلام</w:t>
            </w:r>
            <w:r>
              <w:rPr>
                <w:rStyle w:val="IndexLink"/>
                <w:rtl w:val="true"/>
              </w:rPr>
              <w:tab/>
            </w:r>
            <w:r>
              <w:rPr>
                <w:rStyle w:val="IndexLink"/>
              </w:rPr>
              <w:t>399</w:t>
            </w:r>
          </w:hyperlink>
        </w:p>
        <w:p>
          <w:pPr>
            <w:pStyle w:val="Contents4"/>
            <w:tabs>
              <w:tab w:val="clear" w:pos="8176"/>
              <w:tab w:val="right" w:pos="9026" w:leader="dot"/>
            </w:tabs>
            <w:rPr/>
          </w:pPr>
          <w:hyperlink w:anchor="__RefHeading___Toc7830389_1280447820">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7830391_1280447820">
            <w:r>
              <w:rPr>
                <w:webHidden/>
                <w:rStyle w:val="IndexLink"/>
                <w:rtl w:val="true"/>
              </w:rPr>
              <w:t>مقدّمة التحقيق</w:t>
            </w:r>
            <w:r>
              <w:rPr>
                <w:rStyle w:val="IndexLink"/>
                <w:rtl w:val="true"/>
              </w:rPr>
              <w:tab/>
            </w:r>
            <w:r>
              <w:rPr>
                <w:rStyle w:val="IndexLink"/>
              </w:rPr>
              <w:t>401</w:t>
            </w:r>
          </w:hyperlink>
        </w:p>
        <w:p>
          <w:pPr>
            <w:pStyle w:val="Contents5"/>
            <w:tabs>
              <w:tab w:val="clear" w:pos="7892"/>
              <w:tab w:val="right" w:pos="9026" w:leader="dot"/>
            </w:tabs>
            <w:rPr/>
          </w:pPr>
          <w:hyperlink w:anchor="__RefHeading___Toc7830393_1280447820">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7830395_1280447820">
            <w:r>
              <w:rPr>
                <w:webHidden/>
                <w:rStyle w:val="IndexLink"/>
                <w:rtl w:val="true"/>
              </w:rPr>
              <w:t>محتوى الرسالة</w:t>
            </w:r>
            <w:r>
              <w:rPr>
                <w:rStyle w:val="IndexLink"/>
                <w:rtl w:val="true"/>
              </w:rPr>
              <w:tab/>
            </w:r>
            <w:r>
              <w:rPr>
                <w:rStyle w:val="IndexLink"/>
              </w:rPr>
              <w:t>402</w:t>
            </w:r>
          </w:hyperlink>
        </w:p>
        <w:p>
          <w:pPr>
            <w:pStyle w:val="Contents5"/>
            <w:tabs>
              <w:tab w:val="clear" w:pos="7892"/>
              <w:tab w:val="right" w:pos="9026" w:leader="dot"/>
            </w:tabs>
            <w:rPr/>
          </w:pPr>
          <w:hyperlink w:anchor="__RefHeading___Toc7830397_1280447820">
            <w:r>
              <w:rPr>
                <w:webHidden/>
                <w:rStyle w:val="IndexLink"/>
                <w:rtl w:val="true"/>
              </w:rPr>
              <w:t>مخطوطات الرسالة</w:t>
            </w:r>
            <w:r>
              <w:rPr>
                <w:rStyle w:val="IndexLink"/>
                <w:rtl w:val="true"/>
              </w:rPr>
              <w:tab/>
            </w:r>
            <w:r>
              <w:rPr>
                <w:rStyle w:val="IndexLink"/>
              </w:rPr>
              <w:t>403</w:t>
            </w:r>
          </w:hyperlink>
        </w:p>
        <w:p>
          <w:pPr>
            <w:pStyle w:val="Contents4"/>
            <w:tabs>
              <w:tab w:val="clear" w:pos="8176"/>
              <w:tab w:val="right" w:pos="9026" w:leader="dot"/>
            </w:tabs>
            <w:rPr/>
          </w:pPr>
          <w:hyperlink w:anchor="__RefHeading___Toc7830399_1280447820">
            <w:r>
              <w:rPr>
                <w:webHidden/>
                <w:rStyle w:val="IndexLink"/>
                <w:rtl w:val="true"/>
              </w:rPr>
              <w:t>المسألةُ في تفضيلِ فاطمةَ عليها السلام</w:t>
            </w:r>
            <w:r>
              <w:rPr>
                <w:rStyle w:val="IndexLink"/>
                <w:rtl w:val="true"/>
              </w:rPr>
              <w:tab/>
            </w:r>
            <w:r>
              <w:rPr>
                <w:rStyle w:val="IndexLink"/>
              </w:rPr>
              <w:t>405</w:t>
            </w:r>
          </w:hyperlink>
        </w:p>
        <w:p>
          <w:pPr>
            <w:pStyle w:val="Contents3"/>
            <w:tabs>
              <w:tab w:val="clear" w:pos="8459"/>
              <w:tab w:val="right" w:pos="9026" w:leader="dot"/>
            </w:tabs>
            <w:rPr/>
          </w:pPr>
          <w:hyperlink w:anchor="__RefHeading___Toc7830401_1280447820">
            <w:r>
              <w:rPr>
                <w:webHidden/>
                <w:rStyle w:val="IndexLink"/>
                <w:rtl w:val="true"/>
              </w:rPr>
              <w:t>(</w:t>
            </w:r>
            <w:r>
              <w:rPr>
                <w:rStyle w:val="IndexLink"/>
              </w:rPr>
              <w:t>67</w:t>
            </w:r>
            <w:r>
              <w:rPr>
                <w:rStyle w:val="IndexLink"/>
                <w:rtl w:val="true"/>
              </w:rPr>
              <w:t xml:space="preserve">) </w:t>
            </w:r>
            <w:r>
              <w:rPr>
                <w:rStyle w:val="IndexLink"/>
                <w:rtl w:val="true"/>
              </w:rPr>
              <w:t>مَسألةٌ في فَدَكَ‌</w:t>
            </w:r>
            <w:r>
              <w:rPr>
                <w:rStyle w:val="IndexLink"/>
                <w:rtl w:val="true"/>
              </w:rPr>
              <w:tab/>
            </w:r>
            <w:r>
              <w:rPr>
                <w:rStyle w:val="IndexLink"/>
              </w:rPr>
              <w:t>407</w:t>
            </w:r>
          </w:hyperlink>
        </w:p>
        <w:p>
          <w:pPr>
            <w:pStyle w:val="Contents4"/>
            <w:tabs>
              <w:tab w:val="clear" w:pos="8176"/>
              <w:tab w:val="right" w:pos="9026" w:leader="dot"/>
            </w:tabs>
            <w:rPr/>
          </w:pPr>
          <w:hyperlink w:anchor="__RefHeading___Toc7830403_1280447820">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7830405_1280447820">
            <w:r>
              <w:rPr>
                <w:webHidden/>
                <w:rStyle w:val="IndexLink"/>
                <w:rtl w:val="true"/>
              </w:rPr>
              <w:t>مقدّمة التحقيق</w:t>
            </w:r>
            <w:r>
              <w:rPr>
                <w:rStyle w:val="IndexLink"/>
                <w:rtl w:val="true"/>
              </w:rPr>
              <w:tab/>
            </w:r>
            <w:r>
              <w:rPr>
                <w:rStyle w:val="IndexLink"/>
              </w:rPr>
              <w:t>409</w:t>
            </w:r>
          </w:hyperlink>
        </w:p>
        <w:p>
          <w:pPr>
            <w:pStyle w:val="Contents5"/>
            <w:tabs>
              <w:tab w:val="clear" w:pos="7892"/>
              <w:tab w:val="right" w:pos="9026" w:leader="dot"/>
            </w:tabs>
            <w:rPr/>
          </w:pPr>
          <w:hyperlink w:anchor="__RefHeading___Toc7830407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7830409_1280447820">
            <w:r>
              <w:rPr>
                <w:webHidden/>
                <w:rStyle w:val="IndexLink"/>
                <w:rtl w:val="true"/>
              </w:rPr>
              <w:t>مخطوطات الرسالة</w:t>
            </w:r>
            <w:r>
              <w:rPr>
                <w:rStyle w:val="IndexLink"/>
                <w:rtl w:val="true"/>
              </w:rPr>
              <w:tab/>
            </w:r>
            <w:r>
              <w:rPr>
                <w:rStyle w:val="IndexLink"/>
              </w:rPr>
              <w:t>411</w:t>
            </w:r>
          </w:hyperlink>
        </w:p>
        <w:p>
          <w:pPr>
            <w:pStyle w:val="Contents4"/>
            <w:tabs>
              <w:tab w:val="clear" w:pos="8176"/>
              <w:tab w:val="right" w:pos="9026" w:leader="dot"/>
            </w:tabs>
            <w:rPr/>
          </w:pPr>
          <w:hyperlink w:anchor="__RefHeading___Toc7830411_1280447820">
            <w:r>
              <w:rPr>
                <w:webHidden/>
                <w:rStyle w:val="IndexLink"/>
                <w:rtl w:val="true"/>
              </w:rPr>
              <w:t>مَسألةٌ في فَدَكَ‌</w:t>
            </w:r>
            <w:r>
              <w:rPr>
                <w:rStyle w:val="IndexLink"/>
                <w:rtl w:val="true"/>
              </w:rPr>
              <w:tab/>
            </w:r>
            <w:r>
              <w:rPr>
                <w:rStyle w:val="IndexLink"/>
              </w:rPr>
              <w:t>413</w:t>
            </w:r>
          </w:hyperlink>
        </w:p>
        <w:p>
          <w:pPr>
            <w:pStyle w:val="Contents3"/>
            <w:tabs>
              <w:tab w:val="clear" w:pos="8459"/>
              <w:tab w:val="right" w:pos="9026" w:leader="dot"/>
            </w:tabs>
            <w:rPr/>
          </w:pPr>
          <w:hyperlink w:anchor="__RefHeading___Toc7830413_1280447820">
            <w:r>
              <w:rPr>
                <w:webHidden/>
                <w:rStyle w:val="IndexLink"/>
                <w:rtl w:val="true"/>
              </w:rPr>
              <w:t>(</w:t>
            </w:r>
            <w:r>
              <w:rPr>
                <w:rStyle w:val="IndexLink"/>
              </w:rPr>
              <w:t>68</w:t>
            </w:r>
            <w:r>
              <w:rPr>
                <w:rStyle w:val="IndexLink"/>
                <w:rtl w:val="true"/>
              </w:rPr>
              <w:t xml:space="preserve">) </w:t>
            </w:r>
            <w:r>
              <w:rPr>
                <w:rStyle w:val="IndexLink"/>
                <w:rtl w:val="true"/>
              </w:rPr>
              <w:t>مسألةٌ في صِحّةِ حَملِ رأسِ الحُسَينِ عليه السلام إلَى الشامِ‌</w:t>
            </w:r>
            <w:r>
              <w:rPr>
                <w:rStyle w:val="IndexLink"/>
                <w:rtl w:val="true"/>
              </w:rPr>
              <w:tab/>
            </w:r>
            <w:r>
              <w:rPr>
                <w:rStyle w:val="IndexLink"/>
              </w:rPr>
              <w:t>417</w:t>
            </w:r>
          </w:hyperlink>
        </w:p>
        <w:p>
          <w:pPr>
            <w:pStyle w:val="Contents4"/>
            <w:tabs>
              <w:tab w:val="clear" w:pos="8176"/>
              <w:tab w:val="right" w:pos="9026" w:leader="dot"/>
            </w:tabs>
            <w:rPr/>
          </w:pPr>
          <w:hyperlink w:anchor="__RefHeading___Toc7830415_1280447820">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7830417_1280447820">
            <w:r>
              <w:rPr>
                <w:webHidden/>
                <w:rStyle w:val="IndexLink"/>
                <w:rtl w:val="true"/>
              </w:rPr>
              <w:t>مقدّمة التحقيق</w:t>
            </w:r>
            <w:r>
              <w:rPr>
                <w:rStyle w:val="IndexLink"/>
                <w:rtl w:val="true"/>
              </w:rPr>
              <w:tab/>
            </w:r>
            <w:r>
              <w:rPr>
                <w:rStyle w:val="IndexLink"/>
              </w:rPr>
              <w:t>419</w:t>
            </w:r>
          </w:hyperlink>
        </w:p>
        <w:p>
          <w:pPr>
            <w:pStyle w:val="Contents5"/>
            <w:tabs>
              <w:tab w:val="clear" w:pos="7892"/>
              <w:tab w:val="right" w:pos="9026" w:leader="dot"/>
            </w:tabs>
            <w:rPr/>
          </w:pPr>
          <w:hyperlink w:anchor="__RefHeading___Toc7830419_1280447820">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7830421_1280447820">
            <w:r>
              <w:rPr>
                <w:webHidden/>
                <w:rStyle w:val="IndexLink"/>
                <w:rtl w:val="true"/>
              </w:rPr>
              <w:t>مخطوطات الرسالة</w:t>
            </w:r>
            <w:r>
              <w:rPr>
                <w:rStyle w:val="IndexLink"/>
                <w:rtl w:val="true"/>
              </w:rPr>
              <w:tab/>
            </w:r>
            <w:r>
              <w:rPr>
                <w:rStyle w:val="IndexLink"/>
              </w:rPr>
              <w:t>421</w:t>
            </w:r>
          </w:hyperlink>
        </w:p>
        <w:p>
          <w:pPr>
            <w:pStyle w:val="Contents5"/>
            <w:tabs>
              <w:tab w:val="clear" w:pos="7892"/>
              <w:tab w:val="right" w:pos="9026" w:leader="dot"/>
            </w:tabs>
            <w:rPr/>
          </w:pPr>
          <w:hyperlink w:anchor="__RefHeading___Toc7830423_1280447820">
            <w:r>
              <w:rPr>
                <w:webHidden/>
                <w:rStyle w:val="IndexLink"/>
                <w:rtl w:val="true"/>
              </w:rPr>
              <w:t>مسألةٌ في صِحّةِ حَملِ رأسِ الحُسَينِ عليه السلام إلَى الشامِ‌</w:t>
            </w:r>
            <w:r>
              <w:rPr>
                <w:rStyle w:val="IndexLink"/>
                <w:rtl w:val="true"/>
              </w:rPr>
              <w:tab/>
            </w:r>
            <w:r>
              <w:rPr>
                <w:rStyle w:val="IndexLink"/>
              </w:rPr>
              <w:t>423</w:t>
            </w:r>
          </w:hyperlink>
        </w:p>
        <w:p>
          <w:pPr>
            <w:pStyle w:val="Contents3"/>
            <w:tabs>
              <w:tab w:val="clear" w:pos="8459"/>
              <w:tab w:val="right" w:pos="9026" w:leader="dot"/>
            </w:tabs>
            <w:rPr/>
          </w:pPr>
          <w:hyperlink w:anchor="__RefHeading___Toc7830425_1280447820">
            <w:r>
              <w:rPr>
                <w:webHidden/>
                <w:rStyle w:val="IndexLink"/>
                <w:rtl w:val="true"/>
              </w:rPr>
              <w:t>(</w:t>
            </w:r>
            <w:r>
              <w:rPr>
                <w:rStyle w:val="IndexLink"/>
              </w:rPr>
              <w:t>69</w:t>
            </w:r>
            <w:r>
              <w:rPr>
                <w:rStyle w:val="IndexLink"/>
                <w:rtl w:val="true"/>
              </w:rPr>
              <w:t xml:space="preserve">) </w:t>
            </w:r>
            <w:r>
              <w:rPr>
                <w:rStyle w:val="IndexLink"/>
                <w:rtl w:val="true"/>
              </w:rPr>
              <w:t>رسالةٌ في غَيبةِ الحُجّةِ‌</w:t>
            </w:r>
            <w:r>
              <w:rPr>
                <w:rStyle w:val="IndexLink"/>
                <w:rtl w:val="true"/>
              </w:rPr>
              <w:tab/>
            </w:r>
            <w:r>
              <w:rPr>
                <w:rStyle w:val="IndexLink"/>
              </w:rPr>
              <w:t>425</w:t>
            </w:r>
          </w:hyperlink>
        </w:p>
        <w:p>
          <w:pPr>
            <w:pStyle w:val="Contents4"/>
            <w:tabs>
              <w:tab w:val="clear" w:pos="8176"/>
              <w:tab w:val="right" w:pos="9026" w:leader="dot"/>
            </w:tabs>
            <w:rPr/>
          </w:pPr>
          <w:hyperlink w:anchor="__RefHeading___Toc7830427_1280447820">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7830429_1280447820">
            <w:r>
              <w:rPr>
                <w:webHidden/>
                <w:rStyle w:val="IndexLink"/>
                <w:rtl w:val="true"/>
              </w:rPr>
              <w:t>مقدّمة التحقيق</w:t>
            </w:r>
            <w:r>
              <w:rPr>
                <w:rStyle w:val="IndexLink"/>
                <w:rtl w:val="true"/>
              </w:rPr>
              <w:tab/>
            </w:r>
            <w:r>
              <w:rPr>
                <w:rStyle w:val="IndexLink"/>
              </w:rPr>
              <w:t>427</w:t>
            </w:r>
          </w:hyperlink>
        </w:p>
        <w:p>
          <w:pPr>
            <w:pStyle w:val="Contents5"/>
            <w:tabs>
              <w:tab w:val="clear" w:pos="7892"/>
              <w:tab w:val="right" w:pos="9026" w:leader="dot"/>
            </w:tabs>
            <w:rPr/>
          </w:pPr>
          <w:hyperlink w:anchor="__RefHeading___Toc7830431_1280447820">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7830433_1280447820">
            <w:r>
              <w:rPr>
                <w:webHidden/>
                <w:rStyle w:val="IndexLink"/>
                <w:rtl w:val="true"/>
              </w:rPr>
              <w:t>نسبتها إلى المؤلّف</w:t>
            </w:r>
            <w:r>
              <w:rPr>
                <w:rStyle w:val="IndexLink"/>
                <w:rtl w:val="true"/>
              </w:rPr>
              <w:tab/>
            </w:r>
            <w:r>
              <w:rPr>
                <w:rStyle w:val="IndexLink"/>
              </w:rPr>
              <w:t>428</w:t>
            </w:r>
          </w:hyperlink>
        </w:p>
        <w:p>
          <w:pPr>
            <w:pStyle w:val="Contents5"/>
            <w:tabs>
              <w:tab w:val="clear" w:pos="7892"/>
              <w:tab w:val="right" w:pos="9026" w:leader="dot"/>
            </w:tabs>
            <w:rPr/>
          </w:pPr>
          <w:hyperlink w:anchor="__RefHeading___Toc7830435_1280447820">
            <w:r>
              <w:rPr>
                <w:webHidden/>
                <w:rStyle w:val="IndexLink"/>
                <w:rtl w:val="true"/>
              </w:rPr>
              <w:t>مخطوطات الرسالة</w:t>
            </w:r>
            <w:r>
              <w:rPr>
                <w:rStyle w:val="IndexLink"/>
                <w:rtl w:val="true"/>
              </w:rPr>
              <w:tab/>
            </w:r>
            <w:r>
              <w:rPr>
                <w:rStyle w:val="IndexLink"/>
              </w:rPr>
              <w:t>429</w:t>
            </w:r>
          </w:hyperlink>
        </w:p>
        <w:p>
          <w:pPr>
            <w:pStyle w:val="Contents6"/>
            <w:tabs>
              <w:tab w:val="clear" w:pos="7609"/>
              <w:tab w:val="right" w:pos="9026" w:leader="dot"/>
            </w:tabs>
            <w:rPr/>
          </w:pPr>
          <w:hyperlink w:anchor="__RefHeading___Toc7830437_1280447820">
            <w:r>
              <w:rPr>
                <w:webHidden/>
                <w:rStyle w:val="IndexLink"/>
                <w:rtl w:val="true"/>
              </w:rPr>
              <w:t>ألف</w:t>
            </w:r>
            <w:r>
              <w:rPr>
                <w:rStyle w:val="IndexLink"/>
                <w:rtl w:val="true"/>
              </w:rPr>
              <w:t xml:space="preserve">) </w:t>
            </w:r>
            <w:r>
              <w:rPr>
                <w:rStyle w:val="IndexLink"/>
                <w:rtl w:val="true"/>
              </w:rPr>
              <w:t>النسخ المعتمدة</w:t>
            </w:r>
            <w:r>
              <w:rPr>
                <w:rStyle w:val="IndexLink"/>
                <w:rtl w:val="true"/>
              </w:rPr>
              <w:t>:</w:t>
              <w:tab/>
            </w:r>
            <w:r>
              <w:rPr>
                <w:rStyle w:val="IndexLink"/>
              </w:rPr>
              <w:t>429</w:t>
            </w:r>
          </w:hyperlink>
        </w:p>
        <w:p>
          <w:pPr>
            <w:pStyle w:val="Contents6"/>
            <w:tabs>
              <w:tab w:val="clear" w:pos="7609"/>
              <w:tab w:val="right" w:pos="9026" w:leader="dot"/>
            </w:tabs>
            <w:rPr/>
          </w:pPr>
          <w:hyperlink w:anchor="__RefHeading___Toc7830439_1280447820">
            <w:r>
              <w:rPr>
                <w:webHidden/>
                <w:rStyle w:val="IndexLink"/>
                <w:rtl w:val="true"/>
              </w:rPr>
              <w:t>ب</w:t>
            </w:r>
            <w:r>
              <w:rPr>
                <w:rStyle w:val="IndexLink"/>
                <w:rtl w:val="true"/>
              </w:rPr>
              <w:t xml:space="preserve">) </w:t>
            </w:r>
            <w:r>
              <w:rPr>
                <w:rStyle w:val="IndexLink"/>
                <w:rtl w:val="true"/>
              </w:rPr>
              <w:t>سائر النسخ</w:t>
            </w:r>
            <w:r>
              <w:rPr>
                <w:rStyle w:val="IndexLink"/>
                <w:rtl w:val="true"/>
              </w:rPr>
              <w:t>:</w:t>
              <w:tab/>
            </w:r>
            <w:r>
              <w:rPr>
                <w:rStyle w:val="IndexLink"/>
              </w:rPr>
              <w:t>430</w:t>
            </w:r>
          </w:hyperlink>
        </w:p>
        <w:p>
          <w:pPr>
            <w:pStyle w:val="Contents4"/>
            <w:tabs>
              <w:tab w:val="clear" w:pos="8176"/>
              <w:tab w:val="right" w:pos="9026" w:leader="dot"/>
            </w:tabs>
            <w:rPr/>
          </w:pPr>
          <w:hyperlink w:anchor="__RefHeading___Toc7830441_1280447820">
            <w:r>
              <w:rPr>
                <w:webHidden/>
                <w:rStyle w:val="IndexLink"/>
                <w:rtl w:val="true"/>
              </w:rPr>
              <w:t>رسالةٌ في غَيبةِ الحُجّةِ‌</w:t>
            </w:r>
            <w:r>
              <w:rPr>
                <w:rStyle w:val="IndexLink"/>
                <w:rtl w:val="true"/>
              </w:rPr>
              <w:tab/>
            </w:r>
            <w:r>
              <w:rPr>
                <w:rStyle w:val="IndexLink"/>
              </w:rPr>
              <w:t>431</w:t>
            </w:r>
          </w:hyperlink>
        </w:p>
        <w:p>
          <w:pPr>
            <w:pStyle w:val="Contents5"/>
            <w:tabs>
              <w:tab w:val="clear" w:pos="7892"/>
              <w:tab w:val="right" w:pos="9026" w:leader="dot"/>
            </w:tabs>
            <w:rPr/>
          </w:pPr>
          <w:hyperlink w:anchor="__RefHeading___Toc7830443_1280447820">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7830445_1280447820">
            <w:r>
              <w:rPr>
                <w:webHidden/>
                <w:rStyle w:val="IndexLink"/>
                <w:rtl w:val="true"/>
              </w:rPr>
              <w:t>وجوب الإمامة في كلّ زمان</w:t>
            </w:r>
            <w:r>
              <w:rPr>
                <w:rStyle w:val="IndexLink"/>
                <w:rtl w:val="true"/>
              </w:rPr>
              <w:tab/>
            </w:r>
            <w:r>
              <w:rPr>
                <w:rStyle w:val="IndexLink"/>
              </w:rPr>
              <w:t>432</w:t>
            </w:r>
          </w:hyperlink>
        </w:p>
        <w:p>
          <w:pPr>
            <w:pStyle w:val="Contents5"/>
            <w:tabs>
              <w:tab w:val="clear" w:pos="7892"/>
              <w:tab w:val="right" w:pos="9026" w:leader="dot"/>
            </w:tabs>
            <w:rPr/>
          </w:pPr>
          <w:hyperlink w:anchor="__RefHeading___Toc7830447_1280447820">
            <w:r>
              <w:rPr>
                <w:webHidden/>
                <w:rStyle w:val="IndexLink"/>
                <w:rtl w:val="true"/>
              </w:rPr>
              <w:t>وجوب عصمة الإمام</w:t>
            </w:r>
            <w:r>
              <w:rPr>
                <w:rStyle w:val="IndexLink"/>
                <w:rtl w:val="true"/>
              </w:rPr>
              <w:tab/>
            </w:r>
            <w:r>
              <w:rPr>
                <w:rStyle w:val="IndexLink"/>
              </w:rPr>
              <w:t>433</w:t>
            </w:r>
          </w:hyperlink>
        </w:p>
        <w:p>
          <w:pPr>
            <w:pStyle w:val="Contents5"/>
            <w:tabs>
              <w:tab w:val="clear" w:pos="7892"/>
              <w:tab w:val="right" w:pos="9026" w:leader="dot"/>
            </w:tabs>
            <w:rPr/>
          </w:pPr>
          <w:hyperlink w:anchor="__RefHeading___Toc7830449_1280447820">
            <w:r>
              <w:rPr>
                <w:webHidden/>
                <w:rStyle w:val="IndexLink"/>
                <w:rtl w:val="true"/>
              </w:rPr>
              <w:t>إثبات إمامة صاحب الزمان عليه السلام</w:t>
            </w:r>
            <w:r>
              <w:rPr>
                <w:rStyle w:val="IndexLink"/>
                <w:rtl w:val="true"/>
              </w:rPr>
              <w:tab/>
            </w:r>
            <w:r>
              <w:rPr>
                <w:rStyle w:val="IndexLink"/>
              </w:rPr>
              <w:t>433</w:t>
            </w:r>
          </w:hyperlink>
        </w:p>
        <w:p>
          <w:pPr>
            <w:pStyle w:val="Contents5"/>
            <w:tabs>
              <w:tab w:val="clear" w:pos="7892"/>
              <w:tab w:val="right" w:pos="9026" w:leader="dot"/>
            </w:tabs>
            <w:rPr/>
          </w:pPr>
          <w:hyperlink w:anchor="__RefHeading___Toc7830451_1280447820">
            <w:r>
              <w:rPr>
                <w:webHidden/>
                <w:rStyle w:val="IndexLink"/>
                <w:rtl w:val="true"/>
              </w:rPr>
              <w:t>بيان الوجه في الغَيبة</w:t>
            </w:r>
            <w:r>
              <w:rPr>
                <w:rStyle w:val="IndexLink"/>
                <w:rtl w:val="true"/>
              </w:rPr>
              <w:tab/>
            </w:r>
            <w:r>
              <w:rPr>
                <w:rStyle w:val="IndexLink"/>
              </w:rPr>
              <w:t>434</w:t>
            </w:r>
          </w:hyperlink>
        </w:p>
        <w:p>
          <w:pPr>
            <w:pStyle w:val="Contents5"/>
            <w:tabs>
              <w:tab w:val="clear" w:pos="7892"/>
              <w:tab w:val="right" w:pos="9026" w:leader="dot"/>
            </w:tabs>
            <w:rPr/>
          </w:pPr>
          <w:hyperlink w:anchor="__RefHeading___Toc7830453_1280447820">
            <w:r>
              <w:rPr>
                <w:webHidden/>
                <w:rStyle w:val="IndexLink"/>
                <w:rtl w:val="true"/>
              </w:rPr>
              <w:t>بيان الفرق بين غَيبة الإمام و عدمه</w:t>
            </w:r>
            <w:r>
              <w:rPr>
                <w:rStyle w:val="IndexLink"/>
                <w:rtl w:val="true"/>
              </w:rPr>
              <w:tab/>
            </w:r>
            <w:r>
              <w:rPr>
                <w:rStyle w:val="IndexLink"/>
              </w:rPr>
              <w:t>436</w:t>
            </w:r>
          </w:hyperlink>
        </w:p>
        <w:p>
          <w:pPr>
            <w:pStyle w:val="Contents5"/>
            <w:tabs>
              <w:tab w:val="clear" w:pos="7892"/>
              <w:tab w:val="right" w:pos="9026" w:leader="dot"/>
            </w:tabs>
            <w:rPr/>
          </w:pPr>
          <w:hyperlink w:anchor="__RefHeading___Toc7830455_1280447820">
            <w:r>
              <w:rPr>
                <w:webHidden/>
                <w:rStyle w:val="IndexLink"/>
                <w:rtl w:val="true"/>
              </w:rPr>
              <w:t>بيان حال الحدود في عصر الغيبة</w:t>
            </w:r>
            <w:r>
              <w:rPr>
                <w:rStyle w:val="IndexLink"/>
                <w:rtl w:val="true"/>
              </w:rPr>
              <w:tab/>
            </w:r>
            <w:r>
              <w:rPr>
                <w:rStyle w:val="IndexLink"/>
              </w:rPr>
              <w:t>438</w:t>
            </w:r>
          </w:hyperlink>
        </w:p>
        <w:p>
          <w:pPr>
            <w:pStyle w:val="Contents3"/>
            <w:tabs>
              <w:tab w:val="clear" w:pos="8459"/>
              <w:tab w:val="right" w:pos="9026" w:leader="dot"/>
            </w:tabs>
            <w:rPr/>
          </w:pPr>
          <w:hyperlink w:anchor="__RefHeading___Toc7830457_1280447820">
            <w:r>
              <w:rPr>
                <w:webHidden/>
                <w:rStyle w:val="IndexLink"/>
                <w:rtl w:val="true"/>
              </w:rPr>
              <w:t>(</w:t>
            </w:r>
            <w:r>
              <w:rPr>
                <w:rStyle w:val="IndexLink"/>
              </w:rPr>
              <w:t>70</w:t>
            </w:r>
            <w:r>
              <w:rPr>
                <w:rStyle w:val="IndexLink"/>
                <w:rtl w:val="true"/>
              </w:rPr>
              <w:t xml:space="preserve">) </w:t>
            </w:r>
            <w:r>
              <w:rPr>
                <w:rStyle w:val="IndexLink"/>
                <w:rtl w:val="true"/>
              </w:rPr>
              <w:t>فَصلٌ في الغَيبةِ‌</w:t>
            </w:r>
            <w:r>
              <w:rPr>
                <w:rStyle w:val="IndexLink"/>
                <w:rtl w:val="true"/>
              </w:rPr>
              <w:tab/>
            </w:r>
            <w:r>
              <w:rPr>
                <w:rStyle w:val="IndexLink"/>
              </w:rPr>
              <w:t>441</w:t>
            </w:r>
          </w:hyperlink>
        </w:p>
        <w:p>
          <w:pPr>
            <w:pStyle w:val="Contents4"/>
            <w:tabs>
              <w:tab w:val="clear" w:pos="8176"/>
              <w:tab w:val="right" w:pos="9026" w:leader="dot"/>
            </w:tabs>
            <w:rPr/>
          </w:pPr>
          <w:hyperlink w:anchor="__RefHeading___Toc7830459_1280447820">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7830461_1280447820">
            <w:r>
              <w:rPr>
                <w:webHidden/>
                <w:rStyle w:val="IndexLink"/>
                <w:rtl w:val="true"/>
              </w:rPr>
              <w:t>مقدّمة التحقيق</w:t>
            </w:r>
            <w:r>
              <w:rPr>
                <w:rStyle w:val="IndexLink"/>
                <w:rtl w:val="true"/>
              </w:rPr>
              <w:tab/>
            </w:r>
            <w:r>
              <w:rPr>
                <w:rStyle w:val="IndexLink"/>
              </w:rPr>
              <w:t>443</w:t>
            </w:r>
          </w:hyperlink>
        </w:p>
        <w:p>
          <w:pPr>
            <w:pStyle w:val="Contents5"/>
            <w:tabs>
              <w:tab w:val="clear" w:pos="7892"/>
              <w:tab w:val="right" w:pos="9026" w:leader="dot"/>
            </w:tabs>
            <w:rPr/>
          </w:pPr>
          <w:hyperlink w:anchor="__RefHeading___Toc7830463_1280447820">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7830465_1280447820">
            <w:r>
              <w:rPr>
                <w:webHidden/>
                <w:rStyle w:val="IndexLink"/>
                <w:rtl w:val="true"/>
              </w:rPr>
              <w:t>مخطوطات الرسالة</w:t>
            </w:r>
            <w:r>
              <w:rPr>
                <w:rStyle w:val="IndexLink"/>
                <w:rtl w:val="true"/>
              </w:rPr>
              <w:tab/>
            </w:r>
            <w:r>
              <w:rPr>
                <w:rStyle w:val="IndexLink"/>
              </w:rPr>
              <w:t>445</w:t>
            </w:r>
          </w:hyperlink>
        </w:p>
        <w:p>
          <w:pPr>
            <w:pStyle w:val="Contents4"/>
            <w:tabs>
              <w:tab w:val="clear" w:pos="8176"/>
              <w:tab w:val="right" w:pos="9026" w:leader="dot"/>
            </w:tabs>
            <w:rPr/>
          </w:pPr>
          <w:hyperlink w:anchor="__RefHeading___Toc7830467_1280447820">
            <w:r>
              <w:rPr>
                <w:webHidden/>
                <w:rStyle w:val="IndexLink"/>
                <w:rtl w:val="true"/>
              </w:rPr>
              <w:t>فَصلٌ في الغَيبةِ‌</w:t>
            </w:r>
            <w:r>
              <w:rPr>
                <w:rStyle w:val="IndexLink"/>
                <w:rtl w:val="true"/>
              </w:rPr>
              <w:tab/>
            </w:r>
            <w:r>
              <w:rPr>
                <w:rStyle w:val="IndexLink"/>
              </w:rPr>
              <w:t>447</w:t>
            </w:r>
          </w:hyperlink>
        </w:p>
        <w:p>
          <w:pPr>
            <w:pStyle w:val="Contents3"/>
            <w:tabs>
              <w:tab w:val="clear" w:pos="8459"/>
              <w:tab w:val="right" w:pos="9026" w:leader="dot"/>
            </w:tabs>
            <w:rPr/>
          </w:pPr>
          <w:hyperlink w:anchor="__RefHeading___Toc7830469_1280447820">
            <w:r>
              <w:rPr>
                <w:webHidden/>
                <w:rStyle w:val="IndexLink"/>
                <w:rtl w:val="true"/>
              </w:rPr>
              <w:t>(</w:t>
            </w:r>
            <w:r>
              <w:rPr>
                <w:rStyle w:val="IndexLink"/>
              </w:rPr>
              <w:t>71</w:t>
            </w:r>
            <w:r>
              <w:rPr>
                <w:rStyle w:val="IndexLink"/>
                <w:rtl w:val="true"/>
              </w:rPr>
              <w:t xml:space="preserve">) </w:t>
            </w:r>
            <w:r>
              <w:rPr>
                <w:rStyle w:val="IndexLink"/>
                <w:rtl w:val="true"/>
              </w:rPr>
              <w:t>فَصلٌ في الإمامة بَعدَ القائمِ عليه السلام</w:t>
            </w:r>
            <w:r>
              <w:rPr>
                <w:rStyle w:val="IndexLink"/>
                <w:rtl w:val="true"/>
              </w:rPr>
              <w:tab/>
            </w:r>
            <w:r>
              <w:rPr>
                <w:rStyle w:val="IndexLink"/>
              </w:rPr>
              <w:t>449</w:t>
            </w:r>
          </w:hyperlink>
        </w:p>
        <w:p>
          <w:pPr>
            <w:pStyle w:val="Contents4"/>
            <w:tabs>
              <w:tab w:val="clear" w:pos="8176"/>
              <w:tab w:val="right" w:pos="9026" w:leader="dot"/>
            </w:tabs>
            <w:rPr/>
          </w:pPr>
          <w:hyperlink w:anchor="__RefHeading___Toc7830471_1280447820">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7830473_1280447820">
            <w:r>
              <w:rPr>
                <w:webHidden/>
                <w:rStyle w:val="IndexLink"/>
                <w:rtl w:val="true"/>
              </w:rPr>
              <w:t>مقدّمة التحقيق</w:t>
            </w:r>
            <w:r>
              <w:rPr>
                <w:rStyle w:val="IndexLink"/>
                <w:rtl w:val="true"/>
              </w:rPr>
              <w:tab/>
            </w:r>
            <w:r>
              <w:rPr>
                <w:rStyle w:val="IndexLink"/>
              </w:rPr>
              <w:t>451</w:t>
            </w:r>
          </w:hyperlink>
        </w:p>
        <w:p>
          <w:pPr>
            <w:pStyle w:val="Contents5"/>
            <w:tabs>
              <w:tab w:val="clear" w:pos="7892"/>
              <w:tab w:val="right" w:pos="9026" w:leader="dot"/>
            </w:tabs>
            <w:rPr/>
          </w:pPr>
          <w:hyperlink w:anchor="__RefHeading___Toc7830475_1280447820">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7830477_1280447820">
            <w:r>
              <w:rPr>
                <w:webHidden/>
                <w:rStyle w:val="IndexLink"/>
                <w:rtl w:val="true"/>
              </w:rPr>
              <w:t>مخطوطات الرسالة</w:t>
            </w:r>
            <w:r>
              <w:rPr>
                <w:rStyle w:val="IndexLink"/>
                <w:rtl w:val="true"/>
              </w:rPr>
              <w:tab/>
            </w:r>
            <w:r>
              <w:rPr>
                <w:rStyle w:val="IndexLink"/>
              </w:rPr>
              <w:t>452</w:t>
            </w:r>
          </w:hyperlink>
        </w:p>
        <w:p>
          <w:pPr>
            <w:pStyle w:val="Contents4"/>
            <w:tabs>
              <w:tab w:val="clear" w:pos="8176"/>
              <w:tab w:val="right" w:pos="9026" w:leader="dot"/>
            </w:tabs>
            <w:rPr/>
          </w:pPr>
          <w:hyperlink w:anchor="__RefHeading___Toc7830479_1280447820">
            <w:r>
              <w:rPr>
                <w:webHidden/>
                <w:rStyle w:val="IndexLink"/>
                <w:rtl w:val="true"/>
              </w:rPr>
              <w:t>فَصلٌ في الإمامة بَعدَ القائمِ عليه السلام</w:t>
            </w:r>
            <w:r>
              <w:rPr>
                <w:rStyle w:val="IndexLink"/>
                <w:rtl w:val="true"/>
              </w:rPr>
              <w:tab/>
            </w:r>
            <w:r>
              <w:rPr>
                <w:rStyle w:val="IndexLink"/>
              </w:rPr>
              <w:t>453</w:t>
            </w:r>
          </w:hyperlink>
        </w:p>
        <w:p>
          <w:pPr>
            <w:pStyle w:val="Contents3"/>
            <w:tabs>
              <w:tab w:val="clear" w:pos="8459"/>
              <w:tab w:val="right" w:pos="9026" w:leader="dot"/>
            </w:tabs>
            <w:rPr/>
          </w:pPr>
          <w:hyperlink w:anchor="__RefHeading___Toc7830481_1280447820">
            <w:r>
              <w:rPr>
                <w:webHidden/>
                <w:rStyle w:val="IndexLink"/>
                <w:rtl w:val="true"/>
              </w:rPr>
              <w:t>(</w:t>
            </w:r>
            <w:r>
              <w:rPr>
                <w:rStyle w:val="IndexLink"/>
              </w:rPr>
              <w:t>72</w:t>
            </w:r>
            <w:r>
              <w:rPr>
                <w:rStyle w:val="IndexLink"/>
                <w:rtl w:val="true"/>
              </w:rPr>
              <w:t xml:space="preserve">) </w:t>
            </w:r>
            <w:r>
              <w:rPr>
                <w:rStyle w:val="IndexLink"/>
                <w:rtl w:val="true"/>
              </w:rPr>
              <w:t xml:space="preserve">مسألةٌ فيِ الرَّجعةِ مِن جُملةِ </w:t>
            </w:r>
            <w:r>
              <w:rPr>
                <w:rStyle w:val="IndexLink"/>
                <w:rtl w:val="true"/>
              </w:rPr>
              <w:t>«</w:t>
            </w:r>
            <w:r>
              <w:rPr>
                <w:rStyle w:val="IndexLink"/>
                <w:rtl w:val="true"/>
              </w:rPr>
              <w:t>الدِّمَشقيّاتِ‌</w:t>
            </w:r>
            <w:r>
              <w:rPr>
                <w:rStyle w:val="IndexLink"/>
                <w:rtl w:val="true"/>
              </w:rPr>
              <w:t>»</w:t>
              <w:tab/>
            </w:r>
            <w:r>
              <w:rPr>
                <w:rStyle w:val="IndexLink"/>
              </w:rPr>
              <w:t>455</w:t>
            </w:r>
          </w:hyperlink>
        </w:p>
        <w:p>
          <w:pPr>
            <w:pStyle w:val="Contents4"/>
            <w:tabs>
              <w:tab w:val="clear" w:pos="8176"/>
              <w:tab w:val="right" w:pos="9026" w:leader="dot"/>
            </w:tabs>
            <w:rPr/>
          </w:pPr>
          <w:hyperlink w:anchor="__RefHeading___Toc7830483_1280447820">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7830485_1280447820">
            <w:r>
              <w:rPr>
                <w:webHidden/>
                <w:rStyle w:val="IndexLink"/>
                <w:rtl w:val="true"/>
              </w:rPr>
              <w:t>مقدّمة التحقيق</w:t>
            </w:r>
            <w:r>
              <w:rPr>
                <w:rStyle w:val="IndexLink"/>
                <w:rtl w:val="true"/>
              </w:rPr>
              <w:tab/>
            </w:r>
            <w:r>
              <w:rPr>
                <w:rStyle w:val="IndexLink"/>
              </w:rPr>
              <w:t>457</w:t>
            </w:r>
          </w:hyperlink>
        </w:p>
        <w:p>
          <w:pPr>
            <w:pStyle w:val="Contents5"/>
            <w:tabs>
              <w:tab w:val="clear" w:pos="7892"/>
              <w:tab w:val="right" w:pos="9026" w:leader="dot"/>
            </w:tabs>
            <w:rPr/>
          </w:pPr>
          <w:hyperlink w:anchor="__RefHeading___Toc7830487_1280447820">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7830489_1280447820">
            <w:r>
              <w:rPr>
                <w:webHidden/>
                <w:rStyle w:val="IndexLink"/>
                <w:rtl w:val="true"/>
              </w:rPr>
              <w:t>محتوى الرسالة</w:t>
            </w:r>
            <w:r>
              <w:rPr>
                <w:rStyle w:val="IndexLink"/>
                <w:rtl w:val="true"/>
              </w:rPr>
              <w:tab/>
            </w:r>
            <w:r>
              <w:rPr>
                <w:rStyle w:val="IndexLink"/>
              </w:rPr>
              <w:t>458</w:t>
            </w:r>
          </w:hyperlink>
        </w:p>
        <w:p>
          <w:pPr>
            <w:pStyle w:val="Contents5"/>
            <w:tabs>
              <w:tab w:val="clear" w:pos="7892"/>
              <w:tab w:val="right" w:pos="9026" w:leader="dot"/>
            </w:tabs>
            <w:rPr/>
          </w:pPr>
          <w:hyperlink w:anchor="__RefHeading___Toc7830491_1280447820">
            <w:r>
              <w:rPr>
                <w:webHidden/>
                <w:rStyle w:val="IndexLink"/>
                <w:rtl w:val="true"/>
              </w:rPr>
              <w:t>مخطوطات الرسالة</w:t>
            </w:r>
            <w:r>
              <w:rPr>
                <w:rStyle w:val="IndexLink"/>
                <w:rtl w:val="true"/>
              </w:rPr>
              <w:tab/>
            </w:r>
            <w:r>
              <w:rPr>
                <w:rStyle w:val="IndexLink"/>
              </w:rPr>
              <w:t>459</w:t>
            </w:r>
          </w:hyperlink>
        </w:p>
        <w:p>
          <w:pPr>
            <w:pStyle w:val="Contents4"/>
            <w:tabs>
              <w:tab w:val="clear" w:pos="8176"/>
              <w:tab w:val="right" w:pos="9026" w:leader="dot"/>
            </w:tabs>
            <w:rPr/>
          </w:pPr>
          <w:hyperlink w:anchor="__RefHeading___Toc7830493_1280447820">
            <w:r>
              <w:rPr>
                <w:webHidden/>
                <w:rStyle w:val="IndexLink"/>
                <w:rtl w:val="true"/>
              </w:rPr>
              <w:t xml:space="preserve">مسألةٌ فيِ الرَّجعةِ مِن جُملةِ </w:t>
            </w:r>
            <w:r>
              <w:rPr>
                <w:rStyle w:val="IndexLink"/>
                <w:rtl w:val="true"/>
              </w:rPr>
              <w:t>«</w:t>
            </w:r>
            <w:r>
              <w:rPr>
                <w:rStyle w:val="IndexLink"/>
                <w:rtl w:val="true"/>
              </w:rPr>
              <w:t>الدِّمَشقيّاتِ‌</w:t>
            </w:r>
            <w:r>
              <w:rPr>
                <w:rStyle w:val="IndexLink"/>
                <w:rtl w:val="true"/>
              </w:rPr>
              <w:t>»</w:t>
              <w:tab/>
            </w:r>
            <w:r>
              <w:rPr>
                <w:rStyle w:val="IndexLink"/>
              </w:rPr>
              <w:t>461</w:t>
            </w:r>
          </w:hyperlink>
        </w:p>
        <w:p>
          <w:pPr>
            <w:pStyle w:val="Contents5"/>
            <w:tabs>
              <w:tab w:val="clear" w:pos="7892"/>
              <w:tab w:val="right" w:pos="9026" w:leader="dot"/>
            </w:tabs>
            <w:rPr/>
          </w:pPr>
          <w:hyperlink w:anchor="__RefHeading___Toc7830495_1280447820">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7830497_1280447820">
            <w:r>
              <w:rPr>
                <w:webHidden/>
                <w:rStyle w:val="IndexLink"/>
                <w:rtl w:val="true"/>
              </w:rPr>
              <w:t>في بيان إمكان الرجعة و وقوعها</w:t>
            </w:r>
            <w:r>
              <w:rPr>
                <w:rStyle w:val="IndexLink"/>
                <w:rtl w:val="true"/>
              </w:rPr>
              <w:tab/>
            </w:r>
            <w:r>
              <w:rPr>
                <w:rStyle w:val="IndexLink"/>
              </w:rPr>
              <w:t>461</w:t>
            </w:r>
          </w:hyperlink>
        </w:p>
        <w:p>
          <w:pPr>
            <w:pStyle w:val="Contents5"/>
            <w:tabs>
              <w:tab w:val="clear" w:pos="7892"/>
              <w:tab w:val="right" w:pos="9026" w:leader="dot"/>
            </w:tabs>
            <w:rPr/>
          </w:pPr>
          <w:hyperlink w:anchor="__RefHeading___Toc7830499_1280447820">
            <w:r>
              <w:rPr>
                <w:webHidden/>
                <w:rStyle w:val="IndexLink"/>
                <w:rtl w:val="true"/>
              </w:rPr>
              <w:t>عدم منافاة الرجعة للتكليف</w:t>
            </w:r>
            <w:r>
              <w:rPr>
                <w:rStyle w:val="IndexLink"/>
                <w:rtl w:val="true"/>
              </w:rPr>
              <w:tab/>
            </w:r>
            <w:r>
              <w:rPr>
                <w:rStyle w:val="IndexLink"/>
              </w:rPr>
              <w:t>462</w:t>
            </w:r>
          </w:hyperlink>
        </w:p>
        <w:p>
          <w:pPr>
            <w:pStyle w:val="Contents3"/>
            <w:tabs>
              <w:tab w:val="clear" w:pos="8459"/>
              <w:tab w:val="right" w:pos="9026" w:leader="dot"/>
            </w:tabs>
            <w:rPr/>
          </w:pPr>
          <w:hyperlink w:anchor="__RefHeading___Toc7830501_1280447820">
            <w:r>
              <w:rPr>
                <w:webHidden/>
                <w:rStyle w:val="IndexLink"/>
                <w:rtl w:val="true"/>
              </w:rPr>
              <w:t>(</w:t>
            </w:r>
            <w:r>
              <w:rPr>
                <w:rStyle w:val="IndexLink"/>
              </w:rPr>
              <w:t>73</w:t>
            </w:r>
            <w:r>
              <w:rPr>
                <w:rStyle w:val="IndexLink"/>
                <w:rtl w:val="true"/>
              </w:rPr>
              <w:t xml:space="preserve">) </w:t>
            </w:r>
            <w:r>
              <w:rPr>
                <w:rStyle w:val="IndexLink"/>
                <w:rtl w:val="true"/>
              </w:rPr>
              <w:t>مسألةٌ في حُكمِ عبادةِ ولدِ الزنا</w:t>
            </w:r>
            <w:r>
              <w:rPr>
                <w:rStyle w:val="IndexLink"/>
                <w:rtl w:val="true"/>
              </w:rPr>
              <w:tab/>
            </w:r>
            <w:r>
              <w:rPr>
                <w:rStyle w:val="IndexLink"/>
              </w:rPr>
              <w:t>467</w:t>
            </w:r>
          </w:hyperlink>
        </w:p>
        <w:p>
          <w:pPr>
            <w:pStyle w:val="Contents4"/>
            <w:tabs>
              <w:tab w:val="clear" w:pos="8176"/>
              <w:tab w:val="right" w:pos="9026" w:leader="dot"/>
            </w:tabs>
            <w:rPr/>
          </w:pPr>
          <w:hyperlink w:anchor="__RefHeading___Toc7830503_1280447820">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7830505_1280447820">
            <w:r>
              <w:rPr>
                <w:webHidden/>
                <w:rStyle w:val="IndexLink"/>
                <w:rtl w:val="true"/>
              </w:rPr>
              <w:t>مقدّمة التحقيق</w:t>
            </w:r>
            <w:r>
              <w:rPr>
                <w:rStyle w:val="IndexLink"/>
                <w:rtl w:val="true"/>
              </w:rPr>
              <w:tab/>
            </w:r>
            <w:r>
              <w:rPr>
                <w:rStyle w:val="IndexLink"/>
              </w:rPr>
              <w:t>469</w:t>
            </w:r>
          </w:hyperlink>
        </w:p>
        <w:p>
          <w:pPr>
            <w:pStyle w:val="Contents5"/>
            <w:tabs>
              <w:tab w:val="clear" w:pos="7892"/>
              <w:tab w:val="right" w:pos="9026" w:leader="dot"/>
            </w:tabs>
            <w:rPr/>
          </w:pPr>
          <w:hyperlink w:anchor="__RefHeading___Toc7830507_1280447820">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7830509_1280447820">
            <w:r>
              <w:rPr>
                <w:webHidden/>
                <w:rStyle w:val="IndexLink"/>
                <w:rtl w:val="true"/>
              </w:rPr>
              <w:t>نسبتها إلى المؤلّف</w:t>
            </w:r>
            <w:r>
              <w:rPr>
                <w:rStyle w:val="IndexLink"/>
                <w:rtl w:val="true"/>
              </w:rPr>
              <w:tab/>
            </w:r>
            <w:r>
              <w:rPr>
                <w:rStyle w:val="IndexLink"/>
              </w:rPr>
              <w:t>471</w:t>
            </w:r>
          </w:hyperlink>
        </w:p>
        <w:p>
          <w:pPr>
            <w:pStyle w:val="Contents5"/>
            <w:tabs>
              <w:tab w:val="clear" w:pos="7892"/>
              <w:tab w:val="right" w:pos="9026" w:leader="dot"/>
            </w:tabs>
            <w:rPr/>
          </w:pPr>
          <w:hyperlink w:anchor="__RefHeading___Toc7830511_1280447820">
            <w:r>
              <w:rPr>
                <w:webHidden/>
                <w:rStyle w:val="IndexLink"/>
                <w:rtl w:val="true"/>
              </w:rPr>
              <w:t>مخطوطات الرسالة</w:t>
            </w:r>
            <w:r>
              <w:rPr>
                <w:rStyle w:val="IndexLink"/>
                <w:rtl w:val="true"/>
              </w:rPr>
              <w:tab/>
            </w:r>
            <w:r>
              <w:rPr>
                <w:rStyle w:val="IndexLink"/>
              </w:rPr>
              <w:t>472</w:t>
            </w:r>
          </w:hyperlink>
        </w:p>
        <w:p>
          <w:pPr>
            <w:pStyle w:val="Contents4"/>
            <w:tabs>
              <w:tab w:val="clear" w:pos="8176"/>
              <w:tab w:val="right" w:pos="9026" w:leader="dot"/>
            </w:tabs>
            <w:rPr/>
          </w:pPr>
          <w:hyperlink w:anchor="__RefHeading___Toc7830513_1280447820">
            <w:r>
              <w:rPr>
                <w:webHidden/>
                <w:rStyle w:val="IndexLink"/>
                <w:rtl w:val="true"/>
              </w:rPr>
              <w:t>مسألةٌ في حُكمِ عبادةِ ولدِ الزنا</w:t>
            </w:r>
            <w:r>
              <w:rPr>
                <w:rStyle w:val="IndexLink"/>
                <w:rtl w:val="true"/>
              </w:rPr>
              <w:tab/>
            </w:r>
            <w:r>
              <w:rPr>
                <w:rStyle w:val="IndexLink"/>
              </w:rPr>
              <w:t>473</w:t>
            </w:r>
          </w:hyperlink>
        </w:p>
        <w:p>
          <w:pPr>
            <w:pStyle w:val="Contents3"/>
            <w:tabs>
              <w:tab w:val="clear" w:pos="8459"/>
              <w:tab w:val="right" w:pos="9026" w:leader="dot"/>
            </w:tabs>
            <w:rPr/>
          </w:pPr>
          <w:hyperlink w:anchor="__RefHeading___Toc7830515_1280447820">
            <w:r>
              <w:rPr>
                <w:webHidden/>
                <w:rStyle w:val="IndexLink"/>
              </w:rPr>
              <w:t>74</w:t>
            </w:r>
            <w:r>
              <w:rPr>
                <w:rStyle w:val="IndexLink"/>
                <w:rtl w:val="true"/>
              </w:rPr>
              <w:t xml:space="preserve"> </w:t>
            </w:r>
            <w:r>
              <w:rPr>
                <w:rStyle w:val="IndexLink"/>
                <w:rtl w:val="true"/>
              </w:rPr>
              <w:t>أقاويل العَرَبِ في الجاهليّةِ‌، و مذاهبُ عَبَدَةِ الأصنامِ‌</w:t>
            </w:r>
            <w:r>
              <w:rPr>
                <w:rStyle w:val="IndexLink"/>
                <w:rtl w:val="true"/>
              </w:rPr>
              <w:tab/>
            </w:r>
            <w:r>
              <w:rPr>
                <w:rStyle w:val="IndexLink"/>
              </w:rPr>
              <w:t>475</w:t>
            </w:r>
          </w:hyperlink>
        </w:p>
        <w:p>
          <w:pPr>
            <w:pStyle w:val="Contents4"/>
            <w:tabs>
              <w:tab w:val="clear" w:pos="8176"/>
              <w:tab w:val="right" w:pos="9026" w:leader="dot"/>
            </w:tabs>
            <w:rPr/>
          </w:pPr>
          <w:hyperlink w:anchor="__RefHeading___Toc7830517_1280447820">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7830519_1280447820">
            <w:r>
              <w:rPr>
                <w:webHidden/>
                <w:rStyle w:val="IndexLink"/>
                <w:rtl w:val="true"/>
              </w:rPr>
              <w:t>مقدّمة التحقيق</w:t>
            </w:r>
            <w:r>
              <w:rPr>
                <w:rStyle w:val="IndexLink"/>
                <w:rtl w:val="true"/>
              </w:rPr>
              <w:tab/>
            </w:r>
            <w:r>
              <w:rPr>
                <w:rStyle w:val="IndexLink"/>
              </w:rPr>
              <w:t>477</w:t>
            </w:r>
          </w:hyperlink>
        </w:p>
        <w:p>
          <w:pPr>
            <w:pStyle w:val="Contents5"/>
            <w:tabs>
              <w:tab w:val="clear" w:pos="7892"/>
              <w:tab w:val="right" w:pos="9026" w:leader="dot"/>
            </w:tabs>
            <w:rPr/>
          </w:pPr>
          <w:hyperlink w:anchor="__RefHeading___Toc7830521_1280447820">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7830523_1280447820">
            <w:r>
              <w:rPr>
                <w:webHidden/>
                <w:rStyle w:val="IndexLink"/>
                <w:rtl w:val="true"/>
              </w:rPr>
              <w:t>مخطوطات الرسالة</w:t>
            </w:r>
            <w:r>
              <w:rPr>
                <w:rStyle w:val="IndexLink"/>
                <w:rtl w:val="true"/>
              </w:rPr>
              <w:tab/>
            </w:r>
            <w:r>
              <w:rPr>
                <w:rStyle w:val="IndexLink"/>
              </w:rPr>
              <w:t>479</w:t>
            </w:r>
          </w:hyperlink>
        </w:p>
        <w:p>
          <w:pPr>
            <w:pStyle w:val="Contents4"/>
            <w:tabs>
              <w:tab w:val="clear" w:pos="8176"/>
              <w:tab w:val="right" w:pos="9026" w:leader="dot"/>
            </w:tabs>
            <w:rPr/>
          </w:pPr>
          <w:hyperlink w:anchor="__RefHeading___Toc7830525_1280447820">
            <w:r>
              <w:rPr>
                <w:webHidden/>
                <w:rStyle w:val="IndexLink"/>
                <w:rtl w:val="true"/>
              </w:rPr>
              <w:t>أقاويل العَرَبِ في الجاهليّةِ‌، و مذاهبُ عَبَدَةِ الأصنامِ‌</w:t>
            </w:r>
            <w:r>
              <w:rPr>
                <w:rStyle w:val="IndexLink"/>
                <w:rtl w:val="true"/>
              </w:rPr>
              <w:tab/>
            </w:r>
            <w:r>
              <w:rPr>
                <w:rStyle w:val="IndexLink"/>
              </w:rPr>
              <w:t>481</w:t>
            </w:r>
          </w:hyperlink>
        </w:p>
        <w:p>
          <w:pPr>
            <w:pStyle w:val="Contents5"/>
            <w:tabs>
              <w:tab w:val="clear" w:pos="7892"/>
              <w:tab w:val="right" w:pos="9026" w:leader="dot"/>
            </w:tabs>
            <w:rPr/>
          </w:pPr>
          <w:hyperlink w:anchor="__RefHeading___Toc7830527_1280447820">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7830529_1280447820">
            <w:r>
              <w:rPr>
                <w:webHidden/>
                <w:rStyle w:val="IndexLink"/>
              </w:rPr>
              <w:t>1</w:t>
            </w:r>
            <w:r>
              <w:rPr>
                <w:rStyle w:val="IndexLink"/>
                <w:rtl w:val="true"/>
              </w:rPr>
              <w:t xml:space="preserve"> </w:t>
            </w:r>
            <w:r>
              <w:rPr>
                <w:rStyle w:val="IndexLink"/>
                <w:rtl w:val="true"/>
              </w:rPr>
              <w:t>فصلٌ في أقاويلِ العَرَبِ في الجاهليّةِ‌</w:t>
            </w:r>
            <w:r>
              <w:rPr>
                <w:rStyle w:val="IndexLink"/>
                <w:rtl w:val="true"/>
              </w:rPr>
              <w:tab/>
            </w:r>
            <w:r>
              <w:rPr>
                <w:rStyle w:val="IndexLink"/>
              </w:rPr>
              <w:t>481</w:t>
            </w:r>
          </w:hyperlink>
        </w:p>
        <w:p>
          <w:pPr>
            <w:pStyle w:val="Contents6"/>
            <w:tabs>
              <w:tab w:val="clear" w:pos="7609"/>
              <w:tab w:val="right" w:pos="9026" w:leader="dot"/>
            </w:tabs>
            <w:rPr/>
          </w:pPr>
          <w:hyperlink w:anchor="__RefHeading___Toc7830531_1280447820">
            <w:r>
              <w:rPr>
                <w:webHidden/>
                <w:rStyle w:val="IndexLink"/>
                <w:rtl w:val="true"/>
              </w:rPr>
              <w:t>أديان العرب و مذاهبهم</w:t>
            </w:r>
            <w:r>
              <w:rPr>
                <w:rStyle w:val="IndexLink"/>
                <w:rtl w:val="true"/>
              </w:rPr>
              <w:tab/>
            </w:r>
            <w:r>
              <w:rPr>
                <w:rStyle w:val="IndexLink"/>
              </w:rPr>
              <w:t>481</w:t>
            </w:r>
          </w:hyperlink>
        </w:p>
        <w:p>
          <w:pPr>
            <w:pStyle w:val="Contents6"/>
            <w:tabs>
              <w:tab w:val="clear" w:pos="7609"/>
              <w:tab w:val="right" w:pos="9026" w:leader="dot"/>
            </w:tabs>
            <w:rPr/>
          </w:pPr>
          <w:hyperlink w:anchor="__RefHeading___Toc7830533_1280447820">
            <w:r>
              <w:rPr>
                <w:webHidden/>
                <w:rStyle w:val="IndexLink"/>
                <w:rtl w:val="true"/>
              </w:rPr>
              <w:t>الموحِّدون من العرب</w:t>
            </w:r>
            <w:r>
              <w:rPr>
                <w:rStyle w:val="IndexLink"/>
                <w:rtl w:val="true"/>
              </w:rPr>
              <w:tab/>
            </w:r>
            <w:r>
              <w:rPr>
                <w:rStyle w:val="IndexLink"/>
              </w:rPr>
              <w:t>482</w:t>
            </w:r>
          </w:hyperlink>
        </w:p>
        <w:p>
          <w:pPr>
            <w:pStyle w:val="Contents6"/>
            <w:tabs>
              <w:tab w:val="clear" w:pos="7609"/>
              <w:tab w:val="right" w:pos="9026" w:leader="dot"/>
            </w:tabs>
            <w:rPr/>
          </w:pPr>
          <w:hyperlink w:anchor="__RefHeading___Toc7830535_1280447820">
            <w:r>
              <w:rPr>
                <w:webHidden/>
                <w:rStyle w:val="IndexLink"/>
                <w:rtl w:val="true"/>
              </w:rPr>
              <w:t>المؤمنون بالبعث من العرب</w:t>
            </w:r>
            <w:r>
              <w:rPr>
                <w:rStyle w:val="IndexLink"/>
                <w:rtl w:val="true"/>
              </w:rPr>
              <w:tab/>
            </w:r>
            <w:r>
              <w:rPr>
                <w:rStyle w:val="IndexLink"/>
              </w:rPr>
              <w:t>488</w:t>
            </w:r>
          </w:hyperlink>
        </w:p>
        <w:p>
          <w:pPr>
            <w:pStyle w:val="Contents6"/>
            <w:tabs>
              <w:tab w:val="clear" w:pos="7609"/>
              <w:tab w:val="right" w:pos="9026" w:leader="dot"/>
            </w:tabs>
            <w:rPr/>
          </w:pPr>
          <w:hyperlink w:anchor="__RefHeading___Toc7830537_1280447820">
            <w:r>
              <w:rPr>
                <w:webHidden/>
                <w:rStyle w:val="IndexLink"/>
                <w:rtl w:val="true"/>
              </w:rPr>
              <w:t>سائر أصناف العرب</w:t>
            </w:r>
            <w:r>
              <w:rPr>
                <w:rStyle w:val="IndexLink"/>
                <w:rtl w:val="true"/>
              </w:rPr>
              <w:tab/>
            </w:r>
            <w:r>
              <w:rPr>
                <w:rStyle w:val="IndexLink"/>
              </w:rPr>
              <w:t>491</w:t>
            </w:r>
          </w:hyperlink>
        </w:p>
        <w:p>
          <w:pPr>
            <w:pStyle w:val="Contents6"/>
            <w:tabs>
              <w:tab w:val="clear" w:pos="7609"/>
              <w:tab w:val="right" w:pos="9026" w:leader="dot"/>
            </w:tabs>
            <w:rPr/>
          </w:pPr>
          <w:hyperlink w:anchor="__RefHeading___Toc7830539_1280447820">
            <w:r>
              <w:rPr>
                <w:webHidden/>
                <w:rStyle w:val="IndexLink"/>
                <w:rtl w:val="true"/>
              </w:rPr>
              <w:t>عبادة الأصنام عند العرب</w:t>
            </w:r>
            <w:r>
              <w:rPr>
                <w:rStyle w:val="IndexLink"/>
                <w:rtl w:val="true"/>
              </w:rPr>
              <w:tab/>
            </w:r>
            <w:r>
              <w:rPr>
                <w:rStyle w:val="IndexLink"/>
              </w:rPr>
              <w:t>492</w:t>
            </w:r>
          </w:hyperlink>
        </w:p>
        <w:p>
          <w:pPr>
            <w:pStyle w:val="Contents6"/>
            <w:tabs>
              <w:tab w:val="clear" w:pos="7609"/>
              <w:tab w:val="right" w:pos="9026" w:leader="dot"/>
            </w:tabs>
            <w:rPr/>
          </w:pPr>
          <w:hyperlink w:anchor="__RefHeading___Toc7830541_1280447820">
            <w:r>
              <w:rPr>
                <w:webHidden/>
                <w:rStyle w:val="IndexLink"/>
                <w:rtl w:val="true"/>
              </w:rPr>
              <w:t>أصنام العرب</w:t>
            </w:r>
            <w:r>
              <w:rPr>
                <w:rStyle w:val="IndexLink"/>
                <w:rtl w:val="true"/>
              </w:rPr>
              <w:tab/>
            </w:r>
            <w:r>
              <w:rPr>
                <w:rStyle w:val="IndexLink"/>
              </w:rPr>
              <w:t>493</w:t>
            </w:r>
          </w:hyperlink>
        </w:p>
        <w:p>
          <w:pPr>
            <w:pStyle w:val="Contents5"/>
            <w:tabs>
              <w:tab w:val="clear" w:pos="7892"/>
              <w:tab w:val="right" w:pos="9026" w:leader="dot"/>
            </w:tabs>
            <w:rPr/>
          </w:pPr>
          <w:hyperlink w:anchor="__RefHeading___Toc7830543_1280447820">
            <w:r>
              <w:rPr>
                <w:webHidden/>
                <w:rStyle w:val="IndexLink"/>
              </w:rPr>
              <w:t>2</w:t>
            </w:r>
            <w:r>
              <w:rPr>
                <w:rStyle w:val="IndexLink"/>
                <w:rtl w:val="true"/>
              </w:rPr>
              <w:t xml:space="preserve"> </w:t>
            </w:r>
            <w:r>
              <w:rPr>
                <w:rStyle w:val="IndexLink"/>
                <w:rtl w:val="true"/>
              </w:rPr>
              <w:t>فَصلٌ في ذِكرِ مَذاهبِ أهلِ الأصنامِ‌، و ذِكرِ البُيوتِ‌ و النيرانِ‌ المُعَظَّمةِ‌</w:t>
            </w:r>
            <w:r>
              <w:rPr>
                <w:rStyle w:val="IndexLink"/>
                <w:rtl w:val="true"/>
              </w:rPr>
              <w:tab/>
            </w:r>
            <w:r>
              <w:rPr>
                <w:rStyle w:val="IndexLink"/>
              </w:rPr>
              <w:t>496</w:t>
            </w:r>
          </w:hyperlink>
        </w:p>
        <w:p>
          <w:pPr>
            <w:pStyle w:val="Contents6"/>
            <w:tabs>
              <w:tab w:val="clear" w:pos="7609"/>
              <w:tab w:val="right" w:pos="9026" w:leader="dot"/>
            </w:tabs>
            <w:rPr/>
          </w:pPr>
          <w:hyperlink w:anchor="__RefHeading___Toc7830545_1280447820">
            <w:r>
              <w:rPr>
                <w:webHidden/>
                <w:rStyle w:val="IndexLink"/>
                <w:rtl w:val="true"/>
              </w:rPr>
              <w:t>اشارة</w:t>
            </w:r>
            <w:r>
              <w:rPr>
                <w:rStyle w:val="IndexLink"/>
                <w:rtl w:val="true"/>
              </w:rPr>
              <w:tab/>
            </w:r>
            <w:r>
              <w:rPr>
                <w:rStyle w:val="IndexLink"/>
              </w:rPr>
              <w:t>496</w:t>
            </w:r>
          </w:hyperlink>
        </w:p>
        <w:p>
          <w:pPr>
            <w:pStyle w:val="Contents6"/>
            <w:tabs>
              <w:tab w:val="clear" w:pos="7609"/>
              <w:tab w:val="right" w:pos="9026" w:leader="dot"/>
            </w:tabs>
            <w:rPr/>
          </w:pPr>
          <w:hyperlink w:anchor="__RefHeading___Toc7830547_1280447820">
            <w:r>
              <w:rPr>
                <w:webHidden/>
                <w:rStyle w:val="IndexLink"/>
                <w:rtl w:val="true"/>
              </w:rPr>
              <w:t>عبادة الأصنام في الهند و الصين</w:t>
            </w:r>
            <w:r>
              <w:rPr>
                <w:rStyle w:val="IndexLink"/>
                <w:rtl w:val="true"/>
              </w:rPr>
              <w:tab/>
            </w:r>
            <w:r>
              <w:rPr>
                <w:rStyle w:val="IndexLink"/>
              </w:rPr>
              <w:t>496</w:t>
            </w:r>
          </w:hyperlink>
        </w:p>
        <w:p>
          <w:pPr>
            <w:pStyle w:val="Contents6"/>
            <w:tabs>
              <w:tab w:val="clear" w:pos="7609"/>
              <w:tab w:val="right" w:pos="9026" w:leader="dot"/>
            </w:tabs>
            <w:rPr/>
          </w:pPr>
          <w:hyperlink w:anchor="__RefHeading___Toc7830549_1280447820">
            <w:r>
              <w:rPr>
                <w:webHidden/>
                <w:rStyle w:val="IndexLink"/>
                <w:rtl w:val="true"/>
              </w:rPr>
              <w:t>بيوت الأصنام</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25_221496"/>
      <w:bookmarkStart w:id="1" w:name="pg16425_221496"/>
      <w:bookmarkEnd w:id="1"/>
    </w:p>
    <w:p>
      <w:pPr>
        <w:pStyle w:val="Heading2"/>
        <w:numPr>
          <w:ilvl w:val="1"/>
          <w:numId w:val="1"/>
        </w:numPr>
        <w:rPr/>
      </w:pPr>
      <w:bookmarkStart w:id="2" w:name="pg16425_221496"/>
      <w:bookmarkStart w:id="3" w:name="__RefHeading___Toc7829905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علی‌بن حسین،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Sharīf al-Murtaḍá, ʻAlam al-Hudá ʻAlī ibn al-Ḥusayn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والمسائل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المرتضی‌علی‌بن‌الحسین الموسوی،علم‌الهدی؛ تحقیق عدة من‌المحققین، محمدحسین الدرایتی، حب‌الله النجفی، حمید الاحمدی‌الجلفای؛ اعداد مرکز الموترات‌العلمیة والبحوث‌الحرة، التابع لموسسة دارالحدیث؛ تقدیم حیدر البیاتی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 رضا الاستادی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مرکز همایش‌های علمی و پژوهش‌های آزاد،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مولفات‌الشریف‌المرتضی؛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060470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0493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0503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موتمرالدولی‌الذکری الفیه‌الشریف‌المرتضی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الرسایل القرآنیه والحدیثیه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الرسائل‌الکلامیة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الرسائل‌الاصولیه والمنتزعه والمنسوبه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Shiites theology -- 11th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درایتی، محمدحسین،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نجفی،حب‌الله،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جلفایی، حمید،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حسن‌بیاتی، حیدر،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Research foundation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بین‌المللی بزرگداشت هزاره سید مرتضی علم‌الهدی</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BP209/7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7273186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2990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الرسائل و المسائل</w:t>
      </w:r>
    </w:p>
    <w:p>
      <w:pPr>
        <w:pStyle w:val="BookText"/>
        <w:rPr/>
      </w:pPr>
      <w:r>
        <w:rPr>
          <w:rFonts w:ascii="Amiri" w:hAnsi="Amiri" w:eastAsia="Amiri" w:cs="Amiri"/>
          <w:color w:val="111111"/>
          <w:sz w:val="28"/>
          <w:sz w:val="28"/>
          <w:szCs w:val="28"/>
          <w:rtl w:val="true"/>
          <w:lang w:bidi="ar-SA"/>
        </w:rPr>
        <w:t>الشريف المرتضى</w:t>
      </w:r>
    </w:p>
    <w:p>
      <w:pPr>
        <w:pStyle w:val="BookText"/>
        <w:rPr/>
      </w:pPr>
      <w:r>
        <w:rPr>
          <w:rFonts w:ascii="Amiri" w:hAnsi="Amiri" w:eastAsia="Amiri" w:cs="Amiri"/>
          <w:color w:val="111111"/>
          <w:sz w:val="28"/>
          <w:sz w:val="28"/>
          <w:szCs w:val="28"/>
          <w:rtl w:val="true"/>
          <w:lang w:bidi="ar-SA"/>
        </w:rPr>
        <w:t>عليّ بن الحسين الموسوي، علم الهدى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الرسائل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عدّة من المحقّقين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25_221500"/>
      <w:bookmarkStart w:id="8" w:name="pg16425_221500"/>
      <w:bookmarkEnd w:id="8"/>
    </w:p>
    <w:p>
      <w:pPr>
        <w:pStyle w:val="Heading2"/>
        <w:numPr>
          <w:ilvl w:val="1"/>
          <w:numId w:val="1"/>
        </w:numPr>
        <w:rPr/>
      </w:pPr>
      <w:bookmarkStart w:id="9" w:name="pg16425_221500"/>
      <w:bookmarkStart w:id="10" w:name="__RefHeading___Toc7829909_1280447820"/>
      <w:bookmarkStart w:id="11" w:name="_Toc3"/>
      <w:bookmarkEnd w:id="9"/>
      <w:bookmarkEnd w:id="10"/>
      <w:r>
        <w:rPr>
          <w:rtl w:val="true"/>
        </w:rPr>
        <w:t>الفهرس الإجمالي</w:t>
      </w:r>
      <w:bookmarkEnd w:id="11"/>
    </w:p>
    <w:p>
      <w:pPr>
        <w:pStyle w:val="BookText"/>
        <w:rPr/>
      </w:pPr>
      <w:r>
        <w:rPr>
          <w:rFonts w:ascii="Amiri" w:hAnsi="Amiri" w:eastAsia="Amiri" w:cs="Amiri"/>
          <w:color w:val="111111"/>
          <w:sz w:val="28"/>
          <w:sz w:val="28"/>
          <w:szCs w:val="28"/>
          <w:rtl w:val="true"/>
          <w:lang w:bidi="ar-SA"/>
        </w:rPr>
        <w:t>تتمّة الرسائل الكلاميّة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الدليل علىٰ أنّ الجواهر مدركة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علّة استحقاقه تعالى المدح علىٰ تركه القبيح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أنّ التاء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للتأنيث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الألم و وجه الحسن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سبب تقديم أوَّليّة وجوب النظر على أصل وجوبه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أنّ الجسم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إبطال أحد الأدلَّة على كون الصِّفة بالفاعل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مناقشة الدليل علىٰ أنَّ الجوهر ليس محدثاً بمعنى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وجه المناسبة بين الأفعال الشرعيّة و ما هي لطف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بيان أحكام أهل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أبي العلاء المعرّيِّ مع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المقدَّسيّات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وجه العلم بتناول الوعيد كافّة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المنع من تفضيل الملائكة على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شبهةٍ للبراهمة في بعث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ميراث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الباهرة في فضل العترة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وجه اختصاص الأئمّة الاثني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فيمن يتولّىٰ غسل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علم الوصيِّ بساعة وفاته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مشاهدة المحتضر الإمام قبل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معنى ما يقوله الشيعة عند مشاهد أئمّتهم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علّة خذلان أهل البيت و عدم نصرتهم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الجواب عن الشُّبهات الواردة في خبر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علّة مبايعة أمير المؤمنين عليه السلام أبا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علّة امتناع عليٍّ عليه السلام عن محاربة الغاصبين لحقِّه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إنكاح أمير المؤمنين عليه السلام ابنته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أخرىٰ حول إنكاح أمير المؤمنين عليه السلام ابنته من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في تفضيل 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صحّة حمل رأس الحسين عليه السلام إلى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غيبة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بعد 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في الرَّجعة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حكم عبادة ولد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أقاويل العرب في الجاهليّة، و مذاهب عبدة الأصنام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bookmarkStart w:id="12" w:name="pg16425_221502"/>
    </w:p>
    <w:p>
      <w:pPr>
        <w:pStyle w:val="Heading2"/>
        <w:numPr>
          <w:ilvl w:val="1"/>
          <w:numId w:val="1"/>
        </w:numPr>
        <w:rPr/>
      </w:pPr>
      <w:bookmarkStart w:id="13" w:name="__RefHeading___Toc7829911_1280447820"/>
      <w:bookmarkStart w:id="14" w:name="_Toc4"/>
      <w:bookmarkEnd w:id="12"/>
      <w:bookmarkEnd w:id="13"/>
      <w:r>
        <w:rPr>
          <w:rtl w:val="true"/>
        </w:rPr>
        <w:t>تتمّة ج</w:t>
      </w:r>
      <w:r>
        <w:rPr>
          <w:rtl w:val="true"/>
        </w:rPr>
        <w:t xml:space="preserve">. </w:t>
      </w:r>
      <w:r>
        <w:rPr>
          <w:rtl w:val="true"/>
        </w:rPr>
        <w:t>الرسائل الكلاميّة</w:t>
      </w:r>
      <w:bookmarkEnd w:id="14"/>
    </w:p>
    <w:p>
      <w:pPr>
        <w:pStyle w:val="Heading3"/>
        <w:numPr>
          <w:ilvl w:val="2"/>
          <w:numId w:val="1"/>
        </w:numPr>
        <w:rPr/>
      </w:pPr>
      <w:bookmarkStart w:id="15" w:name="__RefHeading___Toc7829913_1280447820"/>
      <w:bookmarkStart w:id="16" w:name="_Toc5"/>
      <w:bookmarkEnd w:id="15"/>
      <w:r>
        <w:rPr>
          <w:rtl w:val="true"/>
        </w:rPr>
        <w:t>(</w:t>
      </w:r>
      <w:r>
        <w:rPr/>
        <w:t>38</w:t>
      </w:r>
      <w:r>
        <w:rPr>
          <w:rtl w:val="true"/>
        </w:rPr>
        <w:t xml:space="preserve">) </w:t>
      </w:r>
      <w:r>
        <w:rPr>
          <w:rtl w:val="true"/>
        </w:rPr>
        <w:t>مسألةٌ في الدليلِ علىٰ أنّ الجَواهرَ مُدرَكةٌ‌</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7829915_1280447820"/>
      <w:bookmarkStart w:id="18" w:name="_Toc6"/>
      <w:bookmarkEnd w:id="17"/>
      <w:r>
        <w:rPr>
          <w:rtl w:val="true"/>
        </w:rPr>
        <w:t>اشارة</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425_221504"/>
      <w:bookmarkStart w:id="20" w:name="pg16425_221504"/>
      <w:bookmarkEnd w:id="20"/>
    </w:p>
    <w:p>
      <w:pPr>
        <w:pStyle w:val="Heading4"/>
        <w:numPr>
          <w:ilvl w:val="3"/>
          <w:numId w:val="1"/>
        </w:numPr>
        <w:rPr/>
      </w:pPr>
      <w:bookmarkStart w:id="21" w:name="pg16425_221504"/>
      <w:bookmarkStart w:id="22" w:name="__RefHeading___Toc7829917_1280447820"/>
      <w:bookmarkStart w:id="23" w:name="_Toc7"/>
      <w:bookmarkEnd w:id="21"/>
      <w:bookmarkEnd w:id="22"/>
      <w:r>
        <w:rPr>
          <w:rtl w:val="true"/>
        </w:rPr>
        <w:t>مقدّمة التحقيق</w:t>
      </w:r>
      <w:bookmarkEnd w:id="23"/>
    </w:p>
    <w:p>
      <w:pPr>
        <w:pStyle w:val="Heading5"/>
        <w:numPr>
          <w:ilvl w:val="4"/>
          <w:numId w:val="1"/>
        </w:numPr>
        <w:rPr/>
      </w:pPr>
      <w:bookmarkStart w:id="24" w:name="__RefHeading___Toc7829919_1280447820"/>
      <w:bookmarkStart w:id="25" w:name="_Toc8"/>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ظهر خلاف بين العلماء حول كون الجوهر مُدرَكاً بالإدراك الحسّي، و هل يمكن رؤية الجوهر أو لمسه، أو لا؟</w:t>
      </w:r>
    </w:p>
    <w:p>
      <w:pPr>
        <w:pStyle w:val="BookText"/>
        <w:rPr/>
      </w:pPr>
      <w:r>
        <w:rPr>
          <w:rFonts w:ascii="Amiri" w:hAnsi="Amiri" w:eastAsia="Amiri" w:cs="Amiri"/>
          <w:color w:val="111111"/>
          <w:sz w:val="28"/>
          <w:sz w:val="28"/>
          <w:szCs w:val="28"/>
          <w:rtl w:val="true"/>
          <w:lang w:bidi="ar-SA"/>
        </w:rPr>
        <w:t>فذهب الفلاسفة بصورة عامّة إلى عدم كون الجوهر مُدرَكاً بالحواسّ‌، و أنّه لا يوجد حسّ قادر على إدراك الجواهر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صرّح بعض المتكلّمين بإمكان إدراك الجوهر بالحسّ‌، و أنّه يمكن رؤيته و لمسه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ينبغي الإشارة إلى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المتكلّمين يُقصد به الإدراك الحسّي، و لذلك 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الجواهر مُدرَكة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فالمقصود بذلك أنّها مُدرَكة إدراكاً حسّيّاً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الشريف المرتضى في هذه المسألة المختصرة دليلاً على أنّ الجواهر مُدرَكة، و لم يناقشه ممّا يدلّ على قبوله به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أخبر النبيّ بأنّ زيداً في الدار، و أنّ هناك جسماً معيّناً في الدار، ثمّ دخلنا الدار، و شاهدنا زيداً و ذلك الجسمَ كما أخبر به النبيّ‌، ففي هذه الحالة سوف </w:t>
      </w:r>
      <w:bookmarkStart w:id="26" w:name="pg16425_221505"/>
    </w:p>
    <w:p>
      <w:pPr>
        <w:pStyle w:val="BookText"/>
        <w:rPr/>
      </w:pPr>
      <w:bookmarkEnd w:id="26"/>
      <w:r>
        <w:rPr>
          <w:rFonts w:ascii="Amiri" w:hAnsi="Amiri" w:eastAsia="Amiri" w:cs="Amiri"/>
          <w:color w:val="111111"/>
          <w:sz w:val="28"/>
          <w:sz w:val="28"/>
          <w:szCs w:val="28"/>
          <w:rtl w:val="true"/>
          <w:lang w:bidi="ar-SA"/>
        </w:rPr>
        <w:t>يَقوى علمُنا السابق، فقد كنّا قد علمنا سابقاً بذلك بواسطة خبر النبيّ‌، و الآن علمنا به بواسطة المشاهدة و الإدراك الحسّي، و لولا أنّ المشاهدة و الإدراك الحسّي تعلّقاً بجوهر زيد و ذلك الجسم المعيّن، لما ازداد علمنا، و لما قوي، و هذا يعني أنّ متعلّق خبر النبيّ و الإدراك الحسّي واحد و هو الجوهر، و هذا يعني أنّ الإدراك الحسّي تعلّق بالجوهر، و هو المطلوب</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7829921_1280447820"/>
      <w:bookmarkStart w:id="28" w:name="_Toc9"/>
      <w:bookmarkEnd w:id="27"/>
      <w:r>
        <w:rPr>
          <w:rtl w:val="true"/>
        </w:rPr>
        <w:t>عنوان الرسالة</w:t>
      </w:r>
      <w:bookmarkEnd w:id="28"/>
    </w:p>
    <w:p>
      <w:pPr>
        <w:pStyle w:val="BookText"/>
        <w:rPr/>
      </w:pPr>
      <w:r>
        <w:rPr>
          <w:rFonts w:ascii="Amiri" w:hAnsi="Amiri" w:eastAsia="Amiri" w:cs="Amiri"/>
          <w:color w:val="111111"/>
          <w:sz w:val="28"/>
          <w:sz w:val="28"/>
          <w:szCs w:val="28"/>
          <w:rtl w:val="true"/>
          <w:lang w:bidi="ar-SA"/>
        </w:rPr>
        <w:t xml:space="preserve">لقد طبعت هذه المسألة في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علىٰ أنّ الجواهر 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الطبعة هي المقصودة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التحقيق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طبعت في ضمن مسائل المرتضىٰ‌،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الجواهر المدرَكة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عنوان معبِّر عن محتوىٰ المسألة</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7829923_1280447820"/>
      <w:bookmarkStart w:id="30" w:name="_Toc10"/>
      <w:bookmarkEnd w:id="29"/>
      <w:r>
        <w:rPr>
          <w:rtl w:val="true"/>
        </w:rPr>
        <w:t>مخطوطات الرسالة</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6425_221508"/>
      <w:bookmarkStart w:id="32" w:name="pg16425_221508"/>
      <w:bookmarkEnd w:id="32"/>
    </w:p>
    <w:p>
      <w:pPr>
        <w:pStyle w:val="BookText"/>
        <w:rPr/>
      </w:pPr>
      <w:bookmarkStart w:id="33" w:name="pg16425_221508"/>
      <w:bookmarkEnd w:id="3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7829925_1280447820"/>
      <w:bookmarkStart w:id="35" w:name="_Toc11"/>
      <w:bookmarkEnd w:id="34"/>
      <w:r>
        <w:rPr>
          <w:rtl w:val="true"/>
        </w:rPr>
        <w:t>مسألةٌ في الدليلِ علىٰ أنّ الجَواهرَ مُدرَكةٌ‌</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علىٰ أنّ الجَواهرَ 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لَو خَبَّرَ بأنّ زَيداً في الدارِ أو كَونِ‌</w:t>
      </w:r>
      <w:r>
        <w:rPr>
          <w:rStyle w:val="FootnoteAnchor"/>
          <w:rtl w:val="true"/>
        </w:rPr>
        <w:footnoteReference w:id="5"/>
      </w:r>
      <w:r>
        <w:rPr>
          <w:rFonts w:ascii="Amiri" w:hAnsi="Amiri" w:eastAsia="Amiri" w:cs="Amiri"/>
          <w:color w:val="111111"/>
          <w:sz w:val="28"/>
          <w:sz w:val="28"/>
          <w:szCs w:val="28"/>
          <w:rtl w:val="true"/>
          <w:lang w:bidi="ar-SA"/>
        </w:rPr>
        <w:t>جسمٍ مخصوصٍ فيها، ثُمّ أدرَكناه علىٰ حَدِّ ما أخبَرَ به، لَقَوِيَ‌</w:t>
      </w:r>
      <w:r>
        <w:rPr>
          <w:rStyle w:val="FootnoteAnchor"/>
          <w:rtl w:val="true"/>
        </w:rPr>
        <w:footnoteReference w:id="6"/>
      </w:r>
      <w:r>
        <w:rPr>
          <w:rFonts w:ascii="Amiri" w:hAnsi="Amiri" w:eastAsia="Amiri" w:cs="Amiri"/>
          <w:color w:val="111111"/>
          <w:sz w:val="28"/>
          <w:sz w:val="28"/>
          <w:szCs w:val="28"/>
          <w:rtl w:val="true"/>
          <w:lang w:bidi="ar-SA"/>
        </w:rPr>
        <w:t>العِلمُ بذلكَ‌؛ فلَولا أنّ الإدراكَ تَناوَلَه لَما وَجَبَ قوّةُ العِلمِ لمّا كانَ مُتَناوَلُ الخبرِ و الإدراكِ واحداً؛ إذ لَو كانَ مُختَلِفاً لَما وَجَبَ‌</w:t>
      </w:r>
      <w:r>
        <w:rPr>
          <w:rStyle w:val="FootnoteAnchor"/>
          <w:rtl w:val="true"/>
        </w:rPr>
        <w:footnoteReference w:id="7"/>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6425_221510"/>
      <w:bookmarkStart w:id="37" w:name="pg16425_221510"/>
      <w:bookmarkEnd w:id="37"/>
    </w:p>
    <w:p>
      <w:pPr>
        <w:pStyle w:val="Heading3"/>
        <w:numPr>
          <w:ilvl w:val="2"/>
          <w:numId w:val="1"/>
        </w:numPr>
        <w:rPr/>
      </w:pPr>
      <w:bookmarkStart w:id="38" w:name="pg16425_221510"/>
      <w:bookmarkStart w:id="39" w:name="__RefHeading___Toc7829927_1280447820"/>
      <w:bookmarkStart w:id="40" w:name="_Toc12"/>
      <w:bookmarkEnd w:id="38"/>
      <w:bookmarkEnd w:id="39"/>
      <w:r>
        <w:rPr>
          <w:rtl w:val="true"/>
        </w:rPr>
        <w:t>(</w:t>
      </w:r>
      <w:r>
        <w:rPr/>
        <w:t>39</w:t>
      </w:r>
      <w:r>
        <w:rPr>
          <w:rtl w:val="true"/>
        </w:rPr>
        <w:t xml:space="preserve">) </w:t>
      </w:r>
      <w:r>
        <w:rPr>
          <w:rtl w:val="true"/>
        </w:rPr>
        <w:t>مسألةٌ في علّةِ استِحقاقِه تعالى المدحَ علىٰ تَركِه القَبيحَ‌</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7829929_1280447820"/>
      <w:bookmarkStart w:id="42" w:name="_Toc13"/>
      <w:bookmarkEnd w:id="41"/>
      <w:r>
        <w:rPr>
          <w:rtl w:val="true"/>
        </w:rPr>
        <w:t>اشارة</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6425_221512"/>
      <w:bookmarkStart w:id="44" w:name="pg16425_221512"/>
      <w:bookmarkEnd w:id="44"/>
    </w:p>
    <w:p>
      <w:pPr>
        <w:pStyle w:val="Heading4"/>
        <w:numPr>
          <w:ilvl w:val="3"/>
          <w:numId w:val="1"/>
        </w:numPr>
        <w:rPr/>
      </w:pPr>
      <w:bookmarkStart w:id="45" w:name="pg16425_221512"/>
      <w:bookmarkStart w:id="46" w:name="__RefHeading___Toc7829931_1280447820"/>
      <w:bookmarkStart w:id="47" w:name="_Toc14"/>
      <w:bookmarkEnd w:id="45"/>
      <w:bookmarkEnd w:id="46"/>
      <w:r>
        <w:rPr>
          <w:rtl w:val="true"/>
        </w:rPr>
        <w:t>مقدّمة التحقيق</w:t>
      </w:r>
      <w:bookmarkEnd w:id="47"/>
    </w:p>
    <w:p>
      <w:pPr>
        <w:pStyle w:val="Heading5"/>
        <w:numPr>
          <w:ilvl w:val="4"/>
          <w:numId w:val="1"/>
        </w:numPr>
        <w:rPr/>
      </w:pPr>
      <w:bookmarkStart w:id="48" w:name="__RefHeading___Toc7829933_1280447820"/>
      <w:bookmarkStart w:id="49" w:name="_Toc15"/>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تمكّن الشريف المرتضى خلال عقود طويلة من الدراسة و البحث و التدقيق في المسائل العلميّة المختلفة، من أن يتحوّل إلى قمّة فكريّة متألّقة في مختلف المجالات العلميّة، و منها مجال علم الكلام، و قد سمحت له قدراته العلميّة بأن يمتلك الجرأة على مخالفة كبار العلماء و المتكلّمين، و أن يناقشهم مناقشة الندّ للندّ، و شعاره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الدليل فوق كلّ الاعتبارات، و إن أدّى ذلك إلى كثرة المخالفين و قلّة الموافقين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بداية الرسالة التي بين أيدينا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لا يجب أن يوحِش من المذهب فَقْدُ الذاهب إليه، و العاثر عليه؛ بل ينبغي أن لا يوحِش منه إلّاما لا دلالة له تعضده، و لا حجّة 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الكلمة المهمّة تذكرنا بكلمة شبيهة بها قالها شيخه و أُستاذه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عند اختياره لأحد آرائه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جمعتُ فيه بين أُصول يختصّ بي جمعها دون مَن وافقني في العدل و الإرجاء بما كشف لي النظر عن صحّته، و لم يوحِشني مَن خالف فيه؛ إذ بالحجّة لي أتمُّ أنسٍ‌، و لا وحشة من حقّ‌، و الحمد للّٰه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الرسالة تعرّض الشريف المرتضى إلى مسألة دقيقة من مسائل علم الكلام، و هي البحث عن وجه استحقاق اللّٰه تعالى المدح على تركه للقبيح؛ فإنّ من </w:t>
      </w:r>
    </w:p>
    <w:p>
      <w:pPr>
        <w:pStyle w:val="BookText"/>
        <w:rPr/>
      </w:pPr>
      <w:r>
        <w:rPr>
          <w:rFonts w:ascii="Amiri" w:hAnsi="Amiri" w:eastAsia="Amiri" w:cs="Amiri"/>
          <w:color w:val="111111"/>
          <w:sz w:val="28"/>
          <w:sz w:val="28"/>
          <w:szCs w:val="28"/>
          <w:rtl w:val="true"/>
          <w:lang w:bidi="ar-SA"/>
        </w:rPr>
        <w:t>الواضح أنّه تعالى يستحقّ المدح على ذلك، و لكن ما هو الدليل على ذلك‌؟ و ما هو التحليل الصحيح له‌؟</w:t>
      </w:r>
    </w:p>
    <w:p>
      <w:pPr>
        <w:pStyle w:val="BookText"/>
        <w:rPr/>
      </w:pPr>
      <w:r>
        <w:rPr>
          <w:rFonts w:ascii="Amiri" w:hAnsi="Amiri" w:eastAsia="Amiri" w:cs="Amiri"/>
          <w:color w:val="111111"/>
          <w:sz w:val="28"/>
          <w:sz w:val="28"/>
          <w:szCs w:val="28"/>
          <w:rtl w:val="true"/>
          <w:lang w:bidi="ar-SA"/>
        </w:rPr>
        <w:t xml:space="preserve">و للإجابة على ذلك قام الشريف المرتضى بطرح تحليل جديد، و هو أنّه تعالى عندما لا يفعل القبيح، فهو لا يستحقّ المدح المتعلّق بالأفعال؛ لأنّه لم يفعل شيئاً، و إنّما يستحقّ المدح من جهة أُخرى، و هي أنّه يمتلك صفات رفيعة من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علمه بقبح القبيح و استغناؤه عن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لا يختار فعل القبيح، فإنّ امتلاكه لهذه الصفات الرفيعة هي التي جعلته يستحقّ المدح على 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بيّن رأيه حول السبب المقتضي لتركه تعالى القبيح، أخذ يبيّن خطأ ما ذكره المتكلّمون حول ذلك، حيث ذكروا أنّه تعالى لا يفعل القبيح لأنّ له صوارف عنه، أو لأنّه لا داعي له إلى فعله، و لأجل ذلك استحقّ المدح علىٰ 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أشكل على هذا التحليل بأنّه سوف يؤدّي إلى أن يكون القديم تعالى كالمُلجأ إلى عدم الفعل، و حينئذ سوف لن يستحقّ المدح؛ لأنّنا نرى أنّ المُلجأ إلى أن لا يقتل نفسه مثلاً لا يستحقّ المدح؛ لأنّ له صارفاً قويّاً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أنّ ما ذكره المتكلّمون لتوجيه استحقاقه تعالىٰ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وجود الصارف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مقبول؛ فإنّه يؤدّي إلى أن يكون كالملجأ، فلا بدّ من الذهاب إلى التحليل الذي ذكره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يصحّ أن يفرّقوا بين الأمرين بأنّ الصارف عند من لم يَقتل نفسه يصل إلى حدّ الإلجاء إلى ترك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بسبب علمه بالمضرّة التي سوف تلحقه، و لأجل هذا الإلجاء لا يستحقّ المدح، بينما الصارف في القديم تعالى لا يصل إلى حدّ الإلجاء؛ لأنّه لا مضرّة تلحقه بفعل القبيح، فلا يكون تركه للقبيح لأجل دفع الضرر الذي يلحقه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الكلام لا يصحّ‌؛ لأنّ المدار على المعاني لا الألفاظ، فإنّ الإنسان صار مُلجأ </w:t>
      </w:r>
    </w:p>
    <w:p>
      <w:pPr>
        <w:pStyle w:val="BookText"/>
        <w:rPr/>
      </w:pPr>
      <w:r>
        <w:rPr>
          <w:rFonts w:ascii="Amiri" w:hAnsi="Amiri" w:eastAsia="Amiri" w:cs="Amiri"/>
          <w:color w:val="111111"/>
          <w:sz w:val="28"/>
          <w:sz w:val="28"/>
          <w:szCs w:val="28"/>
          <w:rtl w:val="true"/>
          <w:lang w:bidi="ar-SA"/>
        </w:rPr>
        <w:t>لوجود الصارف القوي له عن القبيح، و هذا الصارف القوي موجود في القديم تعالى أيضاً، فسوف يكون كالمُلجأ و لا يستحقّ المدح، سواء كان سبب الصارف العلم بالمضرّة أو لا، و سواء سمّي القديم مُلجأ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عدم تسميته بذلك هو أنّ مصطلح المُلجأ يُطلق على من ألجأه غيرُه إلى فعلٍ أو تركٍ‌، و القديم تعالى لا يمكن لأحد أن يُلجأه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أجابوا بأنّ علّة الإلجاء إمّا المنع و إمّا العلم بالمضرّة و لا ثالث لها، وبما أنّ اللّٰه تعالى منزّه عن كلا الأمرين فلا يكون مُلجأ أو كالمُلجأ كما ادّعيتم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الإلجاء و سقوط المدح عمّن ترك القبيح بسبب علمه بالمضرّة، هو وجود الصارف القوي، و هذا الصارف موجود في القديم تعالى؛ لعلمه بالقبيح و غناه عنه، فلا يستحقّ المدح سواء سمّي ملجأ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عوامل الإلجاء غير محصورة بالأمرين اللذين ذكرتموهما، فهناك عامل ثالث،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اللهُ تعالى القادرَ أنّه متى أراد أن يفعل الفعل منعه منه، فإنّ سبب حصول حكم الإلجاء في ذينك الأمرين هو وجود الصارف القوي عند تحقّقهما، و هذا الصارف القوي موجود أيضاً في العامل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كلّه اتّضح أنّ الصارف القوي يجعل القديم كالمُلجأ، فلا يستحقّ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وجود الصارف قد يُستحقّ المدح، و مثاله أن يكون شخصٌ مخيّراً بين الصدق و الكذب لأجل تحصيل شيء، فهو في هذه الحالة لا يختار إلّا الصدق، و في نفس الوقت سوف يستحقّ المدح على ترك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وجود الصارف عن الكذب، و هذا الصارف هو الاستغناء بالصدق عن الكذب، و كذلك اللّٰه تعالى فمع وجود الصارف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استغناؤه بعلمه و غناه عن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يستحقّ المدح على ترك القبيح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نوافق على استحقاق تارك الكذب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فرض استحقاقه المدح، فما الفرق بين هذه الحالة و حالة الإلجاء، ففي </w:t>
      </w:r>
    </w:p>
    <w:p>
      <w:pPr>
        <w:pStyle w:val="BookText"/>
        <w:rPr/>
      </w:pPr>
      <w:r>
        <w:rPr>
          <w:rFonts w:ascii="Amiri" w:hAnsi="Amiri" w:eastAsia="Amiri" w:cs="Amiri"/>
          <w:color w:val="111111"/>
          <w:sz w:val="28"/>
          <w:sz w:val="28"/>
          <w:szCs w:val="28"/>
          <w:rtl w:val="true"/>
          <w:lang w:bidi="ar-SA"/>
        </w:rPr>
        <w:t>كلا الحالتين يوجد صارفٌ و يقينٌ بترك القبيح‌؟ فلماذا يستحقّ المدح في هذه الحالة دون حالة الإلجاء؟ و أيضاً على فرض التسليم باستحقاقه المدح فهو يفترق عن القديم تعالى؛ لأنّ له منفعة و داعياً إلى الكذب، و قد تركه فيستحقّ المدح، و إن كان له صارف عنه بوجود الصدق، بينما ليس للقديم تعالى منفعة وداعٍ إلى فعل القبيح، فلا يستحقّ على تركه المدح مع وجود الصارف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اتّضح أنّه مع وجود الصارف القوي فقط يسقط استحقاق المدح على ترك القبيح، إلّاإذا كانت هناك منفعة وداعٍ إلى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هذا أن لا يستحقّ القديم تعالى المدح على فعل الواجب؛ لأنّه لا داعيَ له إلى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يستحقّ المدح الذي يُستحقّ على الفعل؛ لأنّه لا داعيَ له إلى تركه، ولكنّه يستحقّ المدح لكونه يمتلك صفات رفيعة من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قدرة و علم و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يفعل الواجب، كما قلنا إنّه يستحقّ المدح لتركه القبيح لأجل امتلاكه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فعل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اللّٰه تعالى عليه المدح الذي يُستحقّ على الفعل؛ لأنّ الدواعي و الصوارف فيه متساوية، فيستحقّ المدح باختياره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الشريف المرتضى أيضاً إلى أنّه بعد التسليم بما ذهب إليه من أنّ استحقاق المدح على ترك القبيح ناشيء من وجود صفات نفسيّة عنده تعالى اقتضت تركه للقبيح،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المدح يمكن أن يستحقّه الإنسان أيضاً فيما لو ترك القبيح و استغنى عنه بالحسن، كما في مثال الصدق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القديم تعالى ترك القبيح لامتلاكه صفات نفسيّة ذاتيّة، بينما تَركُ الإنسان للقبيح كان لأمر عارض، و هو استغناؤه عنه بالحسن، لا لصفة ذاتيّة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سمحت مقدرة الشريف المرتضى الكبيرة على المناقشة إلى أن يخالف كبار </w:t>
      </w:r>
      <w:bookmarkStart w:id="50" w:name="pg16425_221516"/>
    </w:p>
    <w:p>
      <w:pPr>
        <w:pStyle w:val="BookText"/>
        <w:rPr/>
      </w:pPr>
      <w:bookmarkEnd w:id="50"/>
      <w:r>
        <w:rPr>
          <w:rFonts w:ascii="Amiri" w:hAnsi="Amiri" w:eastAsia="Amiri" w:cs="Amiri"/>
          <w:color w:val="111111"/>
          <w:sz w:val="28"/>
          <w:sz w:val="28"/>
          <w:szCs w:val="28"/>
          <w:rtl w:val="true"/>
          <w:lang w:bidi="ar-SA"/>
        </w:rPr>
        <w:t>المتكلّمين في هذه الرسالة، و لم يأبه بذلك؛ لأنّ رائده في ذلك هو الدليل الواضح و الحجّة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الشريف المرتضى بتأليف هذه الرسالة في صفر من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بعد تجاوزه السبعين من عمره، و بلوغه مرتبة رفيعة من النضج الفكري و الكمال العلمي</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7829935_1280447820"/>
      <w:bookmarkStart w:id="52" w:name="_Toc16"/>
      <w:bookmarkEnd w:id="51"/>
      <w:r>
        <w:rPr>
          <w:rtl w:val="true"/>
        </w:rPr>
        <w:t>عنوان الرسالة</w:t>
      </w:r>
      <w:bookmarkEnd w:id="52"/>
    </w:p>
    <w:p>
      <w:pPr>
        <w:pStyle w:val="BookText"/>
        <w:rPr/>
      </w:pPr>
      <w:r>
        <w:rPr>
          <w:rFonts w:ascii="Amiri" w:hAnsi="Amiri" w:eastAsia="Amiri" w:cs="Amiri"/>
          <w:color w:val="111111"/>
          <w:sz w:val="28"/>
          <w:sz w:val="28"/>
          <w:szCs w:val="28"/>
          <w:rtl w:val="true"/>
          <w:lang w:bidi="ar-SA"/>
        </w:rPr>
        <w:t xml:space="preserve">لقد طبعت هذه الرسالة في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استحقاق مدح الباري على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عنوان عامّ‌؛ فإنّ البحث يدور حول وجه استحقاق الباري تعالىٰ المدح لترك القبيح خاصّة، لا حول وجه استحقاقه المدح على جميع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طبعت في ضمن مسائل المرتضىٰ‌،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القديم لا يفعل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العنوان أجنبيّ عن البحث؛ فإنّ البحث لا يدور حول أنّه تعالى يفعل القبيح أو لا يفعله، و إنّما حول بيان سبب استحقاقه المدح عند تركه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تسمية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استحقاقه تعالى المدح علىٰ تركه القبيح</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7829937_1280447820"/>
      <w:bookmarkStart w:id="54" w:name="_Toc17"/>
      <w:bookmarkEnd w:id="53"/>
      <w:r>
        <w:rPr>
          <w:rtl w:val="true"/>
        </w:rPr>
        <w:t>مخطوطات الرسالة</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bookmarkStart w:id="55" w:name="pg16425_221518"/>
    </w:p>
    <w:p>
      <w:pPr>
        <w:pStyle w:val="BookText"/>
        <w:rPr/>
      </w:pPr>
      <w:bookmarkEnd w:id="5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7829939_1280447820"/>
      <w:bookmarkStart w:id="57" w:name="_Toc18"/>
      <w:bookmarkEnd w:id="56"/>
      <w:r>
        <w:rPr>
          <w:rtl w:val="true"/>
        </w:rPr>
        <w:t>مسألةٌ في علّةِ استِحقاقِه تعالى المدحَ علىٰ تَركِه القَبيحَ‌</w:t>
      </w:r>
      <w:bookmarkEnd w:id="57"/>
    </w:p>
    <w:p>
      <w:pPr>
        <w:pStyle w:val="BookText"/>
        <w:rPr/>
      </w:pPr>
      <w:r>
        <w:rPr>
          <w:rFonts w:ascii="Amiri" w:hAnsi="Amiri" w:eastAsia="Amiri" w:cs="Amiri"/>
          <w:color w:val="111111"/>
          <w:sz w:val="28"/>
          <w:sz w:val="28"/>
          <w:szCs w:val="28"/>
          <w:rtl w:val="true"/>
          <w:lang w:bidi="ar-SA"/>
        </w:rPr>
        <w:t>مسألةٌ في علّةِ استِحقاقِه تعالى المدحَ علىٰ تَركِه القَبيحَ‌</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خَرَجَت في صَفَرٍ</w:t>
      </w:r>
      <w:r>
        <w:rPr>
          <w:rStyle w:val="FootnoteAnchor"/>
          <w:rtl w:val="true"/>
        </w:rPr>
        <w:footnoteReference w:id="10"/>
      </w:r>
      <w:r>
        <w:rPr>
          <w:rFonts w:ascii="Amiri" w:hAnsi="Amiri" w:eastAsia="Amiri" w:cs="Amiri"/>
          <w:color w:val="111111"/>
          <w:sz w:val="28"/>
          <w:sz w:val="28"/>
          <w:szCs w:val="28"/>
          <w:rtl w:val="true"/>
          <w:lang w:bidi="ar-SA"/>
        </w:rPr>
        <w:t>سَنةَ سَبعٍ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يَجِبُ أن يوحِشَ مِن المَذهبِ فَقدُ الذاهبِ إليه و العاثِرِ</w:t>
      </w:r>
      <w:r>
        <w:rPr>
          <w:rStyle w:val="FootnoteAnchor"/>
          <w:rtl w:val="true"/>
        </w:rPr>
        <w:footnoteReference w:id="11"/>
      </w:r>
      <w:r>
        <w:rPr>
          <w:rFonts w:ascii="Amiri" w:hAnsi="Amiri" w:eastAsia="Amiri" w:cs="Amiri"/>
          <w:color w:val="111111"/>
          <w:sz w:val="28"/>
          <w:sz w:val="28"/>
          <w:szCs w:val="28"/>
          <w:rtl w:val="true"/>
          <w:lang w:bidi="ar-SA"/>
        </w:rPr>
        <w:t>عليه؛ بَل يَنبَغي أن لا يوحِشَ منه</w:t>
      </w:r>
      <w:r>
        <w:rPr>
          <w:rStyle w:val="FootnoteAnchor"/>
          <w:rtl w:val="true"/>
        </w:rPr>
        <w:footnoteReference w:id="12"/>
      </w:r>
      <w:r>
        <w:rPr>
          <w:rFonts w:ascii="Amiri" w:hAnsi="Amiri" w:eastAsia="Amiri" w:cs="Amiri"/>
          <w:color w:val="111111"/>
          <w:sz w:val="28"/>
          <w:sz w:val="28"/>
          <w:szCs w:val="28"/>
          <w:rtl w:val="true"/>
          <w:lang w:bidi="ar-SA"/>
        </w:rPr>
        <w:t>إلّاما لا دَلالةَ له</w:t>
      </w:r>
      <w:r>
        <w:rPr>
          <w:rStyle w:val="FootnoteAnchor"/>
          <w:rtl w:val="true"/>
        </w:rPr>
        <w:footnoteReference w:id="13"/>
      </w:r>
      <w:r>
        <w:rPr>
          <w:rFonts w:ascii="Amiri" w:hAnsi="Amiri" w:eastAsia="Amiri" w:cs="Amiri"/>
          <w:color w:val="111111"/>
          <w:sz w:val="28"/>
          <w:sz w:val="28"/>
          <w:szCs w:val="28"/>
          <w:rtl w:val="true"/>
          <w:lang w:bidi="ar-SA"/>
        </w:rPr>
        <w:t>تَعضُدُه،</w:t>
      </w:r>
      <w:r>
        <w:rPr>
          <w:rStyle w:val="FootnoteAnchor"/>
          <w:rtl w:val="true"/>
        </w:rPr>
        <w:footnoteReference w:id="14"/>
      </w:r>
      <w:r>
        <w:rPr>
          <w:rFonts w:ascii="Amiri" w:hAnsi="Amiri" w:eastAsia="Amiri" w:cs="Amiri"/>
          <w:color w:val="111111"/>
          <w:sz w:val="28"/>
          <w:sz w:val="28"/>
          <w:szCs w:val="28"/>
          <w:rtl w:val="true"/>
          <w:lang w:bidi="ar-SA"/>
        </w:rPr>
        <w:t>و لا حُجّةَ تَعمِدُه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لمّا فَكَّرتُ فيما يَمضي كَثيراً في الكُتُبِ‌، مِن أنّ القَديمَ تَعالىٰ يَستَحِقُّ المَدحَ علىٰ‌</w:t>
      </w:r>
      <w:r>
        <w:rPr>
          <w:rStyle w:val="FootnoteAnchor"/>
          <w:rtl w:val="true"/>
        </w:rPr>
        <w:footnoteReference w:id="16"/>
      </w:r>
      <w:r>
        <w:rPr>
          <w:rFonts w:ascii="Amiri" w:hAnsi="Amiri" w:eastAsia="Amiri" w:cs="Amiri"/>
          <w:color w:val="111111"/>
          <w:sz w:val="28"/>
          <w:sz w:val="28"/>
          <w:szCs w:val="28"/>
          <w:rtl w:val="true"/>
          <w:lang w:bidi="ar-SA"/>
        </w:rPr>
        <w:t>أنّه تَعالىٰ لا يَفعَلُ القَبيحَ‌، رأيتُ‌</w:t>
      </w:r>
      <w:r>
        <w:rPr>
          <w:rStyle w:val="FootnoteAnchor"/>
          <w:rtl w:val="true"/>
        </w:rPr>
        <w:footnoteReference w:id="17"/>
      </w:r>
      <w:r>
        <w:rPr>
          <w:rFonts w:ascii="Amiri" w:hAnsi="Amiri" w:eastAsia="Amiri" w:cs="Amiri"/>
          <w:color w:val="111111"/>
          <w:sz w:val="28"/>
          <w:sz w:val="28"/>
          <w:szCs w:val="28"/>
          <w:rtl w:val="true"/>
          <w:lang w:bidi="ar-SA"/>
        </w:rPr>
        <w:t>أنّ إطلاقَ ذلكَ مِن</w:t>
      </w:r>
      <w:r>
        <w:rPr>
          <w:rStyle w:val="FootnoteAnchor"/>
          <w:rtl w:val="true"/>
        </w:rPr>
        <w:footnoteReference w:id="18"/>
      </w:r>
      <w:r>
        <w:rPr>
          <w:rFonts w:ascii="Amiri" w:hAnsi="Amiri" w:eastAsia="Amiri" w:cs="Amiri"/>
          <w:color w:val="111111"/>
          <w:sz w:val="28"/>
          <w:sz w:val="28"/>
          <w:szCs w:val="28"/>
          <w:rtl w:val="true"/>
          <w:lang w:bidi="ar-SA"/>
        </w:rPr>
        <w:t>غيرِ تفصيلٍ و ترتيبٍ غيرُ صَحيحٍ علىٰ موجَبِ الأُصولِ المُتمهِّدةِ‌</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مِن حَيثُ‌</w:t>
      </w:r>
      <w:r>
        <w:rPr>
          <w:rStyle w:val="FootnoteAnchor"/>
          <w:rtl w:val="true"/>
        </w:rPr>
        <w:footnoteReference w:id="20"/>
      </w:r>
      <w:r>
        <w:rPr>
          <w:rFonts w:ascii="Amiri" w:hAnsi="Amiri" w:eastAsia="Amiri" w:cs="Amiri"/>
          <w:color w:val="111111"/>
          <w:sz w:val="28"/>
          <w:sz w:val="28"/>
          <w:szCs w:val="28"/>
          <w:rtl w:val="true"/>
          <w:lang w:bidi="ar-SA"/>
        </w:rPr>
        <w:t xml:space="preserve">لَم يَفعَلِ القَبيحَ لا يَستَحِقُّ المَدحَ‌ </w:t>
      </w:r>
    </w:p>
    <w:p>
      <w:pPr>
        <w:pStyle w:val="BookText"/>
        <w:rPr/>
      </w:pPr>
      <w:r>
        <w:rPr>
          <w:rFonts w:ascii="Amiri" w:hAnsi="Amiri" w:eastAsia="Amiri" w:cs="Amiri"/>
          <w:color w:val="111111"/>
          <w:sz w:val="28"/>
          <w:sz w:val="28"/>
          <w:szCs w:val="28"/>
          <w:rtl w:val="true"/>
          <w:lang w:bidi="ar-SA"/>
        </w:rPr>
        <w:t>التابعَ للأفعالِ‌، لكِنّه يَستَحِقُّ المَدحَ بذلكَ مِن حَيثُ كانَ تَعالىٰ علىٰ صِفاتٍ تَقتَضي أن لا يَختارَ فِعلَ القَبيحِ‌؛ كَما يَستَحِقُّ تَعالَى المَدحَ بكَونِه قَديماً و عالِماً و حَيّاً و قادراً، و إن كانَ هذا المَدحُ الذي يَستَحِقُّه لَيسَ هو كالمَدحِ المُستَحَقِّ علَى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يَختارُ القَبيحَ‌؛ إمّا لثُبوتِ الصارفِ عنه و هو كَونُه تَعالىٰ عالِماً بقُبحِه و أنّه غنيٌّ عنه، أو مِن حَيثُ لا داعيَ له إلى فعلِه</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عبارةِ الشيوخِ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فجَرىٰ‌</w:t>
      </w:r>
      <w:r>
        <w:rPr>
          <w:rStyle w:val="FootnoteAnchor"/>
          <w:rtl w:val="true"/>
        </w:rPr>
        <w:footnoteReference w:id="22"/>
      </w:r>
      <w:r>
        <w:rPr>
          <w:rFonts w:ascii="Amiri" w:hAnsi="Amiri" w:eastAsia="Amiri" w:cs="Amiri"/>
          <w:color w:val="111111"/>
          <w:sz w:val="28"/>
          <w:sz w:val="28"/>
          <w:szCs w:val="28"/>
          <w:rtl w:val="true"/>
          <w:lang w:bidi="ar-SA"/>
        </w:rPr>
        <w:t>مَجرىٰ مَن لا يَختارُ القَبيحَ مِنّا بالإلجاءِ إلىٰ أن لا يَفعَلَه في أنّه لا يَستَحِقُّ مَدحاً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أحَدَنا</w:t>
      </w:r>
      <w:r>
        <w:rPr>
          <w:rStyle w:val="FootnoteAnchor"/>
          <w:rtl w:val="true"/>
        </w:rPr>
        <w:footnoteReference w:id="23"/>
      </w:r>
      <w:r>
        <w:rPr>
          <w:rFonts w:ascii="Amiri" w:hAnsi="Amiri" w:eastAsia="Amiri" w:cs="Amiri"/>
          <w:color w:val="111111"/>
          <w:sz w:val="28"/>
          <w:sz w:val="28"/>
          <w:szCs w:val="28"/>
          <w:rtl w:val="true"/>
          <w:lang w:bidi="ar-SA"/>
        </w:rPr>
        <w:t>لا يَستَحِقُّ المَدحَ بأن لا يَقتُلَ نفسَه و ولدَه و يُتلِفَ أموالَه‌؟ لأنّ ذلكَ ممّا لا يَجوزُ وقوعُه منه؛ للصارفِ القويِّ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لهُم أن يُفرِّقوا بَينَ الأمرَينِ بالإلجاءِ‌، و يَقولوا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إنّ أحَدَنا مُلجأٌ إلىٰ أن لا</w:t>
      </w:r>
      <w:r>
        <w:rPr>
          <w:rStyle w:val="FootnoteAnchor"/>
          <w:rtl w:val="true"/>
        </w:rPr>
        <w:footnoteReference w:id="25"/>
      </w:r>
      <w:r>
        <w:rPr>
          <w:rFonts w:ascii="Amiri" w:hAnsi="Amiri" w:eastAsia="Amiri" w:cs="Amiri"/>
          <w:color w:val="111111"/>
          <w:sz w:val="28"/>
          <w:sz w:val="28"/>
          <w:szCs w:val="28"/>
          <w:rtl w:val="true"/>
          <w:lang w:bidi="ar-SA"/>
        </w:rPr>
        <w:t>يَقتُلَ نفسَه و يُتلِفَ مالَه؛ للمَضرّةِ التي تَلحَقُه بذلكَ‌</w:t>
      </w:r>
      <w:r>
        <w:rPr>
          <w:rStyle w:val="FootnoteAnchor"/>
          <w:rtl w:val="true"/>
        </w:rPr>
        <w:footnoteReference w:id="26"/>
      </w:r>
      <w:r>
        <w:rPr>
          <w:rFonts w:ascii="Amiri" w:hAnsi="Amiri" w:eastAsia="Amiri" w:cs="Amiri"/>
          <w:color w:val="111111"/>
          <w:sz w:val="28"/>
          <w:sz w:val="28"/>
          <w:szCs w:val="28"/>
          <w:rtl w:val="true"/>
          <w:lang w:bidi="ar-SA"/>
        </w:rPr>
        <w:t>، و القَديمُ تَعالىٰ غيرُ مُلجَإٍ إلى أن لا يَفعَلَ القَبيحَ‌؛ لأنّ المَضارَّ التي بها يَكونُ الإلجاءُ لا تَجوزُ عليه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المُعوَّلَ علَى المَعاني دونَ العباراتِ‌، و إنّما</w:t>
      </w:r>
      <w:r>
        <w:rPr>
          <w:rStyle w:val="FootnoteAnchor"/>
          <w:rtl w:val="true"/>
        </w:rPr>
        <w:footnoteReference w:id="27"/>
      </w:r>
      <w:r>
        <w:rPr>
          <w:rFonts w:ascii="Amiri" w:hAnsi="Amiri" w:eastAsia="Amiri" w:cs="Amiri"/>
          <w:color w:val="111111"/>
          <w:sz w:val="28"/>
          <w:sz w:val="28"/>
          <w:szCs w:val="28"/>
          <w:rtl w:val="true"/>
          <w:lang w:bidi="ar-SA"/>
        </w:rPr>
        <w:t>كانَ أحَدُنا مُلجَأً إلىٰ أن لا يَقتُلَ نفسَه</w:t>
      </w:r>
      <w:r>
        <w:rPr>
          <w:rStyle w:val="FootnoteAnchor"/>
          <w:rtl w:val="true"/>
        </w:rPr>
        <w:footnoteReference w:id="28"/>
      </w:r>
      <w:r>
        <w:rPr>
          <w:rFonts w:ascii="Amiri" w:hAnsi="Amiri" w:eastAsia="Amiri" w:cs="Amiri"/>
          <w:color w:val="111111"/>
          <w:sz w:val="28"/>
          <w:sz w:val="28"/>
          <w:szCs w:val="28"/>
          <w:rtl w:val="true"/>
          <w:lang w:bidi="ar-SA"/>
        </w:rPr>
        <w:t xml:space="preserve">لثُبوتِ الصارفِ القويِّ عن ذلكَ‌، و أنّه ممّن لا يَجوزُ أن يَختارَه و حالُه </w:t>
      </w:r>
    </w:p>
    <w:p>
      <w:pPr>
        <w:pStyle w:val="BookText"/>
        <w:rPr/>
      </w:pPr>
      <w:r>
        <w:rPr>
          <w:rFonts w:ascii="Amiri" w:hAnsi="Amiri" w:eastAsia="Amiri" w:cs="Amiri"/>
          <w:color w:val="111111"/>
          <w:sz w:val="28"/>
          <w:sz w:val="28"/>
          <w:szCs w:val="28"/>
          <w:rtl w:val="true"/>
          <w:lang w:bidi="ar-SA"/>
        </w:rPr>
        <w:t>هذه، و هذه حالُ القَديمِ تَعالىٰ‌</w:t>
      </w:r>
      <w:r>
        <w:rPr>
          <w:rStyle w:val="FootnoteAnchor"/>
          <w:rtl w:val="true"/>
        </w:rPr>
        <w:footnoteReference w:id="29"/>
      </w:r>
      <w:r>
        <w:rPr>
          <w:rFonts w:ascii="Amiri" w:hAnsi="Amiri" w:eastAsia="Amiri" w:cs="Amiri"/>
          <w:color w:val="111111"/>
          <w:sz w:val="28"/>
          <w:sz w:val="28"/>
          <w:szCs w:val="28"/>
          <w:rtl w:val="true"/>
          <w:lang w:bidi="ar-SA"/>
        </w:rPr>
        <w:t>في كَونِه غيرَ فاعلِ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اعتبارَ بتسميةِ المُلجَإِ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لأنّ ذلكَ إنّما اعتُبِرَ استعمالُه فيمَن</w:t>
      </w:r>
      <w:r>
        <w:rPr>
          <w:rStyle w:val="FootnoteAnchor"/>
          <w:rtl w:val="true"/>
        </w:rPr>
        <w:footnoteReference w:id="31"/>
      </w:r>
      <w:r>
        <w:rPr>
          <w:rFonts w:ascii="Amiri" w:hAnsi="Amiri" w:eastAsia="Amiri" w:cs="Amiri"/>
          <w:color w:val="111111"/>
          <w:sz w:val="28"/>
          <w:sz w:val="28"/>
          <w:szCs w:val="28"/>
          <w:rtl w:val="true"/>
          <w:lang w:bidi="ar-SA"/>
        </w:rPr>
        <w:t>ألجأَه غيرُه و حَمَلَه</w:t>
      </w:r>
      <w:r>
        <w:rPr>
          <w:rStyle w:val="FootnoteAnchor"/>
          <w:rtl w:val="true"/>
        </w:rPr>
        <w:footnoteReference w:id="32"/>
      </w:r>
      <w:r>
        <w:rPr>
          <w:rFonts w:ascii="Amiri" w:hAnsi="Amiri" w:eastAsia="Amiri" w:cs="Amiri"/>
          <w:color w:val="111111"/>
          <w:sz w:val="28"/>
          <w:sz w:val="28"/>
          <w:szCs w:val="28"/>
          <w:rtl w:val="true"/>
          <w:lang w:bidi="ar-SA"/>
        </w:rPr>
        <w:t>إمّا علىٰ أن يَفعَلَ أو علىٰ أن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في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الإلجاءَ إذا لَم يَكُن مِن بابِ المَنعِ‌، فلا يَحصُلُ إلّا بالمَضارِّ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w:t>
      </w:r>
      <w:r>
        <w:rPr>
          <w:rStyle w:val="FootnoteAnchor"/>
          <w:rtl w:val="true"/>
        </w:rPr>
        <w:footnoteReference w:id="33"/>
      </w:r>
      <w:r>
        <w:rPr>
          <w:rFonts w:ascii="Amiri" w:hAnsi="Amiri" w:eastAsia="Amiri" w:cs="Amiri"/>
          <w:color w:val="111111"/>
          <w:sz w:val="28"/>
          <w:sz w:val="28"/>
          <w:szCs w:val="28"/>
          <w:rtl w:val="true"/>
          <w:lang w:bidi="ar-SA"/>
        </w:rPr>
        <w:t>غيرُ مُسلَّمٍ‌؛ لأنّ الإلجاءَ في المَوضِعِ الذي ذَكروه</w:t>
      </w:r>
      <w:r>
        <w:rPr>
          <w:rStyle w:val="FootnoteAnchor"/>
          <w:rtl w:val="true"/>
        </w:rPr>
        <w:footnoteReference w:id="34"/>
      </w:r>
      <w:r>
        <w:rPr>
          <w:rFonts w:ascii="Amiri" w:hAnsi="Amiri" w:eastAsia="Amiri" w:cs="Amiri"/>
          <w:color w:val="111111"/>
          <w:sz w:val="28"/>
          <w:sz w:val="28"/>
          <w:szCs w:val="28"/>
          <w:rtl w:val="true"/>
          <w:lang w:bidi="ar-SA"/>
        </w:rPr>
        <w:t>معلومٌ سُقوطُ المَدحِ فيه، فيُحتاجُ‌</w:t>
      </w:r>
      <w:r>
        <w:rPr>
          <w:rStyle w:val="FootnoteAnchor"/>
          <w:rtl w:val="true"/>
        </w:rPr>
        <w:footnoteReference w:id="35"/>
      </w:r>
      <w:r>
        <w:rPr>
          <w:rFonts w:ascii="Amiri" w:hAnsi="Amiri" w:eastAsia="Amiri" w:cs="Amiri"/>
          <w:color w:val="111111"/>
          <w:sz w:val="28"/>
          <w:sz w:val="28"/>
          <w:szCs w:val="28"/>
          <w:rtl w:val="true"/>
          <w:lang w:bidi="ar-SA"/>
        </w:rPr>
        <w:t>أن يُعلَّلَ بأنّه لِمَ يَسقُطُ المَدحُ فيه عن الفاعلِ؟ و إذا فَعَلنا ذلكَ‌</w:t>
      </w:r>
      <w:r>
        <w:rPr>
          <w:rStyle w:val="FootnoteAnchor"/>
          <w:rtl w:val="true"/>
        </w:rPr>
        <w:footnoteReference w:id="36"/>
      </w:r>
      <w:r>
        <w:rPr>
          <w:rFonts w:ascii="Amiri" w:hAnsi="Amiri" w:eastAsia="Amiri" w:cs="Amiri"/>
          <w:color w:val="111111"/>
          <w:sz w:val="28"/>
          <w:sz w:val="28"/>
          <w:szCs w:val="28"/>
          <w:rtl w:val="true"/>
          <w:lang w:bidi="ar-SA"/>
        </w:rPr>
        <w:t>لَم نَجِدْ له عِلّةً إلّاخُلوصَ‌</w:t>
      </w:r>
      <w:r>
        <w:rPr>
          <w:rStyle w:val="FootnoteAnchor"/>
          <w:rtl w:val="true"/>
        </w:rPr>
        <w:footnoteReference w:id="37"/>
      </w:r>
      <w:r>
        <w:rPr>
          <w:rFonts w:ascii="Amiri" w:hAnsi="Amiri" w:eastAsia="Amiri" w:cs="Amiri"/>
          <w:color w:val="111111"/>
          <w:sz w:val="28"/>
          <w:sz w:val="28"/>
          <w:szCs w:val="28"/>
          <w:rtl w:val="true"/>
          <w:lang w:bidi="ar-SA"/>
        </w:rPr>
        <w:t>الصارفِ‌</w:t>
      </w:r>
      <w:r>
        <w:rPr>
          <w:rStyle w:val="FootnoteAnchor"/>
          <w:rtl w:val="true"/>
        </w:rPr>
        <w:footnoteReference w:id="38"/>
      </w:r>
      <w:r>
        <w:rPr>
          <w:rFonts w:ascii="Amiri" w:hAnsi="Amiri" w:eastAsia="Amiri" w:cs="Amiri"/>
          <w:color w:val="111111"/>
          <w:sz w:val="28"/>
          <w:sz w:val="28"/>
          <w:szCs w:val="28"/>
          <w:rtl w:val="true"/>
          <w:lang w:bidi="ar-SA"/>
        </w:rPr>
        <w:t>، و أنّه لا يَجوزُ مِن العاقلِ‌</w:t>
      </w:r>
      <w:r>
        <w:rPr>
          <w:rStyle w:val="FootnoteAnchor"/>
          <w:rtl w:val="true"/>
        </w:rPr>
        <w:footnoteReference w:id="39"/>
      </w:r>
      <w:r>
        <w:rPr>
          <w:rFonts w:ascii="Amiri" w:hAnsi="Amiri" w:eastAsia="Amiri" w:cs="Amiri"/>
          <w:color w:val="111111"/>
          <w:sz w:val="28"/>
          <w:sz w:val="28"/>
          <w:szCs w:val="28"/>
          <w:rtl w:val="true"/>
          <w:lang w:bidi="ar-SA"/>
        </w:rPr>
        <w:t>و الحالُ هذه أن يَفعَلَ ما خَلَصَ الصارفُ عن فعلِه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w:t>
      </w:r>
      <w:r>
        <w:rPr>
          <w:rStyle w:val="FootnoteAnchor"/>
          <w:rtl w:val="true"/>
        </w:rPr>
        <w:footnoteReference w:id="41"/>
      </w:r>
      <w:r>
        <w:rPr>
          <w:rFonts w:ascii="Amiri" w:hAnsi="Amiri" w:eastAsia="Amiri" w:cs="Amiri"/>
          <w:color w:val="111111"/>
          <w:sz w:val="28"/>
          <w:sz w:val="28"/>
          <w:szCs w:val="28"/>
          <w:rtl w:val="true"/>
          <w:lang w:bidi="ar-SA"/>
        </w:rPr>
        <w:t xml:space="preserve">بعَينِه ثابتٌ في الأفعالِ القَبيحةِ مع اللّٰهِ تَعالىٰ‌؛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البَتّةَ أن يَختارَ القَبيحَ‌؛ لأنّ عِلمَه بقُبحِه و بأنّه غنيٌّ عنه صارفٌ‌، لا</w:t>
      </w:r>
      <w:r>
        <w:rPr>
          <w:rStyle w:val="FootnoteAnchor"/>
          <w:rtl w:val="true"/>
        </w:rPr>
        <w:footnoteReference w:id="42"/>
      </w:r>
      <w:r>
        <w:rPr>
          <w:rFonts w:ascii="Amiri" w:hAnsi="Amiri" w:eastAsia="Amiri" w:cs="Amiri"/>
          <w:color w:val="111111"/>
          <w:sz w:val="28"/>
          <w:sz w:val="28"/>
          <w:szCs w:val="28"/>
          <w:rtl w:val="true"/>
          <w:lang w:bidi="ar-SA"/>
        </w:rPr>
        <w:t xml:space="preserve">يَجوزُ </w:t>
      </w:r>
    </w:p>
    <w:p>
      <w:pPr>
        <w:pStyle w:val="BookText"/>
        <w:rPr/>
      </w:pPr>
      <w:r>
        <w:rPr>
          <w:rFonts w:ascii="Amiri" w:hAnsi="Amiri" w:eastAsia="Amiri" w:cs="Amiri"/>
          <w:color w:val="111111"/>
          <w:sz w:val="28"/>
          <w:sz w:val="28"/>
          <w:szCs w:val="28"/>
          <w:rtl w:val="true"/>
          <w:lang w:bidi="ar-SA"/>
        </w:rPr>
        <w:t>معه وقوعُ القَبيحِ علىٰ وجهٍ مِن الوجوهِ‌، فيَنبَغي أن يَسقُطَ المَدحُ كَما سَقَطَ</w:t>
      </w:r>
      <w:r>
        <w:rPr>
          <w:rStyle w:val="FootnoteAnchor"/>
          <w:rtl w:val="true"/>
        </w:rPr>
        <w:footnoteReference w:id="43"/>
      </w:r>
      <w:r>
        <w:rPr>
          <w:rFonts w:ascii="Amiri" w:hAnsi="Amiri" w:eastAsia="Amiri" w:cs="Amiri"/>
          <w:color w:val="111111"/>
          <w:sz w:val="28"/>
          <w:sz w:val="28"/>
          <w:szCs w:val="28"/>
          <w:rtl w:val="true"/>
          <w:lang w:bidi="ar-SA"/>
        </w:rPr>
        <w:t>في المَوضِعِ الذي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بنا حاجةٌ إلَى المُضايَقةِ في تسميةِ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معنىٰ للخِلافِ في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يَجوزُ أن نَقولَ‌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Style w:val="FootnoteAnchor"/>
          <w:rtl w:val="true"/>
        </w:rPr>
        <w:footnoteReference w:id="44"/>
      </w:r>
      <w:r>
        <w:rPr>
          <w:rFonts w:ascii="Amiri" w:hAnsi="Amiri" w:eastAsia="Amiri" w:cs="Amiri"/>
          <w:color w:val="111111"/>
          <w:sz w:val="28"/>
          <w:sz w:val="28"/>
          <w:szCs w:val="28"/>
          <w:rtl w:val="true"/>
          <w:lang w:bidi="ar-SA"/>
        </w:rPr>
        <w:t>حُكمَ الإلجاءِ مقصورٌ علَى المَضارِّ الحاضرةِ‌</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 عندَنا أنّ هاهُنا ضَرباً مِن الإلجاءِ بغَيرِ المَضارِّ، و هو أن يُعلِمَ اللّٰهُ تَعالَى القادرَ أنّه متىٰ رامَ الفعلَ مَنَعَه منه</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الإلجاءَ إذا لَم يَكُن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w:t>
      </w:r>
      <w:r>
        <w:rPr>
          <w:rStyle w:val="FootnoteAnchor"/>
          <w:rtl w:val="true"/>
        </w:rPr>
        <w:footnoteReference w:id="47"/>
      </w:r>
      <w:r>
        <w:rPr>
          <w:rFonts w:ascii="Amiri" w:hAnsi="Amiri" w:eastAsia="Amiri" w:cs="Amiri"/>
          <w:color w:val="111111"/>
          <w:sz w:val="28"/>
          <w:sz w:val="28"/>
          <w:szCs w:val="28"/>
          <w:rtl w:val="true"/>
          <w:lang w:bidi="ar-SA"/>
        </w:rPr>
        <w:t>الذي ذَكرتموه</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إلّا</w:t>
      </w:r>
      <w:r>
        <w:rPr>
          <w:rStyle w:val="FootnoteAnchor"/>
          <w:rtl w:val="true"/>
        </w:rPr>
        <w:footnoteReference w:id="49"/>
      </w:r>
      <w:r>
        <w:rPr>
          <w:rFonts w:ascii="Amiri" w:hAnsi="Amiri" w:eastAsia="Amiri" w:cs="Amiri"/>
          <w:color w:val="111111"/>
          <w:sz w:val="28"/>
          <w:sz w:val="28"/>
          <w:szCs w:val="28"/>
          <w:rtl w:val="true"/>
          <w:lang w:bidi="ar-SA"/>
        </w:rPr>
        <w:t>بالمَضارِّ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الإلجاءُ قد</w:t>
      </w:r>
      <w:r>
        <w:rPr>
          <w:rStyle w:val="FootnoteAnchor"/>
          <w:rtl w:val="true"/>
        </w:rPr>
        <w:footnoteReference w:id="50"/>
      </w:r>
      <w:r>
        <w:rPr>
          <w:rFonts w:ascii="Amiri" w:hAnsi="Amiri" w:eastAsia="Amiri" w:cs="Amiri"/>
          <w:color w:val="111111"/>
          <w:sz w:val="28"/>
          <w:sz w:val="28"/>
          <w:szCs w:val="28"/>
          <w:rtl w:val="true"/>
          <w:lang w:bidi="ar-SA"/>
        </w:rPr>
        <w:t>يَكونُ بالمَضارِّ و قد يَكونُ بالوجهِ الذي سَمَّيتموه مَنعاً</w:t>
      </w:r>
      <w:r>
        <w:rPr>
          <w:rStyle w:val="FootnoteAnchor"/>
          <w:rtl w:val="true"/>
        </w:rPr>
        <w:footnoteReference w:id="51"/>
      </w:r>
      <w:r>
        <w:rPr>
          <w:rFonts w:ascii="Amiri" w:hAnsi="Amiri" w:eastAsia="Amiri" w:cs="Amiri"/>
          <w:color w:val="111111"/>
          <w:sz w:val="28"/>
          <w:sz w:val="28"/>
          <w:szCs w:val="28"/>
          <w:rtl w:val="true"/>
          <w:lang w:bidi="ar-SA"/>
        </w:rPr>
        <w:t>، فألّا جازَ ثالثٌ‌</w:t>
      </w:r>
      <w:r>
        <w:rPr>
          <w:rStyle w:val="FootnoteAnchor"/>
          <w:rtl w:val="true"/>
        </w:rPr>
        <w:footnoteReference w:id="52"/>
      </w:r>
      <w:r>
        <w:rPr>
          <w:rFonts w:ascii="Amiri" w:hAnsi="Amiri" w:eastAsia="Amiri" w:cs="Amiri"/>
          <w:color w:val="111111"/>
          <w:sz w:val="28"/>
          <w:sz w:val="28"/>
          <w:szCs w:val="28"/>
          <w:rtl w:val="true"/>
          <w:lang w:bidi="ar-SA"/>
        </w:rPr>
        <w:t>، و هو المَوضِعُ‌</w:t>
      </w:r>
      <w:r>
        <w:rPr>
          <w:rStyle w:val="FootnoteAnchor"/>
          <w:rtl w:val="true"/>
        </w:rPr>
        <w:footnoteReference w:id="53"/>
      </w:r>
      <w:r>
        <w:rPr>
          <w:rFonts w:ascii="Amiri" w:hAnsi="Amiri" w:eastAsia="Amiri" w:cs="Amiri"/>
          <w:color w:val="111111"/>
          <w:sz w:val="28"/>
          <w:sz w:val="28"/>
          <w:szCs w:val="28"/>
          <w:rtl w:val="true"/>
          <w:lang w:bidi="ar-SA"/>
        </w:rPr>
        <w:t>الذي</w:t>
      </w:r>
      <w:r>
        <w:rPr>
          <w:rStyle w:val="FootnoteAnchor"/>
          <w:rtl w:val="true"/>
        </w:rPr>
        <w:footnoteReference w:id="54"/>
      </w:r>
      <w:r>
        <w:rPr>
          <w:rFonts w:ascii="Amiri" w:hAnsi="Amiri" w:eastAsia="Amiri" w:cs="Amiri"/>
          <w:color w:val="111111"/>
          <w:sz w:val="28"/>
          <w:sz w:val="28"/>
          <w:szCs w:val="28"/>
          <w:rtl w:val="true"/>
          <w:lang w:bidi="ar-SA"/>
        </w:rPr>
        <w:t>أشَرنا إليه</w:t>
      </w:r>
      <w:r>
        <w:rPr>
          <w:rStyle w:val="FootnoteAnchor"/>
          <w:rtl w:val="true"/>
        </w:rPr>
        <w:footnoteReference w:id="55"/>
      </w:r>
      <w:r>
        <w:rPr>
          <w:rFonts w:ascii="Amiri" w:hAnsi="Amiri" w:eastAsia="Amiri" w:cs="Amiri"/>
          <w:color w:val="111111"/>
          <w:sz w:val="28"/>
          <w:sz w:val="28"/>
          <w:szCs w:val="28"/>
          <w:rtl w:val="true"/>
          <w:lang w:bidi="ar-SA"/>
        </w:rPr>
        <w:t xml:space="preserve">لمُساواتِه في </w:t>
      </w:r>
    </w:p>
    <w:p>
      <w:pPr>
        <w:pStyle w:val="BookText"/>
        <w:rPr/>
      </w:pPr>
      <w:r>
        <w:rPr>
          <w:rFonts w:ascii="Amiri" w:hAnsi="Amiri" w:eastAsia="Amiri" w:cs="Amiri"/>
          <w:color w:val="111111"/>
          <w:sz w:val="28"/>
          <w:sz w:val="28"/>
          <w:szCs w:val="28"/>
          <w:rtl w:val="true"/>
          <w:lang w:bidi="ar-SA"/>
        </w:rPr>
        <w:t>الحُكمِ للوجهَينِ اللذَينِ ذَكرتموهما؟ لأنّ الوجهَينِ اللذَينِ عَنَّيتم</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w:t>
      </w:r>
      <w:r>
        <w:rPr>
          <w:rStyle w:val="FootnoteAnchor"/>
          <w:rtl w:val="true"/>
        </w:rPr>
        <w:footnoteReference w:id="57"/>
      </w:r>
      <w:r>
        <w:rPr>
          <w:rFonts w:ascii="Amiri" w:hAnsi="Amiri" w:eastAsia="Amiri" w:cs="Amiri"/>
          <w:color w:val="111111"/>
          <w:sz w:val="28"/>
          <w:sz w:val="28"/>
          <w:szCs w:val="28"/>
          <w:rtl w:val="true"/>
          <w:lang w:bidi="ar-SA"/>
        </w:rPr>
        <w:t>إنّما كانَ لهُما حُكمُ الإلجاءِ لخُلوصِ‌</w:t>
      </w:r>
      <w:r>
        <w:rPr>
          <w:rStyle w:val="FootnoteAnchor"/>
          <w:rtl w:val="true"/>
        </w:rPr>
        <w:footnoteReference w:id="58"/>
      </w:r>
      <w:r>
        <w:rPr>
          <w:rFonts w:ascii="Amiri" w:hAnsi="Amiri" w:eastAsia="Amiri" w:cs="Amiri"/>
          <w:color w:val="111111"/>
          <w:sz w:val="28"/>
          <w:sz w:val="28"/>
          <w:szCs w:val="28"/>
          <w:rtl w:val="true"/>
          <w:lang w:bidi="ar-SA"/>
        </w:rPr>
        <w:t>الصارفِ و القَطعِ علىٰ أنّ الفعلَ لا يَجوزُ البَتّةَ وقوعُه، و هذا</w:t>
      </w:r>
      <w:r>
        <w:rPr>
          <w:rStyle w:val="FootnoteAnchor"/>
          <w:rtl w:val="true"/>
        </w:rPr>
        <w:footnoteReference w:id="59"/>
      </w:r>
      <w:r>
        <w:rPr>
          <w:rFonts w:ascii="Amiri" w:hAnsi="Amiri" w:eastAsia="Amiri" w:cs="Amiri"/>
          <w:color w:val="111111"/>
          <w:sz w:val="28"/>
          <w:sz w:val="28"/>
          <w:szCs w:val="28"/>
          <w:rtl w:val="true"/>
          <w:lang w:bidi="ar-SA"/>
        </w:rPr>
        <w:t>ثابتٌ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w:t>
      </w:r>
      <w:r>
        <w:rPr>
          <w:rStyle w:val="FootnoteAnchor"/>
          <w:rtl w:val="true"/>
        </w:rPr>
        <w:footnoteReference w:id="60"/>
      </w:r>
      <w:r>
        <w:rPr>
          <w:rFonts w:ascii="Amiri" w:hAnsi="Amiri" w:eastAsia="Amiri" w:cs="Amiri"/>
          <w:color w:val="111111"/>
          <w:sz w:val="28"/>
          <w:sz w:val="28"/>
          <w:szCs w:val="28"/>
          <w:rtl w:val="true"/>
          <w:lang w:bidi="ar-SA"/>
        </w:rPr>
        <w:t>أنّ أحَدَنا</w:t>
      </w:r>
      <w:r>
        <w:rPr>
          <w:rStyle w:val="FootnoteAnchor"/>
          <w:rtl w:val="true"/>
        </w:rPr>
        <w:footnoteReference w:id="61"/>
      </w:r>
      <w:r>
        <w:rPr>
          <w:rFonts w:ascii="Amiri" w:hAnsi="Amiri" w:eastAsia="Amiri" w:cs="Amiri"/>
          <w:color w:val="111111"/>
          <w:sz w:val="28"/>
          <w:sz w:val="28"/>
          <w:szCs w:val="28"/>
          <w:rtl w:val="true"/>
          <w:lang w:bidi="ar-SA"/>
        </w:rPr>
        <w:t xml:space="preserve">لَو استَغنىٰ بحَسَنٍ عن قَبيحٍ‌، بأن يُقدِّرَ وصولَ صاحبِه إلىٰ دِرهَمٍ يَعلَمُ أنّه يَصِلُ إليه بكُلِّ واحدٍ مِن الصدقِ و الكَذِبِ‌، فإنّا نَعلَمُ أنّه لا 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إلّاالصدقَ‌؛ و مع هذا فإنّه يَستَحِقُّ المَدحَ علَى امتناعِه مِن القَبيحِ مع ثُبوتِ الصارفِ عنه</w:t>
      </w:r>
      <w:r>
        <w:rPr>
          <w:rStyle w:val="FootnoteAnchor"/>
          <w:rtl w:val="true"/>
        </w:rPr>
        <w:footnoteReference w:id="62"/>
      </w:r>
      <w:r>
        <w:rPr>
          <w:rFonts w:ascii="Amiri" w:hAnsi="Amiri" w:eastAsia="Amiri" w:cs="Amiri"/>
          <w:color w:val="111111"/>
          <w:sz w:val="28"/>
          <w:sz w:val="28"/>
          <w:szCs w:val="28"/>
          <w:rtl w:val="true"/>
          <w:lang w:bidi="ar-SA"/>
        </w:rPr>
        <w:t>، و هو الاستغناءُ بالصدقِ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فنَعلَمُ‌</w:t>
      </w:r>
      <w:r>
        <w:rPr>
          <w:rStyle w:val="FootnoteAnchor"/>
          <w:rtl w:val="true"/>
        </w:rPr>
        <w:footnoteReference w:id="63"/>
      </w:r>
      <w:r>
        <w:rPr>
          <w:rFonts w:ascii="Amiri" w:hAnsi="Amiri" w:eastAsia="Amiri" w:cs="Amiri"/>
          <w:color w:val="111111"/>
          <w:sz w:val="28"/>
          <w:sz w:val="28"/>
          <w:szCs w:val="28"/>
          <w:rtl w:val="true"/>
          <w:lang w:bidi="ar-SA"/>
        </w:rPr>
        <w:t>بذلكَ أنّ القَديمَ تَعالىٰ يَستَحِقُّ المَدحَ إذا</w:t>
      </w:r>
      <w:r>
        <w:rPr>
          <w:rStyle w:val="FootnoteAnchor"/>
          <w:rtl w:val="true"/>
        </w:rPr>
        <w:footnoteReference w:id="64"/>
      </w:r>
      <w:r>
        <w:rPr>
          <w:rFonts w:ascii="Amiri" w:hAnsi="Amiri" w:eastAsia="Amiri" w:cs="Amiri"/>
          <w:color w:val="111111"/>
          <w:sz w:val="28"/>
          <w:sz w:val="28"/>
          <w:szCs w:val="28"/>
          <w:rtl w:val="true"/>
          <w:lang w:bidi="ar-SA"/>
        </w:rPr>
        <w:t>لَم يَفعَلِ القَبيحَ‌</w:t>
      </w:r>
      <w:r>
        <w:rPr>
          <w:rStyle w:val="FootnoteAnchor"/>
          <w:rtl w:val="true"/>
        </w:rPr>
        <w:footnoteReference w:id="65"/>
      </w:r>
      <w:r>
        <w:rPr>
          <w:rFonts w:ascii="Amiri" w:hAnsi="Amiri" w:eastAsia="Amiri" w:cs="Amiri"/>
          <w:color w:val="111111"/>
          <w:sz w:val="28"/>
          <w:sz w:val="28"/>
          <w:szCs w:val="28"/>
          <w:rtl w:val="true"/>
          <w:lang w:bidi="ar-SA"/>
        </w:rPr>
        <w:t>لأنّ الحالَينِ واحدةٌ‌</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يُسلِّمُ لكم أنّ أحَدَنا إذا استَغنىٰ بالصدقِ عن الكَذِبِ و حالُه ما ذَكرتم</w:t>
      </w:r>
      <w:r>
        <w:rPr>
          <w:rStyle w:val="FootnoteAnchor"/>
          <w:rtl w:val="true"/>
        </w:rPr>
        <w:footnoteReference w:id="67"/>
      </w:r>
      <w:r>
        <w:rPr>
          <w:rFonts w:ascii="Amiri" w:hAnsi="Amiri" w:eastAsia="Amiri" w:cs="Amiri"/>
          <w:color w:val="111111"/>
          <w:sz w:val="28"/>
          <w:sz w:val="28"/>
          <w:szCs w:val="28"/>
          <w:rtl w:val="true"/>
          <w:lang w:bidi="ar-SA"/>
        </w:rPr>
        <w:t>، يَستَحِقُّ‌</w:t>
      </w:r>
      <w:r>
        <w:rPr>
          <w:rStyle w:val="FootnoteAnchor"/>
          <w:rtl w:val="true"/>
        </w:rPr>
        <w:footnoteReference w:id="68"/>
      </w:r>
      <w:r>
        <w:rPr>
          <w:rFonts w:ascii="Amiri" w:hAnsi="Amiri" w:eastAsia="Amiri" w:cs="Amiri"/>
          <w:color w:val="111111"/>
          <w:sz w:val="28"/>
          <w:sz w:val="28"/>
          <w:szCs w:val="28"/>
          <w:rtl w:val="true"/>
          <w:lang w:bidi="ar-SA"/>
        </w:rPr>
        <w:t>بامتناعِه مِن الكَذِبِ مَدحاً؟ فدُلّوا</w:t>
      </w:r>
      <w:r>
        <w:rPr>
          <w:rStyle w:val="FootnoteAnchor"/>
          <w:rtl w:val="true"/>
        </w:rPr>
        <w:footnoteReference w:id="69"/>
      </w:r>
      <w:r>
        <w:rPr>
          <w:rFonts w:ascii="Amiri" w:hAnsi="Amiri" w:eastAsia="Amiri" w:cs="Amiri"/>
          <w:color w:val="111111"/>
          <w:sz w:val="28"/>
          <w:sz w:val="28"/>
          <w:szCs w:val="28"/>
          <w:rtl w:val="true"/>
          <w:lang w:bidi="ar-SA"/>
        </w:rPr>
        <w:t xml:space="preserve">علىٰ ذلكَ‌؛ فإنّه دَعوىً‌ </w:t>
      </w:r>
    </w:p>
    <w:p>
      <w:pPr>
        <w:pStyle w:val="BookText"/>
        <w:rPr/>
      </w:pP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أن يَتمكَّنوا مِن الدلالةِ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جازَ أن يَستَحِقَّ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امتناعِه مِن القَبيحِ‌، لَجازَ أن يَستَحِقَّ المَدحَ علَى امتناعِه مِن القَبيحِ مع الإلجاءِ‌؛ فأيُّ فَرقٍ بَينَ الأمرَينِ‌، و الصوارفُ ثابتةٌ‌، و الدواعي مُرتَفِعةٌ‌، و القَطعُ علىٰ أنّه لا يَجوزُ أن يَفعَلَ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أحَدَنا لَو استَحَقَّ المَدحَ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الصحيحُ الواضحُ‌</w:t>
      </w:r>
      <w:r>
        <w:rPr>
          <w:rStyle w:val="FootnoteAnchor"/>
          <w:rtl w:val="true"/>
        </w:rPr>
        <w:footnoteReference w:id="70"/>
      </w:r>
      <w:r>
        <w:rPr>
          <w:rFonts w:ascii="Amiri" w:hAnsi="Amiri" w:eastAsia="Amiri" w:cs="Amiri"/>
          <w:color w:val="111111"/>
          <w:sz w:val="28"/>
          <w:sz w:val="28"/>
          <w:szCs w:val="28"/>
          <w:rtl w:val="true"/>
          <w:lang w:bidi="ar-SA"/>
        </w:rPr>
        <w:t>أنّه لا يَجوزُ</w:t>
      </w:r>
      <w:r>
        <w:rPr>
          <w:rStyle w:val="FootnoteAnchor"/>
          <w:rtl w:val="true"/>
        </w:rPr>
        <w:footnoteReference w:id="71"/>
      </w:r>
      <w:r>
        <w:rPr>
          <w:rFonts w:ascii="Amiri" w:hAnsi="Amiri" w:eastAsia="Amiri" w:cs="Amiri"/>
          <w:color w:val="111111"/>
          <w:sz w:val="28"/>
          <w:sz w:val="28"/>
          <w:szCs w:val="28"/>
          <w:rtl w:val="true"/>
          <w:lang w:bidi="ar-SA"/>
        </w:rPr>
        <w:t xml:space="preserve">أن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القَديمِ تَعالىٰ فَرقٌ‌؛</w:t>
      </w:r>
      <w:r>
        <w:rPr>
          <w:rStyle w:val="FootnoteAnchor"/>
          <w:rtl w:val="true"/>
        </w:rPr>
        <w:footnoteReference w:id="72"/>
      </w:r>
      <w:r>
        <w:rPr>
          <w:rFonts w:ascii="Amiri" w:hAnsi="Amiri" w:eastAsia="Amiri" w:cs="Amiri"/>
          <w:color w:val="111111"/>
          <w:sz w:val="28"/>
          <w:sz w:val="28"/>
          <w:szCs w:val="28"/>
          <w:rtl w:val="true"/>
          <w:lang w:bidi="ar-SA"/>
        </w:rPr>
        <w:t>لأنّ أحَدَنا له</w:t>
      </w:r>
      <w:r>
        <w:rPr>
          <w:rStyle w:val="FootnoteAnchor"/>
          <w:rtl w:val="true"/>
        </w:rPr>
        <w:footnoteReference w:id="73"/>
      </w:r>
      <w:r>
        <w:rPr>
          <w:rFonts w:ascii="Amiri" w:hAnsi="Amiri" w:eastAsia="Amiri" w:cs="Amiri"/>
          <w:color w:val="111111"/>
          <w:sz w:val="28"/>
          <w:sz w:val="28"/>
          <w:szCs w:val="28"/>
          <w:rtl w:val="true"/>
          <w:lang w:bidi="ar-SA"/>
        </w:rPr>
        <w:t>مَنفَعةٌ في الكَذِبِ و داعٍ إليه علىٰ كُلِّ حالٍ‌، و إنِ استَغنىٰ عنه بالصدقِ الذي قَرَّرنا تَساويَهما</w:t>
      </w:r>
      <w:r>
        <w:rPr>
          <w:rStyle w:val="FootnoteAnchor"/>
          <w:rtl w:val="true"/>
        </w:rPr>
        <w:footnoteReference w:id="74"/>
      </w:r>
      <w:r>
        <w:rPr>
          <w:rFonts w:ascii="Amiri" w:hAnsi="Amiri" w:eastAsia="Amiri" w:cs="Amiri"/>
          <w:color w:val="111111"/>
          <w:sz w:val="28"/>
          <w:sz w:val="28"/>
          <w:szCs w:val="28"/>
          <w:rtl w:val="true"/>
          <w:lang w:bidi="ar-SA"/>
        </w:rPr>
        <w:t>فيما يَصِلُ إليه بِهما مِن النفعِ‌</w:t>
      </w:r>
      <w:r>
        <w:rPr>
          <w:rStyle w:val="FootnoteAnchor"/>
          <w:rtl w:val="true"/>
        </w:rPr>
        <w:footnoteReference w:id="75"/>
      </w:r>
      <w:r>
        <w:rPr>
          <w:rFonts w:ascii="Amiri" w:hAnsi="Amiri" w:eastAsia="Amiri" w:cs="Amiri"/>
          <w:color w:val="111111"/>
          <w:sz w:val="28"/>
          <w:sz w:val="28"/>
          <w:szCs w:val="28"/>
          <w:rtl w:val="true"/>
          <w:lang w:bidi="ar-SA"/>
        </w:rPr>
        <w:t>، و القَديمُ تَعالىٰ لا حاجةَ له و لا مَنفَعةَ تَتعلَّقُ بكُلِّ واحدٍ مِن الأمرَينِ‌</w:t>
      </w:r>
      <w:r>
        <w:rPr>
          <w:rStyle w:val="FootnoteAnchor"/>
          <w:rtl w:val="true"/>
        </w:rPr>
        <w:footnoteReference w:id="76"/>
      </w:r>
      <w:r>
        <w:rPr>
          <w:rFonts w:ascii="Amiri" w:hAnsi="Amiri" w:eastAsia="Amiri" w:cs="Amiri"/>
          <w:color w:val="111111"/>
          <w:sz w:val="28"/>
          <w:sz w:val="28"/>
          <w:szCs w:val="28"/>
          <w:rtl w:val="true"/>
          <w:lang w:bidi="ar-SA"/>
        </w:rPr>
        <w:t>، و كَونُ‌</w:t>
      </w:r>
      <w:r>
        <w:rPr>
          <w:rStyle w:val="FootnoteAnchor"/>
          <w:rtl w:val="true"/>
        </w:rPr>
        <w:footnoteReference w:id="77"/>
      </w:r>
      <w:r>
        <w:rPr>
          <w:rFonts w:ascii="Amiri" w:hAnsi="Amiri" w:eastAsia="Amiri" w:cs="Amiri"/>
          <w:color w:val="111111"/>
          <w:sz w:val="28"/>
          <w:sz w:val="28"/>
          <w:szCs w:val="28"/>
          <w:rtl w:val="true"/>
          <w:lang w:bidi="ar-SA"/>
        </w:rPr>
        <w:t>أحَدِهما قَبيحاً</w:t>
      </w:r>
      <w:r>
        <w:rPr>
          <w:rStyle w:val="FootnoteAnchor"/>
          <w:rtl w:val="true"/>
        </w:rPr>
        <w:footnoteReference w:id="78"/>
      </w:r>
      <w:r>
        <w:rPr>
          <w:rFonts w:ascii="Amiri" w:hAnsi="Amiri" w:eastAsia="Amiri" w:cs="Amiri"/>
          <w:color w:val="111111"/>
          <w:sz w:val="28"/>
          <w:sz w:val="28"/>
          <w:szCs w:val="28"/>
          <w:rtl w:val="true"/>
          <w:lang w:bidi="ar-SA"/>
        </w:rPr>
        <w:t>صارفٌ خالصٌ عن</w:t>
      </w:r>
      <w:r>
        <w:rPr>
          <w:rStyle w:val="FootnoteAnchor"/>
          <w:rtl w:val="true"/>
        </w:rPr>
        <w:footnoteReference w:id="79"/>
      </w:r>
      <w:r>
        <w:rPr>
          <w:rFonts w:ascii="Amiri" w:hAnsi="Amiri" w:eastAsia="Amiri" w:cs="Amiri"/>
          <w:color w:val="111111"/>
          <w:sz w:val="28"/>
          <w:sz w:val="28"/>
          <w:szCs w:val="28"/>
          <w:rtl w:val="true"/>
          <w:lang w:bidi="ar-SA"/>
        </w:rPr>
        <w:t xml:space="preserve">فعلِه و </w:t>
      </w:r>
    </w:p>
    <w:p>
      <w:pPr>
        <w:pStyle w:val="BookText"/>
        <w:rPr/>
      </w:pPr>
      <w:r>
        <w:rPr>
          <w:rFonts w:ascii="Amiri" w:hAnsi="Amiri" w:eastAsia="Amiri" w:cs="Amiri"/>
          <w:color w:val="111111"/>
          <w:sz w:val="28"/>
          <w:sz w:val="28"/>
          <w:szCs w:val="28"/>
          <w:rtl w:val="true"/>
          <w:lang w:bidi="ar-SA"/>
        </w:rPr>
        <w:t>استحقاقِ المَدحِ مع ذلكَ بعَينِه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هذا أن لا يُمدَحَ مَن لَم يَفعَلِ‌</w:t>
      </w:r>
      <w:r>
        <w:rPr>
          <w:rStyle w:val="FootnoteAnchor"/>
          <w:rtl w:val="true"/>
        </w:rPr>
        <w:footnoteReference w:id="81"/>
      </w:r>
      <w:r>
        <w:rPr>
          <w:rFonts w:ascii="Amiri" w:hAnsi="Amiri" w:eastAsia="Amiri" w:cs="Amiri"/>
          <w:color w:val="111111"/>
          <w:sz w:val="28"/>
          <w:sz w:val="28"/>
          <w:szCs w:val="28"/>
          <w:rtl w:val="true"/>
          <w:lang w:bidi="ar-SA"/>
        </w:rPr>
        <w:t>القَبائحَ حتّىٰ يُعلَمَ مِن حالِه أنّه امتَنَعَ مع</w:t>
      </w:r>
      <w:r>
        <w:rPr>
          <w:rStyle w:val="FootnoteAnchor"/>
          <w:rtl w:val="true"/>
        </w:rPr>
        <w:footnoteReference w:id="82"/>
      </w:r>
      <w:r>
        <w:rPr>
          <w:rFonts w:ascii="Amiri" w:hAnsi="Amiri" w:eastAsia="Amiri" w:cs="Amiri"/>
          <w:color w:val="111111"/>
          <w:sz w:val="28"/>
          <w:sz w:val="28"/>
          <w:szCs w:val="28"/>
          <w:rtl w:val="true"/>
          <w:lang w:bidi="ar-SA"/>
        </w:rPr>
        <w:t>الحاجةِ إليها و أنّه لَيسَ بمُستَغنٍ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يَجِبُ‌</w:t>
      </w:r>
      <w:r>
        <w:rPr>
          <w:rStyle w:val="FootnoteAnchor"/>
          <w:rtl w:val="true"/>
        </w:rPr>
        <w:footnoteReference w:id="83"/>
      </w:r>
      <w:r>
        <w:rPr>
          <w:rFonts w:ascii="Amiri" w:hAnsi="Amiri" w:eastAsia="Amiri" w:cs="Amiri"/>
          <w:color w:val="111111"/>
          <w:sz w:val="28"/>
          <w:sz w:val="28"/>
          <w:szCs w:val="28"/>
          <w:rtl w:val="true"/>
          <w:lang w:bidi="ar-SA"/>
        </w:rPr>
        <w:t>، و مَن الذي يَقولُ إنّ كُلَّ مُمتَنِعٍ مِن القَبيحِ بالإطلاقِ يَستَحِقُّ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لَسنا نَقولُ كُلُّنا إنّ مَن لَم يَفعَلِ القَبيحَ‌</w:t>
      </w:r>
      <w:r>
        <w:rPr>
          <w:rStyle w:val="FootnoteAnchor"/>
          <w:rtl w:val="true"/>
        </w:rPr>
        <w:footnoteReference w:id="84"/>
      </w:r>
      <w:r>
        <w:rPr>
          <w:rFonts w:ascii="Amiri" w:hAnsi="Amiri" w:eastAsia="Amiri" w:cs="Amiri"/>
          <w:color w:val="111111"/>
          <w:sz w:val="28"/>
          <w:sz w:val="28"/>
          <w:szCs w:val="28"/>
          <w:rtl w:val="true"/>
          <w:lang w:bidi="ar-SA"/>
        </w:rPr>
        <w:t>لا لقُبحِه بَل لغَيرِ ذلكَ لا يَستَحِقُّ مَدحاً؟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نَمدَحُ المُمتَنِعَ مِن القَبيحِ إلّابَعدَ أن نَعلَمَ أنّه امتَنَعَ منه لقُبحِه، و كذلكَ لا نَمدَحُه</w:t>
      </w:r>
      <w:r>
        <w:rPr>
          <w:rStyle w:val="FootnoteAnchor"/>
          <w:rtl w:val="true"/>
        </w:rPr>
        <w:footnoteReference w:id="85"/>
      </w:r>
      <w:r>
        <w:rPr>
          <w:rFonts w:ascii="Amiri" w:hAnsi="Amiri" w:eastAsia="Amiri" w:cs="Amiri"/>
          <w:color w:val="111111"/>
          <w:sz w:val="28"/>
          <w:sz w:val="28"/>
          <w:szCs w:val="28"/>
          <w:rtl w:val="true"/>
          <w:lang w:bidi="ar-SA"/>
        </w:rPr>
        <w:t>إلّاإذا عَلِمنا أنّ‌</w:t>
      </w:r>
      <w:r>
        <w:rPr>
          <w:rStyle w:val="FootnoteAnchor"/>
          <w:rtl w:val="true"/>
        </w:rPr>
        <w:footnoteReference w:id="86"/>
      </w:r>
      <w:r>
        <w:rPr>
          <w:rFonts w:ascii="Amiri" w:hAnsi="Amiri" w:eastAsia="Amiri" w:cs="Amiri"/>
          <w:color w:val="111111"/>
          <w:sz w:val="28"/>
          <w:sz w:val="28"/>
          <w:szCs w:val="28"/>
          <w:rtl w:val="true"/>
          <w:lang w:bidi="ar-SA"/>
        </w:rPr>
        <w:t>له إليه داعياً، و</w:t>
      </w:r>
      <w:r>
        <w:rPr>
          <w:rStyle w:val="FootnoteAnchor"/>
          <w:rtl w:val="true"/>
        </w:rPr>
        <w:footnoteReference w:id="87"/>
      </w:r>
      <w:r>
        <w:rPr>
          <w:rFonts w:ascii="Amiri" w:hAnsi="Amiri" w:eastAsia="Amiri" w:cs="Amiri"/>
          <w:color w:val="111111"/>
          <w:sz w:val="28"/>
          <w:sz w:val="28"/>
          <w:szCs w:val="28"/>
          <w:rtl w:val="true"/>
          <w:lang w:bidi="ar-SA"/>
        </w:rPr>
        <w:t>لا نَمدَحُه</w:t>
      </w:r>
      <w:r>
        <w:rPr>
          <w:rStyle w:val="FootnoteAnchor"/>
          <w:rtl w:val="true"/>
        </w:rPr>
        <w:footnoteReference w:id="88"/>
      </w:r>
      <w:r>
        <w:rPr>
          <w:rFonts w:ascii="Amiri" w:hAnsi="Amiri" w:eastAsia="Amiri" w:cs="Amiri"/>
          <w:color w:val="111111"/>
          <w:sz w:val="28"/>
          <w:sz w:val="28"/>
          <w:szCs w:val="28"/>
          <w:rtl w:val="true"/>
          <w:lang w:bidi="ar-SA"/>
        </w:rPr>
        <w:t>مع خُلوصِ‌</w:t>
      </w:r>
      <w:r>
        <w:rPr>
          <w:rStyle w:val="FootnoteAnchor"/>
          <w:rtl w:val="true"/>
        </w:rPr>
        <w:footnoteReference w:id="89"/>
      </w:r>
      <w:r>
        <w:rPr>
          <w:rFonts w:ascii="IRNazanin" w:hAnsi="IRNazanin" w:eastAsia="IRNazanin"/>
          <w:color w:val="111111"/>
          <w:sz w:val="28"/>
          <w:sz w:val="28"/>
          <w:szCs w:val="28"/>
          <w:rtl w:val="true"/>
          <w:lang w:bidi="fa-IR"/>
        </w:rPr>
        <w:t>الصوارفِ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هذا المَذهبِ أن لا</w:t>
      </w:r>
      <w:r>
        <w:rPr>
          <w:rStyle w:val="FootnoteAnchor"/>
          <w:rtl w:val="true"/>
        </w:rPr>
        <w:footnoteReference w:id="90"/>
      </w:r>
      <w:r>
        <w:rPr>
          <w:rFonts w:ascii="Amiri" w:hAnsi="Amiri" w:eastAsia="Amiri" w:cs="Amiri"/>
          <w:color w:val="111111"/>
          <w:sz w:val="28"/>
          <w:sz w:val="28"/>
          <w:szCs w:val="28"/>
          <w:rtl w:val="true"/>
          <w:lang w:bidi="ar-SA"/>
        </w:rPr>
        <w:t xml:space="preserve">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علىٰ‌</w:t>
      </w:r>
      <w:r>
        <w:rPr>
          <w:rStyle w:val="FootnoteAnchor"/>
          <w:rtl w:val="true"/>
        </w:rPr>
        <w:footnoteReference w:id="91"/>
      </w:r>
      <w:r>
        <w:rPr>
          <w:rFonts w:ascii="Amiri" w:hAnsi="Amiri" w:eastAsia="Amiri" w:cs="Amiri"/>
          <w:color w:val="111111"/>
          <w:sz w:val="28"/>
          <w:sz w:val="28"/>
          <w:szCs w:val="28"/>
          <w:rtl w:val="true"/>
          <w:lang w:bidi="ar-SA"/>
        </w:rPr>
        <w:t>فعلِ الواجبِ‌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الضربُ مِن المَدحِ الذي يُستَحَقُّ علَى الأفعالِ‌، فيَجِبُ أن لا يَستَحِقَّه </w:t>
      </w:r>
    </w:p>
    <w:p>
      <w:pPr>
        <w:pStyle w:val="BookText"/>
        <w:rPr/>
      </w:pPr>
      <w:r>
        <w:rPr>
          <w:rFonts w:ascii="Amiri" w:hAnsi="Amiri" w:eastAsia="Amiri" w:cs="Amiri"/>
          <w:color w:val="111111"/>
          <w:sz w:val="28"/>
          <w:sz w:val="28"/>
          <w:szCs w:val="28"/>
          <w:rtl w:val="true"/>
          <w:lang w:bidi="ar-SA"/>
        </w:rPr>
        <w:t>تَعالىٰ علىٰ فعلِ الواجبِ‌؛</w:t>
      </w:r>
      <w:r>
        <w:rPr>
          <w:rStyle w:val="FootnoteAnchor"/>
          <w:rtl w:val="true"/>
        </w:rPr>
        <w:footnoteReference w:id="92"/>
      </w:r>
      <w:r>
        <w:rPr>
          <w:rFonts w:ascii="Amiri" w:hAnsi="Amiri" w:eastAsia="Amiri" w:cs="Amiri"/>
          <w:color w:val="111111"/>
          <w:sz w:val="28"/>
          <w:sz w:val="28"/>
          <w:szCs w:val="28"/>
          <w:rtl w:val="true"/>
          <w:lang w:bidi="ar-SA"/>
        </w:rPr>
        <w:t>لأنّه لا داعيَ له إلَى الإخلالِ به، كَما قُلناه في 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يَستَحِقُّ علىٰ ذلكَ الضربَ الآخَرَ مِن المَدحِ الذي</w:t>
      </w:r>
      <w:r>
        <w:rPr>
          <w:rStyle w:val="FootnoteAnchor"/>
          <w:rtl w:val="true"/>
        </w:rPr>
        <w:footnoteReference w:id="93"/>
      </w:r>
      <w:r>
        <w:rPr>
          <w:rFonts w:ascii="IRNazanin" w:hAnsi="IRNazanin" w:eastAsia="IRNazanin"/>
          <w:color w:val="111111"/>
          <w:sz w:val="28"/>
          <w:sz w:val="28"/>
          <w:szCs w:val="28"/>
          <w:rtl w:val="true"/>
          <w:lang w:bidi="fa-IR"/>
        </w:rPr>
        <w:t>قد</w:t>
      </w:r>
      <w:r>
        <w:rPr>
          <w:rStyle w:val="FootnoteAnchor"/>
          <w:rtl w:val="true"/>
        </w:rPr>
        <w:footnoteReference w:id="94"/>
      </w:r>
      <w:r>
        <w:rPr>
          <w:rFonts w:ascii="Amiri" w:hAnsi="Amiri" w:eastAsia="Amiri" w:cs="Amiri"/>
          <w:color w:val="111111"/>
          <w:sz w:val="28"/>
          <w:sz w:val="28"/>
          <w:szCs w:val="28"/>
          <w:rtl w:val="true"/>
          <w:lang w:bidi="ar-SA"/>
        </w:rPr>
        <w:t>تَقدَّمَت الإشارةُ إليه،</w:t>
      </w:r>
      <w:r>
        <w:rPr>
          <w:rStyle w:val="FootnoteAnchor"/>
          <w:rtl w:val="true"/>
        </w:rPr>
        <w:footnoteReference w:id="95"/>
      </w:r>
      <w:r>
        <w:rPr>
          <w:rFonts w:ascii="Amiri" w:hAnsi="Amiri" w:eastAsia="Amiri" w:cs="Amiri"/>
          <w:color w:val="111111"/>
          <w:sz w:val="28"/>
          <w:sz w:val="28"/>
          <w:szCs w:val="28"/>
          <w:rtl w:val="true"/>
          <w:lang w:bidi="ar-SA"/>
        </w:rPr>
        <w:t>كَما يَستَحِقُّ هذا الضربَ‌</w:t>
      </w:r>
      <w:r>
        <w:rPr>
          <w:rStyle w:val="FootnoteAnchor"/>
          <w:rtl w:val="true"/>
        </w:rPr>
        <w:footnoteReference w:id="96"/>
      </w:r>
      <w:r>
        <w:rPr>
          <w:rFonts w:ascii="Amiri" w:hAnsi="Amiri" w:eastAsia="Amiri" w:cs="Amiri"/>
          <w:color w:val="111111"/>
          <w:sz w:val="28"/>
          <w:sz w:val="28"/>
          <w:szCs w:val="28"/>
          <w:rtl w:val="true"/>
          <w:lang w:bidi="ar-SA"/>
        </w:rPr>
        <w:t>بأن لا 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قولُكم في استحقاقِه تَعالَى المَدحَ علَى الإحسانِ و التفضُّلِ؟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يَستَحِقَّ بذلكَ المَدحَ المُستَحَقَّ بمِثلِه علَى الأفعالِ‌؛ لأنّ الإحسانَ مما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يَفعَلَه و أن لا يَفعَلَه، و لَيسَ إليه داعٍ موجِبٍ لا بُدَّ معه مِن فعلِه، و لا عن الامتناعِ منه صارفٌ خالصٌ لا بُدَّ مِن ارتفاعِه معه، و الدَّواعي و الصَّوارفُ فيه</w:t>
      </w:r>
      <w:r>
        <w:rPr>
          <w:rStyle w:val="FootnoteAnchor"/>
          <w:rtl w:val="true"/>
        </w:rPr>
        <w:footnoteReference w:id="97"/>
      </w:r>
      <w:r>
        <w:rPr>
          <w:rFonts w:ascii="Amiri" w:hAnsi="Amiri" w:eastAsia="Amiri" w:cs="Amiri"/>
          <w:color w:val="111111"/>
          <w:sz w:val="28"/>
          <w:sz w:val="28"/>
          <w:szCs w:val="28"/>
          <w:rtl w:val="true"/>
          <w:lang w:bidi="ar-SA"/>
        </w:rPr>
        <w:t>مُتردِّدةٌ‌، و الدَّواعي إليه كَونُه إحساناً و الصَّوارفُ‌</w:t>
      </w:r>
      <w:r>
        <w:rPr>
          <w:rStyle w:val="FootnoteAnchor"/>
          <w:rtl w:val="true"/>
        </w:rPr>
        <w:footnoteReference w:id="98"/>
      </w:r>
      <w:r>
        <w:rPr>
          <w:rFonts w:ascii="Amiri" w:hAnsi="Amiri" w:eastAsia="Amiri" w:cs="Amiri"/>
          <w:color w:val="111111"/>
          <w:sz w:val="28"/>
          <w:sz w:val="28"/>
          <w:szCs w:val="28"/>
          <w:rtl w:val="true"/>
          <w:lang w:bidi="ar-SA"/>
        </w:rPr>
        <w:t>كَونُه غيرَ واجبٍ علَى الفاعلِ‌،</w:t>
      </w:r>
      <w:r>
        <w:rPr>
          <w:rStyle w:val="FootnoteAnchor"/>
          <w:rtl w:val="true"/>
        </w:rPr>
        <w:footnoteReference w:id="99"/>
      </w:r>
      <w:r>
        <w:rPr>
          <w:rFonts w:ascii="Amiri" w:hAnsi="Amiri" w:eastAsia="Amiri" w:cs="Amiri"/>
          <w:color w:val="111111"/>
          <w:sz w:val="28"/>
          <w:sz w:val="28"/>
          <w:szCs w:val="28"/>
          <w:rtl w:val="true"/>
          <w:lang w:bidi="ar-SA"/>
        </w:rPr>
        <w:t>فإذا اختارَ فِعلَه فلا بُدَّ مِن استحقاقِ المَدحِ‌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متَى امتَنَعَ‌</w:t>
      </w:r>
      <w:r>
        <w:rPr>
          <w:rStyle w:val="FootnoteAnchor"/>
          <w:rtl w:val="true"/>
        </w:rPr>
        <w:footnoteReference w:id="100"/>
      </w:r>
      <w:r>
        <w:rPr>
          <w:rFonts w:ascii="Amiri" w:hAnsi="Amiri" w:eastAsia="Amiri" w:cs="Amiri"/>
          <w:color w:val="111111"/>
          <w:sz w:val="28"/>
          <w:sz w:val="28"/>
          <w:szCs w:val="28"/>
          <w:rtl w:val="true"/>
          <w:lang w:bidi="ar-SA"/>
        </w:rPr>
        <w:t>أحَدُنا مِن القَبيحِ الذي يَستغني عنه بالحَسَنِ أن يَستَحِقَّ الضربَ الآخَرَ مِن المَدحِ‌، الذي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القَديمَ تَعالىٰ يَستَحِقُّه علىٰ أنّه لَم يَفعَلِ القَبيحَ‌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لأنّ القَديمَ تَعالىٰ إنّما لا يَختارُ القَبيحَ لكَونِه تَعالىٰ علىٰ صِفاتٍ نفسيّةٍ تَقتَضي</w:t>
      </w:r>
      <w:r>
        <w:rPr>
          <w:rStyle w:val="FootnoteAnchor"/>
          <w:rtl w:val="true"/>
        </w:rPr>
        <w:footnoteReference w:id="101"/>
      </w:r>
      <w:r>
        <w:rPr>
          <w:rFonts w:ascii="Amiri" w:hAnsi="Amiri" w:eastAsia="Amiri" w:cs="Amiri"/>
          <w:color w:val="111111"/>
          <w:sz w:val="28"/>
          <w:sz w:val="28"/>
          <w:szCs w:val="28"/>
          <w:rtl w:val="true"/>
          <w:lang w:bidi="ar-SA"/>
        </w:rPr>
        <w:t>ذلكَ‌</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بها المَدحَ و التعظيمَ‌، مِن كَونِه تَعالىٰ غَنيّاً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غيرُ ثابتٍ في أحَدِنا؛ و إنّما اتَّفَقَ لأمرٍ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يَجوزُ أن لا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استغناؤه عن القَبيحِ بالحَسَنِ‌، مِن غيرِ أن يَكونَ له في نفسِه صفةٌ تَقتَضي ذلكَ‌؛ فلا</w:t>
      </w:r>
      <w:r>
        <w:rPr>
          <w:rStyle w:val="FootnoteAnchor"/>
          <w:rtl w:val="true"/>
        </w:rPr>
        <w:footnoteReference w:id="103"/>
      </w:r>
      <w:r>
        <w:rPr>
          <w:rFonts w:ascii="Amiri" w:hAnsi="Amiri" w:eastAsia="Amiri" w:cs="Amiri"/>
          <w:color w:val="111111"/>
          <w:sz w:val="28"/>
          <w:sz w:val="28"/>
          <w:szCs w:val="28"/>
          <w:rtl w:val="true"/>
          <w:lang w:bidi="ar-SA"/>
        </w:rPr>
        <w:t>وجهَ لاستحقاقِ ضَربٍ مِن ضُروبِ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حَرَّرتم يُخالِفُ كُلَّ شَيءٍ سَطَرَه الشيوخُ قَديماً في هذه المسألةِ‌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w:t>
      </w:r>
      <w:r>
        <w:rPr>
          <w:rStyle w:val="FootnoteAnchor"/>
          <w:rtl w:val="true"/>
        </w:rPr>
        <w:footnoteReference w:id="104"/>
      </w:r>
      <w:r>
        <w:rPr>
          <w:rFonts w:ascii="Amiri" w:hAnsi="Amiri" w:eastAsia="Amiri" w:cs="Amiri"/>
          <w:color w:val="111111"/>
          <w:sz w:val="28"/>
          <w:sz w:val="28"/>
          <w:szCs w:val="28"/>
          <w:rtl w:val="true"/>
          <w:lang w:bidi="ar-SA"/>
        </w:rPr>
        <w:t>يَستَحِقُّ المَدحَ بأن لا</w:t>
      </w:r>
      <w:r>
        <w:rPr>
          <w:rStyle w:val="FootnoteAnchor"/>
          <w:rtl w:val="true"/>
        </w:rPr>
        <w:footnoteReference w:id="105"/>
      </w:r>
      <w:r>
        <w:rPr>
          <w:rFonts w:ascii="Amiri" w:hAnsi="Amiri" w:eastAsia="Amiri" w:cs="Amiri"/>
          <w:color w:val="111111"/>
          <w:sz w:val="28"/>
          <w:sz w:val="28"/>
          <w:szCs w:val="28"/>
          <w:rtl w:val="true"/>
          <w:lang w:bidi="ar-SA"/>
        </w:rPr>
        <w:t>يَفعَلَ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بذلكَ و دَلَّلنا عليه، فما خالَفنا ظاهرَ</w:t>
      </w:r>
      <w:r>
        <w:rPr>
          <w:rStyle w:val="FootnoteAnchor"/>
          <w:rtl w:val="true"/>
        </w:rPr>
        <w:footnoteReference w:id="106"/>
      </w:r>
      <w:r>
        <w:rPr>
          <w:rFonts w:ascii="Amiri" w:hAnsi="Amiri" w:eastAsia="Amiri" w:cs="Amiri"/>
          <w:color w:val="111111"/>
          <w:sz w:val="28"/>
          <w:sz w:val="28"/>
          <w:szCs w:val="28"/>
          <w:rtl w:val="true"/>
          <w:lang w:bidi="ar-SA"/>
        </w:rPr>
        <w:t>ما أطلقَوه؛ و إن كانوا أرادوا الضربَ مِن المَدحِ الذي فَصَّلناه فقَد أصابوا، و إن كانوا عَنَوا</w:t>
      </w:r>
      <w:r>
        <w:rPr>
          <w:rStyle w:val="FootnoteAnchor"/>
          <w:rtl w:val="true"/>
        </w:rPr>
        <w:footnoteReference w:id="107"/>
      </w:r>
      <w:r>
        <w:rPr>
          <w:rFonts w:ascii="Amiri" w:hAnsi="Amiri" w:eastAsia="Amiri" w:cs="Amiri"/>
          <w:color w:val="111111"/>
          <w:sz w:val="28"/>
          <w:sz w:val="28"/>
          <w:szCs w:val="28"/>
          <w:rtl w:val="true"/>
          <w:lang w:bidi="ar-SA"/>
        </w:rPr>
        <w:t>الضربَ الآخَرَ مِن المَدحِ الذي مِن شأنِه أن يَسقُطَ عندَ خُلوصِ الصوارفِ فقَد زَلّوا في ذلكَ‌،</w:t>
      </w:r>
      <w:r>
        <w:rPr>
          <w:rStyle w:val="FootnoteAnchor"/>
          <w:rtl w:val="true"/>
        </w:rPr>
        <w:footnoteReference w:id="108"/>
      </w:r>
      <w:r>
        <w:rPr>
          <w:rFonts w:ascii="Amiri" w:hAnsi="Amiri" w:eastAsia="Amiri" w:cs="Amiri"/>
          <w:color w:val="111111"/>
          <w:sz w:val="28"/>
          <w:sz w:val="28"/>
          <w:szCs w:val="28"/>
          <w:rtl w:val="true"/>
          <w:lang w:bidi="ar-SA"/>
        </w:rPr>
        <w:t>و الزللُ جائزٌ عليهم لا سِيَّما في هذه المَواضعِ الضيِّقةِ المُشتَبِهةِ‌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6425_221528"/>
      <w:bookmarkStart w:id="59" w:name="pg16425_221528"/>
      <w:bookmarkEnd w:id="59"/>
    </w:p>
    <w:p>
      <w:pPr>
        <w:pStyle w:val="Heading3"/>
        <w:numPr>
          <w:ilvl w:val="2"/>
          <w:numId w:val="1"/>
        </w:numPr>
        <w:rPr/>
      </w:pPr>
      <w:bookmarkStart w:id="60" w:name="pg16425_221528"/>
      <w:bookmarkStart w:id="61" w:name="__RefHeading___Toc7829941_1280447820"/>
      <w:bookmarkStart w:id="62" w:name="_Toc19"/>
      <w:bookmarkEnd w:id="60"/>
      <w:bookmarkEnd w:id="61"/>
      <w:r>
        <w:rPr>
          <w:rtl w:val="true"/>
        </w:rPr>
        <w:t>(</w:t>
      </w:r>
      <w:r>
        <w:rPr/>
        <w:t>40</w:t>
      </w:r>
      <w:r>
        <w:rPr>
          <w:rtl w:val="true"/>
        </w:rPr>
        <w:t xml:space="preserve">) </w:t>
      </w:r>
      <w:r>
        <w:rPr>
          <w:rtl w:val="true"/>
        </w:rPr>
        <w:t xml:space="preserve">مسألةٌ في أنّ التاءَ في كلمةِ </w:t>
      </w:r>
      <w:r>
        <w:rPr>
          <w:rtl w:val="true"/>
        </w:rPr>
        <w:t>«</w:t>
      </w:r>
      <w:r>
        <w:rPr>
          <w:rtl w:val="true"/>
        </w:rPr>
        <w:t>الذاتِ‌</w:t>
      </w:r>
      <w:r>
        <w:rPr>
          <w:rtl w:val="true"/>
        </w:rPr>
        <w:t xml:space="preserve">» </w:t>
      </w:r>
      <w:r>
        <w:rPr>
          <w:rtl w:val="true"/>
        </w:rPr>
        <w:t>لَيسَت للتأنيثِ‌</w:t>
      </w:r>
      <w:bookmarkEnd w:id="6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7829943_1280447820"/>
      <w:bookmarkStart w:id="64" w:name="_Toc20"/>
      <w:bookmarkEnd w:id="63"/>
      <w:r>
        <w:rPr>
          <w:rtl w:val="true"/>
        </w:rPr>
        <w:t>اشارة</w:t>
      </w:r>
      <w:bookmarkEnd w:id="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6425_221530"/>
      <w:bookmarkStart w:id="66" w:name="pg16425_221530"/>
      <w:bookmarkEnd w:id="66"/>
    </w:p>
    <w:p>
      <w:pPr>
        <w:pStyle w:val="Heading4"/>
        <w:numPr>
          <w:ilvl w:val="3"/>
          <w:numId w:val="1"/>
        </w:numPr>
        <w:rPr/>
      </w:pPr>
      <w:bookmarkStart w:id="67" w:name="pg16425_221530"/>
      <w:bookmarkStart w:id="68" w:name="__RefHeading___Toc7829945_1280447820"/>
      <w:bookmarkStart w:id="69" w:name="_Toc21"/>
      <w:bookmarkEnd w:id="67"/>
      <w:bookmarkEnd w:id="68"/>
      <w:r>
        <w:rPr>
          <w:rtl w:val="true"/>
        </w:rPr>
        <w:t>مقدّمة التحقيق</w:t>
      </w:r>
      <w:bookmarkEnd w:id="69"/>
    </w:p>
    <w:p>
      <w:pPr>
        <w:pStyle w:val="Heading5"/>
        <w:numPr>
          <w:ilvl w:val="4"/>
          <w:numId w:val="1"/>
        </w:numPr>
        <w:rPr/>
      </w:pPr>
      <w:bookmarkStart w:id="70" w:name="__RefHeading___Toc7829947_1280447820"/>
      <w:bookmarkStart w:id="71" w:name="_Toc22"/>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وُجّه إلى الشريف المرتضى في هذه المسألة سؤال أدبيّ في ظاهره، إلّاأنّ سبب طرحه يرجع إلى جذور كلاميّة، و هو أنّ التاء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القديم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للتأنيث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ذات جمال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أنّها جزء من الكلمة،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w:t>
      </w:r>
    </w:p>
    <w:p>
      <w:pPr>
        <w:pStyle w:val="BookText"/>
        <w:rPr/>
      </w:pPr>
      <w:r>
        <w:rPr>
          <w:rFonts w:ascii="Amiri" w:hAnsi="Amiri" w:eastAsia="Amiri" w:cs="Amiri"/>
          <w:color w:val="111111"/>
          <w:sz w:val="28"/>
          <w:sz w:val="28"/>
          <w:szCs w:val="28"/>
          <w:rtl w:val="true"/>
          <w:lang w:bidi="ar-SA"/>
        </w:rPr>
        <w:t xml:space="preserve">من الواضح أنّ سبب طرح هذا السؤال الأدبيّ هو أنّه إذا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فكيف يمكن إطلاقها على اللّٰه تعالى، و هو المنزّه من صفات التأنيث؛ بل هو فوق التذكير و التأنيث‌؟ إذن رجع أساس السؤال إلى بحث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اختلفت أجوبة العلماء على هذا السؤال، فقد اختار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إجابته على مَن سأله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الأوّل، و هو أنّ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 أنّها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موضوعة لكي يوصف بها ما تلبّس بما تضاف إليه، ثمّ قُطعت عن مقتضاها، و أُجريت مجرى الأسماء الجوامد؛ فلا تلزمها الإضافة، و لا الوصف بها، و حينئذٍ صار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الباري و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تقديرها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ذاتُ علم، و غير ذلك من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استغني بالصفة عن الموصوف</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إلّاان الشريف المرتضى اختار الشقّ الثاني، و هو أنّ هذه التاء ليست للتأنيث؛ بل هي جزء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الشيء و عينه؛ لأنّه لا يجوز إطلاق </w:t>
      </w:r>
      <w:bookmarkStart w:id="72" w:name="pg16425_221531"/>
    </w:p>
    <w:p>
      <w:pPr>
        <w:pStyle w:val="BookText"/>
        <w:rPr/>
      </w:pPr>
      <w:bookmarkEnd w:id="72"/>
      <w:r>
        <w:rPr>
          <w:rFonts w:ascii="Amiri" w:hAnsi="Amiri" w:eastAsia="Amiri" w:cs="Amiri"/>
          <w:color w:val="111111"/>
          <w:sz w:val="28"/>
          <w:sz w:val="28"/>
          <w:szCs w:val="28"/>
          <w:rtl w:val="true"/>
          <w:lang w:bidi="ar-SA"/>
        </w:rPr>
        <w:t>صفات التأنيث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فالتاء إذن جزء من الكلمة، و لا تدلّ على معنى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بدليل أنّنا نطلق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المذكّر و المؤنّث، فنقول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الرجل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الموجود في ذاته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فلو كانت تدلّ على التأنيث، لما صحّ إطلاقها على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ذات 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فالتاء فيها للتأنيث؛ لأنّها تختلف في المذكّر و المؤنَّث،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ذو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ذات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الجدير بالذكر أنّ البعض قد بالغ في المسألة، فاعتبر إطلاق المتكلّمين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اعتبره جهلاً منهم، و أنّ هذا التعبير ما كان في كلام المتقدّمين؛ فإنّ أسماء اللّٰه تعالى لا تلحقها التاء أبداً، و لذلك امتنع العلماء من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تعالى، و إن كان أعلم العالمين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7829949_1280447820"/>
      <w:bookmarkStart w:id="74" w:name="_Toc23"/>
      <w:bookmarkEnd w:id="73"/>
      <w:r>
        <w:rPr>
          <w:rtl w:val="true"/>
        </w:rPr>
        <w:t>عنوان الرسالة</w:t>
      </w:r>
      <w:bookmarkEnd w:id="74"/>
    </w:p>
    <w:p>
      <w:pPr>
        <w:pStyle w:val="BookText"/>
        <w:rPr/>
      </w:pPr>
      <w:r>
        <w:rPr>
          <w:rFonts w:ascii="Amiri" w:hAnsi="Amiri" w:eastAsia="Amiri" w:cs="Amiri"/>
          <w:color w:val="111111"/>
          <w:sz w:val="28"/>
          <w:sz w:val="28"/>
          <w:szCs w:val="28"/>
          <w:rtl w:val="true"/>
          <w:lang w:bidi="ar-SA"/>
        </w:rPr>
        <w:t xml:space="preserve">لقد طبعت هذه الرسالة في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 في كلمة الذات ليست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الطبعة هي المقصودة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التحقيق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طبعت في ضمن مسائل المرتضى،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التاء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العنوانين مناسبان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طبعت أيضاً في نهاية كتاب الشريف المرتضى و جهوده اللغويّة و النحويّة لسعاد كريدي الكرعاوي، منشورات تمّوز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الجدير بالذكر أنّ محقّق مسائل المرتضى الشيخ وفقان خضيّر الكعبي قام بشرح هذه الرسالة بالتفصيل بعد أن قدّم مقدّمة حول أحكام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المرتضى،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bookmarkStart w:id="75" w:name="pg16425_221532"/>
    </w:p>
    <w:p>
      <w:pPr>
        <w:pStyle w:val="Heading5"/>
        <w:numPr>
          <w:ilvl w:val="4"/>
          <w:numId w:val="1"/>
        </w:numPr>
        <w:rPr/>
      </w:pPr>
      <w:bookmarkStart w:id="76" w:name="__RefHeading___Toc7829951_1280447820"/>
      <w:bookmarkStart w:id="77" w:name="_Toc24"/>
      <w:bookmarkEnd w:id="75"/>
      <w:bookmarkEnd w:id="76"/>
      <w:r>
        <w:rPr>
          <w:rtl w:val="true"/>
        </w:rPr>
        <w:t>مخطوطات الرسالة</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78" w:name="pg16425_221534"/>
    </w:p>
    <w:p>
      <w:pPr>
        <w:pStyle w:val="BookText"/>
        <w:rPr/>
      </w:pPr>
      <w:bookmarkEnd w:id="78"/>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7829953_1280447820"/>
      <w:bookmarkStart w:id="80" w:name="_Toc25"/>
      <w:bookmarkEnd w:id="79"/>
      <w:r>
        <w:rPr>
          <w:rtl w:val="true"/>
        </w:rPr>
        <w:t xml:space="preserve">مسألةٌ في أنّ التاءَ في كلمةِ </w:t>
      </w:r>
      <w:r>
        <w:rPr>
          <w:rtl w:val="true"/>
        </w:rPr>
        <w:t>«</w:t>
      </w:r>
      <w:r>
        <w:rPr>
          <w:rtl w:val="true"/>
        </w:rPr>
        <w:t>الذاتِ‌</w:t>
      </w:r>
      <w:r>
        <w:rPr>
          <w:rtl w:val="true"/>
        </w:rPr>
        <w:t xml:space="preserve">» </w:t>
      </w:r>
      <w:r>
        <w:rPr>
          <w:rtl w:val="true"/>
        </w:rPr>
        <w:t>لَيسَت للتأنيثِ‌</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التاءِ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القَديمِ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Style w:val="FootnoteAnchor"/>
          <w:rtl w:val="true"/>
        </w:rPr>
        <w:footnoteReference w:id="112"/>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Style w:val="FootnoteAnchor"/>
          <w:rtl w:val="true"/>
        </w:rPr>
        <w:footnoteReference w:id="113"/>
      </w:r>
      <w:r>
        <w:rPr>
          <w:rFonts w:ascii="Amiri" w:hAnsi="Amiri" w:eastAsia="Amiri" w:cs="Amiri"/>
          <w:color w:val="111111"/>
          <w:sz w:val="28"/>
          <w:sz w:val="28"/>
          <w:szCs w:val="28"/>
          <w:rtl w:val="true"/>
          <w:lang w:bidi="ar-SA"/>
        </w:rPr>
        <w:t>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كقَولِنا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جاءَتني امرأةٌ ذاتُ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مِن نفسِ الكلمةِ‌، كالتاءِ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فأجابَ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صِفاتِ التأنيثِ لا يَجوزُ إجراؤها علَى القَديمِ‌</w:t>
      </w:r>
      <w:r>
        <w:rPr>
          <w:rStyle w:val="FootnoteAnchor"/>
          <w:rtl w:val="true"/>
        </w:rPr>
        <w:footnoteReference w:id="115"/>
      </w:r>
      <w:r>
        <w:rPr>
          <w:rFonts w:ascii="Amiri" w:hAnsi="Amiri" w:eastAsia="Amiri" w:cs="Amiri"/>
          <w:color w:val="111111"/>
          <w:sz w:val="28"/>
          <w:sz w:val="28"/>
          <w:szCs w:val="28"/>
          <w:rtl w:val="true"/>
          <w:lang w:bidi="ar-SA"/>
        </w:rPr>
        <w:t>تَعالىٰ‌؛ لأنّها تَقتَضي النقصَ عن كمالِ التذكيرِ</w:t>
      </w:r>
      <w:r>
        <w:rPr>
          <w:rStyle w:val="FootnoteAnchor"/>
          <w:rtl w:val="true"/>
        </w:rPr>
        <w:footnoteReference w:id="116"/>
      </w:r>
      <w:r>
        <w:rPr>
          <w:rFonts w:ascii="Amiri" w:hAnsi="Amiri" w:eastAsia="Amiri" w:cs="Amiri"/>
          <w:color w:val="111111"/>
          <w:sz w:val="28"/>
          <w:sz w:val="28"/>
          <w:szCs w:val="28"/>
          <w:rtl w:val="true"/>
          <w:lang w:bidi="ar-SA"/>
        </w:rPr>
        <w:t>، و لا يَجوزُ عليه تَعالىٰ ما يَقتَضي نقصاً و يَنفي</w:t>
      </w:r>
      <w:r>
        <w:rPr>
          <w:rStyle w:val="FootnoteAnchor"/>
          <w:rtl w:val="true"/>
        </w:rPr>
        <w:footnoteReference w:id="117"/>
      </w:r>
      <w:r>
        <w:rPr>
          <w:rFonts w:ascii="Amiri" w:hAnsi="Amiri" w:eastAsia="Amiri" w:cs="Amiri"/>
          <w:color w:val="111111"/>
          <w:sz w:val="28"/>
          <w:sz w:val="28"/>
          <w:szCs w:val="28"/>
          <w:rtl w:val="true"/>
          <w:lang w:bidi="ar-SA"/>
        </w:rPr>
        <w:t>كمالاً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يَعترِضُ علىٰ هذا الذي ذَكرناه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الهاءَ‌ </w:t>
      </w:r>
    </w:p>
    <w:p>
      <w:pPr>
        <w:pStyle w:val="BookText"/>
        <w:rPr/>
      </w:pPr>
      <w:r>
        <w:rPr>
          <w:rFonts w:ascii="Amiri" w:hAnsi="Amiri" w:eastAsia="Amiri" w:cs="Amiri"/>
          <w:color w:val="111111"/>
          <w:sz w:val="28"/>
          <w:sz w:val="28"/>
          <w:szCs w:val="28"/>
          <w:rtl w:val="true"/>
          <w:lang w:bidi="ar-SA"/>
        </w:rPr>
        <w:t>هاهُنا لَيسَت للتأنيثِ‌، و إنّما هي للتأكيدِ و قوّةِ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w:t>
      </w:r>
      <w:r>
        <w:rPr>
          <w:rStyle w:val="FootnoteAnchor"/>
          <w:rtl w:val="true"/>
        </w:rPr>
        <w:footnoteReference w:id="118"/>
      </w:r>
      <w:r>
        <w:rPr>
          <w:rFonts w:ascii="Amiri" w:hAnsi="Amiri" w:eastAsia="Amiri" w:cs="Amiri"/>
          <w:color w:val="111111"/>
          <w:sz w:val="28"/>
          <w:sz w:val="28"/>
          <w:szCs w:val="28"/>
          <w:rtl w:val="true"/>
          <w:lang w:bidi="ar-SA"/>
        </w:rPr>
        <w:t>تأنيثاً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التاءُ في اللفظِ لَيسَت للتأنيثِ‌؛ بَل هي مِن نفسِ الكلمةِ‌</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r>
        <w:rPr>
          <w:rStyle w:val="FootnoteAnchor"/>
          <w:rtl w:val="true"/>
        </w:rPr>
        <w:footnoteReference w:id="120"/>
      </w:r>
      <w:r>
        <w:rPr>
          <w:rFonts w:ascii="Amiri" w:hAnsi="Amiri" w:eastAsia="Amiri" w:cs="Amiri"/>
          <w:color w:val="111111"/>
          <w:sz w:val="28"/>
          <w:sz w:val="28"/>
          <w:szCs w:val="28"/>
          <w:rtl w:val="true"/>
          <w:lang w:bidi="ar-SA"/>
        </w:rPr>
        <w:t>لَم يَدُلَّ‌</w:t>
      </w:r>
      <w:r>
        <w:rPr>
          <w:rStyle w:val="FootnoteAnchor"/>
          <w:rtl w:val="true"/>
        </w:rPr>
        <w:footnoteReference w:id="121"/>
      </w:r>
      <w:r>
        <w:rPr>
          <w:rFonts w:ascii="Amiri" w:hAnsi="Amiri" w:eastAsia="Amiri" w:cs="Amiri"/>
          <w:color w:val="111111"/>
          <w:sz w:val="28"/>
          <w:sz w:val="28"/>
          <w:szCs w:val="28"/>
          <w:rtl w:val="true"/>
          <w:lang w:bidi="ar-SA"/>
        </w:rPr>
        <w:t>علىٰ ذلكَ إلّاأنّه مُستَعمَلٌ‌</w:t>
      </w:r>
      <w:r>
        <w:rPr>
          <w:rStyle w:val="FootnoteAnchor"/>
          <w:rtl w:val="true"/>
        </w:rPr>
        <w:footnoteReference w:id="122"/>
      </w:r>
      <w:r>
        <w:rPr>
          <w:rFonts w:ascii="Amiri" w:hAnsi="Amiri" w:eastAsia="Amiri" w:cs="Amiri"/>
          <w:color w:val="111111"/>
          <w:sz w:val="28"/>
          <w:sz w:val="28"/>
          <w:szCs w:val="28"/>
          <w:rtl w:val="true"/>
          <w:lang w:bidi="ar-SA"/>
        </w:rPr>
        <w:t>في القَديمِ تَعالىٰ و هو تَعالىٰ‌</w:t>
      </w:r>
      <w:r>
        <w:rPr>
          <w:rStyle w:val="FootnoteAnchor"/>
          <w:rtl w:val="true"/>
        </w:rPr>
        <w:footnoteReference w:id="123"/>
      </w:r>
      <w:r>
        <w:rPr>
          <w:rFonts w:ascii="Amiri" w:hAnsi="Amiri" w:eastAsia="Amiri" w:cs="Amiri"/>
          <w:color w:val="111111"/>
          <w:sz w:val="28"/>
          <w:sz w:val="28"/>
          <w:szCs w:val="28"/>
          <w:rtl w:val="true"/>
          <w:lang w:bidi="ar-SA"/>
        </w:rPr>
        <w:t xml:space="preserve">مُنزَّهٌ عن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أنّ‌</w:t>
      </w:r>
      <w:r>
        <w:rPr>
          <w:rStyle w:val="FootnoteAnchor"/>
          <w:rtl w:val="true"/>
        </w:rPr>
        <w:footnoteReference w:id="124"/>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التاءُ داخلةً‌</w:t>
      </w:r>
      <w:r>
        <w:rPr>
          <w:rStyle w:val="FootnoteAnchor"/>
          <w:rtl w:val="true"/>
        </w:rPr>
        <w:footnoteReference w:id="125"/>
      </w:r>
      <w:r>
        <w:rPr>
          <w:rFonts w:ascii="Amiri" w:hAnsi="Amiri" w:eastAsia="Amiri" w:cs="Amiri"/>
          <w:color w:val="111111"/>
          <w:sz w:val="28"/>
          <w:sz w:val="28"/>
          <w:szCs w:val="28"/>
          <w:rtl w:val="true"/>
          <w:lang w:bidi="ar-SA"/>
        </w:rPr>
        <w:t>فيه للتأنيثِ‌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يَجري علَى الذَّكرِ</w:t>
      </w:r>
      <w:r>
        <w:rPr>
          <w:rStyle w:val="FootnoteAnchor"/>
          <w:rtl w:val="true"/>
        </w:rPr>
        <w:footnoteReference w:id="126"/>
      </w:r>
      <w:r>
        <w:rPr>
          <w:rFonts w:ascii="Amiri" w:hAnsi="Amiri" w:eastAsia="Amiri" w:cs="Amiri"/>
          <w:color w:val="111111"/>
          <w:sz w:val="28"/>
          <w:sz w:val="28"/>
          <w:szCs w:val="28"/>
          <w:rtl w:val="true"/>
          <w:lang w:bidi="ar-SA"/>
        </w:rPr>
        <w:t>و الأُنثىٰ و جميعِ الموجوداتِ‌، و يَجري علَى المعدوماتِ كُلِّها عندَ أكثرِ المُتكلِّمينَ‌؛ فلَو كانَ للتأنيثِ لَما جَرىٰ علَى الذَّكرِ و لَاختَصَّت</w:t>
      </w:r>
      <w:r>
        <w:rPr>
          <w:rStyle w:val="FootnoteAnchor"/>
          <w:rtl w:val="true"/>
        </w:rPr>
        <w:footnoteReference w:id="127"/>
      </w:r>
      <w:r>
        <w:rPr>
          <w:rFonts w:ascii="Amiri" w:hAnsi="Amiri" w:eastAsia="Amiri" w:cs="Amiri"/>
          <w:color w:val="111111"/>
          <w:sz w:val="28"/>
          <w:sz w:val="28"/>
          <w:szCs w:val="28"/>
          <w:rtl w:val="true"/>
          <w:lang w:bidi="ar-SA"/>
        </w:rPr>
        <w:t>به المؤنَّثاتُ‌، و لَما أُجريَ‌</w:t>
      </w:r>
      <w:r>
        <w:rPr>
          <w:rStyle w:val="FootnoteAnchor"/>
          <w:rtl w:val="true"/>
        </w:rPr>
        <w:footnoteReference w:id="128"/>
      </w:r>
      <w:r>
        <w:rPr>
          <w:rFonts w:ascii="Amiri" w:hAnsi="Amiri" w:eastAsia="Amiri" w:cs="Amiri"/>
          <w:color w:val="111111"/>
          <w:sz w:val="28"/>
          <w:sz w:val="28"/>
          <w:szCs w:val="28"/>
          <w:rtl w:val="true"/>
          <w:lang w:bidi="ar-SA"/>
        </w:rPr>
        <w:t>أيضاً علَى الأعراضِ و ما لا يَصِحُّ أن</w:t>
      </w:r>
      <w:r>
        <w:rPr>
          <w:rStyle w:val="FootnoteAnchor"/>
          <w:rtl w:val="true"/>
        </w:rPr>
        <w:footnoteReference w:id="129"/>
      </w:r>
      <w:r>
        <w:rPr>
          <w:rFonts w:ascii="Amiri" w:hAnsi="Amiri" w:eastAsia="Amiri" w:cs="Amiri"/>
          <w:color w:val="111111"/>
          <w:sz w:val="28"/>
          <w:sz w:val="28"/>
          <w:szCs w:val="28"/>
          <w:rtl w:val="true"/>
          <w:lang w:bidi="ar-SA"/>
        </w:rPr>
        <w:t>يوصَفَ‌</w:t>
      </w:r>
      <w:r>
        <w:rPr>
          <w:rStyle w:val="FootnoteAnchor"/>
          <w:rtl w:val="true"/>
        </w:rPr>
        <w:footnoteReference w:id="130"/>
      </w:r>
      <w:r>
        <w:rPr>
          <w:rFonts w:ascii="Amiri" w:hAnsi="Amiri" w:eastAsia="Amiri" w:cs="Amiri"/>
          <w:color w:val="111111"/>
          <w:sz w:val="28"/>
          <w:sz w:val="28"/>
          <w:szCs w:val="28"/>
          <w:rtl w:val="true"/>
          <w:lang w:bidi="ar-SA"/>
        </w:rPr>
        <w:t>علَى الحقيقةِ بتأنيثٍ و لا تذكيرٍ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فوَضَحَ بذلكَ أنّه لا يَختَصُّ التأنيثَ‌، و إنّما هو عبارةٌ عن نفسِ الشيءِ و عَينِه،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يُخالِفُ الذواتَ‌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يُخالِفُ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w:t>
      </w:r>
      <w:r>
        <w:rPr>
          <w:rStyle w:val="FootnoteAnchor"/>
          <w:rtl w:val="true"/>
        </w:rPr>
        <w:footnoteReference w:id="131"/>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ذاتُ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فالتاءُ للتأنيثِ لا مَحالةَ‌؛ لأنّها تَختَلِفُ في المُذكَّرِ و المؤنَّثِ‌، فنَقولُ‌</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رجُلٌ ذو جَمالٍ‌، و امرأةٌ ذاتُ 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تَكُن للتأنيثِ لَما اختلفَت</w:t>
      </w:r>
      <w:r>
        <w:rPr>
          <w:rStyle w:val="FootnoteAnchor"/>
          <w:rtl w:val="true"/>
        </w:rPr>
        <w:footnoteReference w:id="134"/>
      </w:r>
      <w:r>
        <w:rPr>
          <w:rFonts w:ascii="Amiri" w:hAnsi="Amiri" w:eastAsia="Amiri" w:cs="Amiri"/>
          <w:color w:val="111111"/>
          <w:sz w:val="28"/>
          <w:sz w:val="28"/>
          <w:szCs w:val="28"/>
          <w:rtl w:val="true"/>
          <w:lang w:bidi="ar-SA"/>
        </w:rPr>
        <w:t>مع التذكيرِ و لا تَخالَفَ‌</w:t>
      </w:r>
      <w:r>
        <w:rPr>
          <w:rStyle w:val="FootnoteAnchor"/>
          <w:rtl w:val="true"/>
        </w:rPr>
        <w:footnoteReference w:id="135"/>
      </w:r>
      <w:r>
        <w:rPr>
          <w:rFonts w:ascii="Amiri" w:hAnsi="Amiri" w:eastAsia="Amiri" w:cs="Amiri"/>
          <w:color w:val="111111"/>
          <w:sz w:val="28"/>
          <w:sz w:val="28"/>
          <w:szCs w:val="28"/>
          <w:rtl w:val="true"/>
          <w:lang w:bidi="ar-SA"/>
        </w:rPr>
        <w:t xml:space="preserve">المُذكَّرُ و المؤنَّثُ في الوصفِ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بيّنّاه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w:t>
      </w:r>
      <w:r>
        <w:rPr>
          <w:rStyle w:val="FootnoteAnchor"/>
          <w:rtl w:val="true"/>
        </w:rPr>
        <w:footnoteReference w:id="136"/>
      </w:r>
      <w:r>
        <w:rPr>
          <w:rFonts w:ascii="Amiri" w:hAnsi="Amiri" w:eastAsia="Amiri" w:cs="Amiri"/>
          <w:color w:val="111111"/>
          <w:sz w:val="28"/>
          <w:sz w:val="28"/>
          <w:szCs w:val="28"/>
          <w:rtl w:val="true"/>
          <w:lang w:bidi="ar-SA"/>
        </w:rPr>
        <w:t>أعلَمُ بالصوابِ‌</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6425_221538"/>
      <w:bookmarkStart w:id="82" w:name="pg16425_221538"/>
      <w:bookmarkEnd w:id="82"/>
    </w:p>
    <w:p>
      <w:pPr>
        <w:pStyle w:val="Heading3"/>
        <w:numPr>
          <w:ilvl w:val="2"/>
          <w:numId w:val="1"/>
        </w:numPr>
        <w:rPr/>
      </w:pPr>
      <w:bookmarkStart w:id="83" w:name="pg16425_221538"/>
      <w:bookmarkStart w:id="84" w:name="__RefHeading___Toc7829955_1280447820"/>
      <w:bookmarkStart w:id="85" w:name="_Toc26"/>
      <w:bookmarkEnd w:id="83"/>
      <w:bookmarkEnd w:id="84"/>
      <w:r>
        <w:rPr>
          <w:rtl w:val="true"/>
        </w:rPr>
        <w:t>(</w:t>
      </w:r>
      <w:r>
        <w:rPr/>
        <w:t>41</w:t>
      </w:r>
      <w:r>
        <w:rPr>
          <w:rtl w:val="true"/>
        </w:rPr>
        <w:t xml:space="preserve">) </w:t>
      </w:r>
      <w:r>
        <w:rPr>
          <w:rtl w:val="true"/>
        </w:rPr>
        <w:t>مسألةٌ في الألمِ و وَجهِ الحُسنِ فيه</w:t>
      </w:r>
      <w:bookmarkEnd w:id="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7829957_1280447820"/>
      <w:bookmarkStart w:id="87" w:name="_Toc27"/>
      <w:bookmarkEnd w:id="86"/>
      <w:r>
        <w:rPr>
          <w:rtl w:val="true"/>
        </w:rPr>
        <w:t>اشارة</w:t>
      </w:r>
      <w:bookmarkEnd w:id="8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6425_221540"/>
      <w:bookmarkStart w:id="89" w:name="pg16425_221540"/>
      <w:bookmarkEnd w:id="89"/>
    </w:p>
    <w:p>
      <w:pPr>
        <w:pStyle w:val="Heading4"/>
        <w:numPr>
          <w:ilvl w:val="3"/>
          <w:numId w:val="1"/>
        </w:numPr>
        <w:rPr/>
      </w:pPr>
      <w:bookmarkStart w:id="90" w:name="pg16425_221540"/>
      <w:bookmarkStart w:id="91" w:name="__RefHeading___Toc7829959_1280447820"/>
      <w:bookmarkStart w:id="92" w:name="_Toc28"/>
      <w:bookmarkEnd w:id="90"/>
      <w:bookmarkEnd w:id="91"/>
      <w:r>
        <w:rPr>
          <w:rtl w:val="true"/>
        </w:rPr>
        <w:t>مقدّمة التحقيق</w:t>
      </w:r>
      <w:bookmarkEnd w:id="92"/>
    </w:p>
    <w:p>
      <w:pPr>
        <w:pStyle w:val="Heading5"/>
        <w:numPr>
          <w:ilvl w:val="4"/>
          <w:numId w:val="1"/>
        </w:numPr>
        <w:rPr/>
      </w:pPr>
      <w:bookmarkStart w:id="93" w:name="__RefHeading___Toc7829961_1280447820"/>
      <w:bookmarkStart w:id="94" w:name="_Toc29"/>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من المسائل التي يواجهها كلّ انسان و يعايشها في حياته هي الآلام و الشرور؛ فحياة كلّ شخص لا تخلو من مواجهة قد تكون يوميّة مع الآلام بمختلف أشكالها، و بذلك غدت ظاهرة الألم و الشرّ ظاهرة ضروريّة و بديهيّة؛ و لهذا لم يَجد الباحثون مُبرراً للبحث عن إثبات أصل وجود الآلام، و إنّما فضّلوا تكريس جهودهم لمعرفة أقسامها و توجيهها و التمييز بين ما هو حسن منها و ما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الآراء حول ذلك، فذهب الثنويّة إلى أنّ الآلام كلّها قبيحة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آخرون إلى أنّ فيها ما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اختلفوا في وجه حسنها؛ فذهب أهل التناسخ إلى أنّه لا وجه لحسن الآلام إلّاالاستحقاق</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ذهب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الشريف المرتضى في الرسالة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الآلام إنّما تكون حسنة إذا لم تكن ظلماً، أو عبثاً، أو مفسدة، و أنّ الظلم هو ما خَلا من النفع الزائد على الألم، و من دفع ضرر زائد أيضاً، و من الاستحقاق، و من المدافعة؛ و أنّ الظنّ بهذه الوجوه يقوم مقام العلم إلّاالاستحقاق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أضاف وجهاً آخر يكون به الألم حسناً، و هو وجود الاعتبار و المصلحة في الألم، فإنّه يُخرج الألم من أن يكون عبثاً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 أبو عليّ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الألام تقبح لكونها ظلماً، و تكون ظلماً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تتعرّى من نفع، و دفع ضرر، و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يقترن بها الظنّ ببعض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إذا ظنّ المكلّف بأنّ الألم الواصل إليه كان ظلماً، فسوف يكون هذا الألم قبيحاً، لكن لا لأجل الظنّ نفسه، بل لأجل الغمّ الذي يصيبه نتيجة الظنّ‌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أضاف أبو هاشم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بالاستحقاق، فذهب إلى أنّه يقوم مقام العلم، و يَحسن إيصال الألم مع وجود هذا الظنّ‌، فإنّه يحسن ذمّ مَن علمناه مُستحقّاً للذمّ إذا غاب عنّا، و إن جوّزنا منه وقوع الاعتذار، أو فِعْل ما يكفّر الإساءة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قسّم الشريف المرتضى الآلام إلى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مختصّ به تعالى، و هو الإيلام للاعتبار 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النوع من الألم لا يحسن إلّامن اللّٰه تعالى، و بالعوض يخرج من كونه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مشترك بيننا و بينه تعالى، و هو الإيلام للاستحقاق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مختصّ بنا، و هو فعل الألم لدفع الضرر، أو لتحصيل المنفعة أو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بعض أقسام الآلام كامل الحُسن، و بعضها يحتاج إلى إضافة لكي يتكامل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فمثل الألم للاستحقاق، فإنّه كامل الحُسن بنفسه، و لا يحتاج في كمال حسنه إلى غيره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فمثل الألم للاعتبار، فإنّه بمفرده يُخرج الألمَ من أن يكون عبثاً فقط، لكن إذا أُضيف إليه العوض تكامَلَ حُسنه و خرج من كونه ظلماً أيضاً</w:t>
      </w:r>
      <w:r>
        <w:rPr>
          <w:rFonts w:eastAsia="Amiri" w:cs="Amiri" w:ascii="Amiri" w:hAnsi="Amiri"/>
          <w:color w:val="111111"/>
          <w:sz w:val="28"/>
          <w:szCs w:val="28"/>
          <w:rtl w:val="true"/>
          <w:lang w:bidi="ar-SA"/>
        </w:rPr>
        <w:t xml:space="preserve">. </w:t>
      </w:r>
      <w:bookmarkStart w:id="95" w:name="pg16425_221542"/>
    </w:p>
    <w:p>
      <w:pPr>
        <w:pStyle w:val="Heading5"/>
        <w:numPr>
          <w:ilvl w:val="4"/>
          <w:numId w:val="1"/>
        </w:numPr>
        <w:rPr/>
      </w:pPr>
      <w:bookmarkStart w:id="96" w:name="__RefHeading___Toc7829963_1280447820"/>
      <w:bookmarkStart w:id="97" w:name="_Toc30"/>
      <w:bookmarkEnd w:id="95"/>
      <w:bookmarkEnd w:id="96"/>
      <w:r>
        <w:rPr>
          <w:rtl w:val="true"/>
        </w:rPr>
        <w:t>نسبة الرسالة و عنوانها</w:t>
      </w:r>
      <w:bookmarkEnd w:id="97"/>
    </w:p>
    <w:p>
      <w:pPr>
        <w:pStyle w:val="BookText"/>
        <w:rPr/>
      </w:pPr>
      <w:r>
        <w:rPr>
          <w:rFonts w:ascii="Amiri" w:hAnsi="Amiri" w:eastAsia="Amiri" w:cs="Amiri"/>
          <w:color w:val="111111"/>
          <w:sz w:val="28"/>
          <w:sz w:val="28"/>
          <w:szCs w:val="28"/>
          <w:rtl w:val="true"/>
          <w:lang w:bidi="ar-SA"/>
        </w:rPr>
        <w:t>و قد أشار الشريف المرتضى في هذه الرسالة إلى كتاب الذخيرة، و هي قرينة مهمّة على صحّة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طبعت هذه الرسالة في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النفع 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الطبعة هي المقصودة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التحقيق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طبعت في ضمن مسائل المرتضىٰ‌،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الألم و وجه الحسن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مناسب</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7829965_1280447820"/>
      <w:bookmarkStart w:id="99" w:name="_Toc31"/>
      <w:bookmarkEnd w:id="98"/>
      <w:r>
        <w:rPr>
          <w:rtl w:val="true"/>
        </w:rPr>
        <w:t>مخطوطات الرسالة</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0" w:name="pg16425_221544"/>
    </w:p>
    <w:p>
      <w:pPr>
        <w:pStyle w:val="BookText"/>
        <w:rPr/>
      </w:pPr>
      <w:bookmarkEnd w:id="100"/>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7829967_1280447820"/>
      <w:bookmarkStart w:id="102" w:name="_Toc32"/>
      <w:bookmarkEnd w:id="101"/>
      <w:r>
        <w:rPr>
          <w:rtl w:val="true"/>
        </w:rPr>
        <w:t>مسألةٌ في الألمِ و وَجهِ الحُسنِ فيه</w:t>
      </w:r>
      <w:bookmarkEnd w:id="102"/>
    </w:p>
    <w:p>
      <w:pPr>
        <w:pStyle w:val="Heading5"/>
        <w:numPr>
          <w:ilvl w:val="4"/>
          <w:numId w:val="1"/>
        </w:numPr>
        <w:rPr/>
      </w:pPr>
      <w:bookmarkStart w:id="103" w:name="__RefHeading___Toc7829969_1280447820"/>
      <w:bookmarkStart w:id="104" w:name="_Toc33"/>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مسألةٌ في الألمِ و وَجهِ الحُسنِ فيه</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الألَمَ يَحسُنُ إذا لَم يَكُن ظُلماً و لا عَبَثاً و لا مَفسَدةً‌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7829971_1280447820"/>
      <w:bookmarkStart w:id="106" w:name="_Toc34"/>
      <w:bookmarkEnd w:id="105"/>
      <w:r>
        <w:rPr>
          <w:rtl w:val="true"/>
        </w:rPr>
        <w:t>في بيان حدّ الظلم</w:t>
      </w:r>
      <w:bookmarkEnd w:id="106"/>
    </w:p>
    <w:p>
      <w:pPr>
        <w:pStyle w:val="BookText"/>
        <w:rPr/>
      </w:pPr>
      <w:r>
        <w:rPr>
          <w:rFonts w:ascii="Amiri" w:hAnsi="Amiri" w:eastAsia="Amiri" w:cs="Amiri"/>
          <w:color w:val="111111"/>
          <w:sz w:val="28"/>
          <w:sz w:val="28"/>
          <w:szCs w:val="28"/>
          <w:rtl w:val="true"/>
          <w:lang w:bidi="ar-SA"/>
        </w:rPr>
        <w:t>و إنّ حَدَّ الظلمِ ما</w:t>
      </w:r>
      <w:r>
        <w:rPr>
          <w:rStyle w:val="FootnoteAnchor"/>
          <w:rtl w:val="true"/>
        </w:rPr>
        <w:footnoteReference w:id="143"/>
      </w:r>
      <w:r>
        <w:rPr>
          <w:rFonts w:ascii="Amiri" w:hAnsi="Amiri" w:eastAsia="Amiri" w:cs="Amiri"/>
          <w:color w:val="111111"/>
          <w:sz w:val="28"/>
          <w:sz w:val="28"/>
          <w:szCs w:val="28"/>
          <w:rtl w:val="true"/>
          <w:lang w:bidi="ar-SA"/>
        </w:rPr>
        <w:t>يَعرىٰ مِن</w:t>
      </w:r>
      <w:r>
        <w:rPr>
          <w:rStyle w:val="FootnoteAnchor"/>
          <w:rtl w:val="true"/>
        </w:rPr>
        <w:footnoteReference w:id="144"/>
      </w:r>
      <w:r>
        <w:rPr>
          <w:rFonts w:ascii="Amiri" w:hAnsi="Amiri" w:eastAsia="Amiri" w:cs="Amiri"/>
          <w:color w:val="111111"/>
          <w:sz w:val="28"/>
          <w:sz w:val="28"/>
          <w:szCs w:val="28"/>
          <w:rtl w:val="true"/>
          <w:lang w:bidi="ar-SA"/>
        </w:rPr>
        <w:t>نَفعٍ يُوفي عليه، و دَفعِ ضَرَرٍ يَزيدُ عليه، و مِن</w:t>
      </w:r>
      <w:r>
        <w:rPr>
          <w:rStyle w:val="FootnoteAnchor"/>
          <w:rtl w:val="true"/>
        </w:rPr>
        <w:footnoteReference w:id="145"/>
      </w:r>
      <w:r>
        <w:rPr>
          <w:rFonts w:ascii="Amiri" w:hAnsi="Amiri" w:eastAsia="Amiri" w:cs="Amiri"/>
          <w:color w:val="111111"/>
          <w:sz w:val="28"/>
          <w:sz w:val="28"/>
          <w:szCs w:val="28"/>
          <w:rtl w:val="true"/>
          <w:lang w:bidi="ar-SA"/>
        </w:rPr>
        <w:t>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علىٰ وجهِ المُدافَعةِ‌</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ذُكِرَ القَصدُ</w:t>
      </w:r>
      <w:r>
        <w:rPr>
          <w:rStyle w:val="FootnoteAnchor"/>
          <w:rtl w:val="true"/>
        </w:rPr>
        <w:footnoteReference w:id="147"/>
      </w:r>
      <w:r>
        <w:rPr>
          <w:rFonts w:ascii="Amiri" w:hAnsi="Amiri" w:eastAsia="Amiri" w:cs="Amiri"/>
          <w:color w:val="111111"/>
          <w:sz w:val="28"/>
          <w:sz w:val="28"/>
          <w:szCs w:val="28"/>
          <w:rtl w:val="true"/>
          <w:lang w:bidi="ar-SA"/>
        </w:rPr>
        <w:t>في الحَدِّ،</w:t>
      </w:r>
      <w:r>
        <w:rPr>
          <w:rStyle w:val="FootnoteAnchor"/>
          <w:rtl w:val="true"/>
        </w:rPr>
        <w:footnoteReference w:id="148"/>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الألَمُ المقصودُ متىٰ تَعرّىٰ‌</w:t>
      </w:r>
      <w:r>
        <w:rPr>
          <w:rStyle w:val="FootnoteAnchor"/>
          <w:rtl w:val="true"/>
        </w:rPr>
        <w:footnoteReference w:id="149"/>
      </w:r>
      <w:r>
        <w:rPr>
          <w:rFonts w:ascii="Amiri" w:hAnsi="Amiri" w:eastAsia="Amiri" w:cs="Amiri"/>
          <w:color w:val="111111"/>
          <w:sz w:val="28"/>
          <w:sz w:val="28"/>
          <w:szCs w:val="28"/>
          <w:rtl w:val="true"/>
          <w:lang w:bidi="ar-SA"/>
        </w:rPr>
        <w:t xml:space="preserve">مِن الوجوهِ‌ </w:t>
      </w:r>
    </w:p>
    <w:p>
      <w:pPr>
        <w:pStyle w:val="BookText"/>
        <w:rPr/>
      </w:pPr>
      <w:r>
        <w:rPr>
          <w:rFonts w:ascii="Amiri" w:hAnsi="Amiri" w:eastAsia="Amiri" w:cs="Amiri"/>
          <w:color w:val="111111"/>
          <w:sz w:val="28"/>
          <w:sz w:val="28"/>
          <w:szCs w:val="28"/>
          <w:rtl w:val="true"/>
          <w:lang w:bidi="ar-SA"/>
        </w:rPr>
        <w:t>الثلاثةِ كانَ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تَدخُلِ‌</w:t>
      </w:r>
      <w:r>
        <w:rPr>
          <w:rStyle w:val="FootnoteAnchor"/>
          <w:rtl w:val="true"/>
        </w:rPr>
        <w:footnoteReference w:id="150"/>
      </w:r>
      <w:r>
        <w:rPr>
          <w:rFonts w:ascii="Amiri" w:hAnsi="Amiri" w:eastAsia="Amiri" w:cs="Amiri"/>
          <w:color w:val="111111"/>
          <w:sz w:val="28"/>
          <w:sz w:val="28"/>
          <w:szCs w:val="28"/>
          <w:rtl w:val="true"/>
          <w:lang w:bidi="ar-SA"/>
        </w:rPr>
        <w:t>المُدافَعةُ‌؛ لأنّ الألَمَ فيها غيرُ مقصودٍ، و لَو قُصِدَ لَكانَ قَبيحاً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بيانِ وجهِ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نَفعٌ يُوفي</w:t>
      </w:r>
      <w:r>
        <w:rPr>
          <w:rStyle w:val="FootnoteAnchor"/>
          <w:rtl w:val="true"/>
        </w:rPr>
        <w:footnoteReference w:id="15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الانتفاعَ بهذا الألَمِ يُوفي علَى انتفاعِه وفَوتِه؛ لأنّ فَوتَ‌</w:t>
      </w:r>
      <w:r>
        <w:rPr>
          <w:rStyle w:val="FootnoteAnchor"/>
          <w:rtl w:val="true"/>
        </w:rPr>
        <w:footnoteReference w:id="152"/>
      </w:r>
      <w:r>
        <w:rPr>
          <w:rFonts w:ascii="Amiri" w:hAnsi="Amiri" w:eastAsia="Amiri" w:cs="Amiri"/>
          <w:color w:val="111111"/>
          <w:sz w:val="28"/>
          <w:sz w:val="28"/>
          <w:szCs w:val="28"/>
          <w:rtl w:val="true"/>
          <w:lang w:bidi="ar-SA"/>
        </w:rPr>
        <w:t>النفعِ يَجري</w:t>
      </w:r>
      <w:r>
        <w:rPr>
          <w:rStyle w:val="FootnoteAnchor"/>
          <w:rtl w:val="true"/>
        </w:rPr>
        <w:footnoteReference w:id="153"/>
      </w:r>
      <w:r>
        <w:rPr>
          <w:rFonts w:ascii="Amiri" w:hAnsi="Amiri" w:eastAsia="Amiri" w:cs="Amiri"/>
          <w:color w:val="111111"/>
          <w:sz w:val="28"/>
          <w:sz w:val="28"/>
          <w:szCs w:val="28"/>
          <w:rtl w:val="true"/>
          <w:lang w:bidi="ar-SA"/>
        </w:rPr>
        <w:t>في الضرَرِ مَجرَى</w:t>
      </w:r>
      <w:r>
        <w:rPr>
          <w:rStyle w:val="FootnoteAnchor"/>
          <w:rtl w:val="true"/>
        </w:rPr>
        <w:footnoteReference w:id="154"/>
      </w:r>
      <w:r>
        <w:rPr>
          <w:rFonts w:ascii="Amiri" w:hAnsi="Amiri" w:eastAsia="Amiri" w:cs="Amiri"/>
          <w:color w:val="111111"/>
          <w:sz w:val="28"/>
          <w:sz w:val="28"/>
          <w:szCs w:val="28"/>
          <w:rtl w:val="true"/>
          <w:lang w:bidi="ar-SA"/>
        </w:rPr>
        <w:t>الألَمِ‌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w:t>
      </w:r>
      <w:r>
        <w:rPr>
          <w:rStyle w:val="FootnoteAnchor"/>
          <w:rtl w:val="true"/>
        </w:rPr>
        <w:footnoteReference w:id="155"/>
      </w:r>
      <w:r>
        <w:rPr>
          <w:rFonts w:ascii="Amiri" w:hAnsi="Amiri" w:eastAsia="Amiri" w:cs="Amiri"/>
          <w:color w:val="111111"/>
          <w:sz w:val="28"/>
          <w:sz w:val="28"/>
          <w:szCs w:val="28"/>
          <w:rtl w:val="true"/>
          <w:lang w:bidi="ar-SA"/>
        </w:rPr>
        <w:t>أنّ الظنَّ يَقومُ مَقامَ العِلمِ في هذه الوجوهِ كُلِّها إلّا</w:t>
      </w:r>
      <w:r>
        <w:rPr>
          <w:rStyle w:val="FootnoteAnchor"/>
          <w:rtl w:val="true"/>
        </w:rPr>
        <w:footnoteReference w:id="156"/>
      </w:r>
      <w:r>
        <w:rPr>
          <w:rFonts w:ascii="Amiri" w:hAnsi="Amiri" w:eastAsia="Amiri" w:cs="Amiri"/>
          <w:color w:val="111111"/>
          <w:sz w:val="28"/>
          <w:sz w:val="28"/>
          <w:szCs w:val="28"/>
          <w:rtl w:val="true"/>
          <w:lang w:bidi="ar-SA"/>
        </w:rPr>
        <w:t>الاستحقاقَ‌</w:t>
      </w:r>
      <w:r>
        <w:rPr>
          <w:rStyle w:val="FootnoteAnchor"/>
          <w:rtl w:val="true"/>
        </w:rPr>
        <w:footnoteReference w:id="157"/>
      </w:r>
      <w:r>
        <w:rPr>
          <w:rFonts w:ascii="Amiri" w:hAnsi="Amiri" w:eastAsia="Amiri" w:cs="Amiri"/>
          <w:color w:val="111111"/>
          <w:sz w:val="28"/>
          <w:sz w:val="28"/>
          <w:szCs w:val="28"/>
          <w:rtl w:val="true"/>
          <w:lang w:bidi="ar-SA"/>
        </w:rPr>
        <w:t xml:space="preserve">فإنّ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أبي عليٍّ و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أبو هاشمٍ إلىٰ أنّ الظنَّ فيه أيضاً يَقومُ مَقامَ العِلمِ‌؛ و استَدَلَّ بأنّا نَذُمُّ العاصيَ إذا غابَ عنّا و إن جَوَّزنا أن يَكونَ قد تابَ لظنِّ الاستحقاقِ‌</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ascii="Amiri" w:hAnsi="Amiri" w:eastAsia="Amiri" w:cs="Amiri"/>
          <w:color w:val="111111"/>
          <w:sz w:val="28"/>
          <w:sz w:val="28"/>
          <w:szCs w:val="28"/>
          <w:rtl w:val="true"/>
          <w:lang w:bidi="ar-SA"/>
        </w:rPr>
        <w:t>و قال أبو عليٍّ‌</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هذا المَوضِعُ إنّما</w:t>
      </w:r>
      <w:r>
        <w:rPr>
          <w:rStyle w:val="FootnoteAnchor"/>
          <w:rtl w:val="true"/>
        </w:rPr>
        <w:footnoteReference w:id="161"/>
      </w:r>
      <w:r>
        <w:rPr>
          <w:rFonts w:ascii="Amiri" w:hAnsi="Amiri" w:eastAsia="Amiri" w:cs="Amiri"/>
          <w:color w:val="111111"/>
          <w:sz w:val="28"/>
          <w:sz w:val="28"/>
          <w:szCs w:val="28"/>
          <w:rtl w:val="true"/>
          <w:lang w:bidi="ar-SA"/>
        </w:rPr>
        <w:t>يَحسُنُ‌</w:t>
      </w:r>
      <w:r>
        <w:rPr>
          <w:rStyle w:val="FootnoteAnchor"/>
          <w:rtl w:val="true"/>
        </w:rPr>
        <w:footnoteReference w:id="162"/>
      </w:r>
      <w:r>
        <w:rPr>
          <w:rFonts w:ascii="Amiri" w:hAnsi="Amiri" w:eastAsia="Amiri" w:cs="Amiri"/>
          <w:color w:val="111111"/>
          <w:sz w:val="28"/>
          <w:sz w:val="28"/>
          <w:szCs w:val="28"/>
          <w:rtl w:val="true"/>
          <w:lang w:bidi="ar-SA"/>
        </w:rPr>
        <w:t>للظنِّ‌</w:t>
      </w:r>
      <w:r>
        <w:rPr>
          <w:rStyle w:val="FootnoteAnchor"/>
          <w:rtl w:val="true"/>
        </w:rPr>
        <w:footnoteReference w:id="163"/>
      </w:r>
      <w:r>
        <w:rPr>
          <w:rFonts w:ascii="Amiri" w:hAnsi="Amiri" w:eastAsia="Amiri" w:cs="Amiri"/>
          <w:color w:val="111111"/>
          <w:sz w:val="28"/>
          <w:sz w:val="28"/>
          <w:szCs w:val="28"/>
          <w:rtl w:val="true"/>
          <w:lang w:bidi="ar-SA"/>
        </w:rPr>
        <w:t>مشروطاً، لا مُطلَقاً</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 قولُ أبي عليٍّ كأنّه أقوىٰ‌</w:t>
      </w:r>
      <w:r>
        <w:rPr>
          <w:rFonts w:eastAsia="Amiri" w:cs="Amiri" w:ascii="Amiri" w:hAnsi="Amiri"/>
          <w:color w:val="111111"/>
          <w:sz w:val="28"/>
          <w:szCs w:val="28"/>
          <w:rtl w:val="true"/>
          <w:lang w:bidi="ar-SA"/>
        </w:rPr>
        <w:t xml:space="preserve">. </w:t>
      </w:r>
      <w:bookmarkStart w:id="107" w:name="pg16425_221546"/>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7829973_1280447820"/>
      <w:bookmarkStart w:id="109" w:name="_Toc35"/>
      <w:bookmarkEnd w:id="108"/>
      <w:r>
        <w:rPr>
          <w:rtl w:val="true"/>
        </w:rPr>
        <w:t>من وجوه حُسن الألم أن يُفعل للاعتبار</w:t>
      </w:r>
      <w:bookmarkEnd w:id="109"/>
    </w:p>
    <w:p>
      <w:pPr>
        <w:pStyle w:val="BookText"/>
        <w:rPr/>
      </w:pPr>
      <w:r>
        <w:rPr>
          <w:rFonts w:ascii="Amiri" w:hAnsi="Amiri" w:eastAsia="Amiri" w:cs="Amiri"/>
          <w:color w:val="111111"/>
          <w:sz w:val="28"/>
          <w:sz w:val="28"/>
          <w:szCs w:val="28"/>
          <w:rtl w:val="true"/>
          <w:lang w:bidi="ar-SA"/>
        </w:rPr>
        <w:t>و يَجِبُ أن يُزادَ</w:t>
      </w:r>
      <w:r>
        <w:rPr>
          <w:rStyle w:val="FootnoteAnchor"/>
          <w:rtl w:val="true"/>
        </w:rPr>
        <w:footnoteReference w:id="165"/>
      </w:r>
      <w:r>
        <w:rPr>
          <w:rFonts w:ascii="Amiri" w:hAnsi="Amiri" w:eastAsia="Amiri" w:cs="Amiri"/>
          <w:color w:val="111111"/>
          <w:sz w:val="28"/>
          <w:sz w:val="28"/>
          <w:szCs w:val="28"/>
          <w:rtl w:val="true"/>
          <w:lang w:bidi="ar-SA"/>
        </w:rPr>
        <w:t>في</w:t>
      </w:r>
      <w:r>
        <w:rPr>
          <w:rStyle w:val="FootnoteAnchor"/>
          <w:rtl w:val="true"/>
        </w:rPr>
        <w:footnoteReference w:id="166"/>
      </w:r>
      <w:r>
        <w:rPr>
          <w:rFonts w:ascii="Amiri" w:hAnsi="Amiri" w:eastAsia="Amiri" w:cs="Amiri"/>
          <w:color w:val="111111"/>
          <w:sz w:val="28"/>
          <w:sz w:val="28"/>
          <w:szCs w:val="28"/>
          <w:rtl w:val="true"/>
          <w:lang w:bidi="ar-SA"/>
        </w:rPr>
        <w:t>الوجوهِ التي تُقصَدُ</w:t>
      </w:r>
      <w:r>
        <w:rPr>
          <w:rStyle w:val="FootnoteAnchor"/>
          <w:rtl w:val="true"/>
        </w:rPr>
        <w:footnoteReference w:id="167"/>
      </w:r>
      <w:r>
        <w:rPr>
          <w:rFonts w:ascii="Amiri" w:hAnsi="Amiri" w:eastAsia="Amiri" w:cs="Amiri"/>
          <w:color w:val="111111"/>
          <w:sz w:val="28"/>
          <w:sz w:val="28"/>
          <w:szCs w:val="28"/>
          <w:rtl w:val="true"/>
          <w:lang w:bidi="ar-SA"/>
        </w:rPr>
        <w:t>بالألَمِ فيَحسُنُ عليها أن 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و معنَى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المؤلَمُ عندَه إمّا طاعةً أو يَمتَنِعَ‌</w:t>
      </w:r>
      <w:r>
        <w:rPr>
          <w:rStyle w:val="FootnoteAnchor"/>
          <w:rtl w:val="true"/>
        </w:rPr>
        <w:footnoteReference w:id="169"/>
      </w:r>
      <w:r>
        <w:rPr>
          <w:rFonts w:ascii="Amiri" w:hAnsi="Amiri" w:eastAsia="Amiri" w:cs="Amiri"/>
          <w:color w:val="111111"/>
          <w:sz w:val="28"/>
          <w:sz w:val="28"/>
          <w:szCs w:val="28"/>
          <w:rtl w:val="true"/>
          <w:lang w:bidi="ar-SA"/>
        </w:rPr>
        <w:t>مِن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كالمُنفَصِلِ‌</w:t>
      </w:r>
      <w:r>
        <w:rPr>
          <w:rStyle w:val="FootnoteAnchor"/>
          <w:rtl w:val="true"/>
        </w:rPr>
        <w:footnoteReference w:id="170"/>
      </w:r>
      <w:r>
        <w:rPr>
          <w:rFonts w:ascii="Amiri" w:hAnsi="Amiri" w:eastAsia="Amiri" w:cs="Amiri"/>
          <w:color w:val="111111"/>
          <w:sz w:val="28"/>
          <w:sz w:val="28"/>
          <w:szCs w:val="28"/>
          <w:rtl w:val="true"/>
          <w:lang w:bidi="ar-SA"/>
        </w:rPr>
        <w:t>مِن هذه الوجوهِ‌؛ لأنّ اللّٰهَ تَعالىٰ إذا فَعَلَ الألَمَ للاعتبارِ،</w:t>
      </w:r>
      <w:r>
        <w:rPr>
          <w:rStyle w:val="FootnoteAnchor"/>
          <w:rtl w:val="true"/>
        </w:rPr>
        <w:footnoteReference w:id="171"/>
      </w:r>
      <w:r>
        <w:rPr>
          <w:rFonts w:ascii="Amiri" w:hAnsi="Amiri" w:eastAsia="Amiri" w:cs="Amiri"/>
          <w:color w:val="111111"/>
          <w:sz w:val="28"/>
          <w:sz w:val="28"/>
          <w:szCs w:val="28"/>
          <w:rtl w:val="true"/>
          <w:lang w:bidi="ar-SA"/>
        </w:rPr>
        <w:t>فهذا هو الغرضُ فيه، لا العِوَضُ‌</w:t>
      </w:r>
      <w:r>
        <w:rPr>
          <w:rStyle w:val="FootnoteAnchor"/>
          <w:rtl w:val="true"/>
        </w:rPr>
        <w:footnoteReference w:id="172"/>
      </w:r>
      <w:r>
        <w:rPr>
          <w:rFonts w:ascii="Amiri" w:hAnsi="Amiri" w:eastAsia="Amiri" w:cs="Amiri"/>
          <w:color w:val="111111"/>
          <w:sz w:val="28"/>
          <w:sz w:val="28"/>
          <w:szCs w:val="28"/>
          <w:rtl w:val="true"/>
          <w:lang w:bidi="ar-SA"/>
        </w:rPr>
        <w:t>الحاصلُ عليه؛ بَل العِوَضُ كالتابعِ‌،</w:t>
      </w:r>
      <w:r>
        <w:rPr>
          <w:rStyle w:val="FootnoteAnchor"/>
          <w:rtl w:val="true"/>
        </w:rPr>
        <w:footnoteReference w:id="173"/>
      </w:r>
      <w:r>
        <w:rPr>
          <w:rFonts w:ascii="Amiri" w:hAnsi="Amiri" w:eastAsia="Amiri" w:cs="Amiri"/>
          <w:color w:val="111111"/>
          <w:sz w:val="28"/>
          <w:sz w:val="28"/>
          <w:szCs w:val="28"/>
          <w:rtl w:val="true"/>
          <w:lang w:bidi="ar-SA"/>
        </w:rPr>
        <w:t>و الأصلُ‌</w:t>
      </w:r>
      <w:r>
        <w:rPr>
          <w:rStyle w:val="FootnoteAnchor"/>
          <w:rtl w:val="true"/>
        </w:rPr>
        <w:footnoteReference w:id="174"/>
      </w:r>
      <w:r>
        <w:rPr>
          <w:rFonts w:ascii="Amiri" w:hAnsi="Amiri" w:eastAsia="Amiri" w:cs="Amiri"/>
          <w:color w:val="111111"/>
          <w:sz w:val="28"/>
          <w:sz w:val="28"/>
          <w:szCs w:val="28"/>
          <w:rtl w:val="true"/>
          <w:lang w:bidi="ar-SA"/>
        </w:rPr>
        <w:t>الاعتبارُ؛ فبالعِوَضِ يَخرُجُ مِن أن يَكونَ ظُلماً، و بالاعتبارِ يَخرُجُ مِن أن يَكونَ‌</w:t>
      </w:r>
      <w:r>
        <w:rPr>
          <w:rStyle w:val="FootnoteAnchor"/>
          <w:rtl w:val="true"/>
        </w:rPr>
        <w:footnoteReference w:id="175"/>
      </w:r>
      <w:r>
        <w:rPr>
          <w:rFonts w:ascii="Amiri" w:hAnsi="Amiri" w:eastAsia="Amiri" w:cs="Amiri"/>
          <w:color w:val="111111"/>
          <w:sz w:val="28"/>
          <w:sz w:val="28"/>
          <w:szCs w:val="28"/>
          <w:rtl w:val="true"/>
          <w:lang w:bidi="ar-SA"/>
        </w:rPr>
        <w:t>عَبَثاً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7829975_1280447820"/>
      <w:bookmarkStart w:id="111" w:name="_Toc36"/>
      <w:bookmarkEnd w:id="110"/>
      <w:r>
        <w:rPr>
          <w:rtl w:val="true"/>
        </w:rPr>
        <w:t>أقسام الألم من حيث الوجوه التي يقع عليها</w:t>
      </w:r>
      <w:bookmarkEnd w:id="11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الوجهُ خاصّةً لا يَصِحُّ إلّامِن القَديمِ تَعالىٰ خاصّةً‌، دونَ غيرِه مِن </w:t>
      </w:r>
    </w:p>
    <w:p>
      <w:pPr>
        <w:pStyle w:val="BookText"/>
        <w:rPr/>
      </w:pPr>
      <w:r>
        <w:rPr>
          <w:rFonts w:ascii="Amiri" w:hAnsi="Amiri" w:eastAsia="Amiri" w:cs="Amiri"/>
          <w:color w:val="111111"/>
          <w:sz w:val="28"/>
          <w:sz w:val="28"/>
          <w:szCs w:val="28"/>
          <w:rtl w:val="true"/>
          <w:lang w:bidi="ar-SA"/>
        </w:rPr>
        <w:t xml:space="preserve">العبادِ؛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لهُم، فإزاحةُ عِلّتِهم بالألطافِ‌</w:t>
      </w:r>
      <w:r>
        <w:rPr>
          <w:rStyle w:val="FootnoteAnchor"/>
          <w:rtl w:val="true"/>
        </w:rPr>
        <w:footnoteReference w:id="176"/>
      </w:r>
      <w:r>
        <w:rPr>
          <w:rFonts w:ascii="Amiri" w:hAnsi="Amiri" w:eastAsia="Amiri" w:cs="Amiri"/>
          <w:color w:val="111111"/>
          <w:sz w:val="28"/>
          <w:sz w:val="28"/>
          <w:szCs w:val="28"/>
          <w:rtl w:val="true"/>
          <w:lang w:bidi="ar-SA"/>
        </w:rPr>
        <w:t>واجبةٌ عليه، و غيرُه مِن العبادِ</w:t>
      </w:r>
      <w:r>
        <w:rPr>
          <w:rStyle w:val="FootnoteAnchor"/>
          <w:rtl w:val="true"/>
        </w:rPr>
        <w:footnoteReference w:id="177"/>
      </w:r>
      <w:r>
        <w:rPr>
          <w:rFonts w:ascii="Amiri" w:hAnsi="Amiri" w:eastAsia="Amiri" w:cs="Amiri"/>
          <w:color w:val="111111"/>
          <w:sz w:val="28"/>
          <w:sz w:val="28"/>
          <w:szCs w:val="28"/>
          <w:rtl w:val="true"/>
          <w:lang w:bidi="ar-SA"/>
        </w:rPr>
        <w:t>لَيسَ‌</w:t>
      </w:r>
      <w:r>
        <w:rPr>
          <w:rStyle w:val="FootnoteAnchor"/>
          <w:rtl w:val="true"/>
        </w:rPr>
        <w:footnoteReference w:id="178"/>
      </w:r>
      <w:r>
        <w:rPr>
          <w:rFonts w:ascii="Amiri" w:hAnsi="Amiri" w:eastAsia="Amiri" w:cs="Amiri"/>
          <w:color w:val="111111"/>
          <w:sz w:val="28"/>
          <w:sz w:val="28"/>
          <w:szCs w:val="28"/>
          <w:rtl w:val="true"/>
          <w:lang w:bidi="ar-SA"/>
        </w:rPr>
        <w:t>بمُكلِّفٍ لغَيرِه فيَلزَمَه ألطافُه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فصارَ هذا الوجهُ خاصّةً يَختَصُّ بالقَديمِ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المُشتَرَكةِ بَينَنا و بَينَ القَديمِ تَعالىٰ فِعلُ الألَمِ لوَجهِ‌</w:t>
      </w:r>
      <w:r>
        <w:rPr>
          <w:rStyle w:val="FootnoteAnchor"/>
          <w:rtl w:val="true"/>
        </w:rPr>
        <w:footnoteReference w:id="180"/>
      </w:r>
      <w:r>
        <w:rPr>
          <w:rFonts w:ascii="Amiri" w:hAnsi="Amiri" w:eastAsia="Amiri" w:cs="Amiri"/>
          <w:color w:val="111111"/>
          <w:sz w:val="28"/>
          <w:sz w:val="28"/>
          <w:szCs w:val="28"/>
          <w:rtl w:val="true"/>
          <w:lang w:bidi="ar-SA"/>
        </w:rPr>
        <w:t>الاستحقاقِ‌؛ فإنّه</w:t>
      </w:r>
      <w:r>
        <w:rPr>
          <w:rStyle w:val="FootnoteAnchor"/>
          <w:rtl w:val="true"/>
        </w:rPr>
        <w:footnoteReference w:id="181"/>
      </w:r>
      <w:r>
        <w:rPr>
          <w:rFonts w:ascii="Amiri" w:hAnsi="Amiri" w:eastAsia="Amiri" w:cs="Amiri"/>
          <w:color w:val="111111"/>
          <w:sz w:val="28"/>
          <w:sz w:val="28"/>
          <w:szCs w:val="28"/>
          <w:rtl w:val="true"/>
          <w:lang w:bidi="ar-SA"/>
        </w:rPr>
        <w:t>تَعالىٰ يُعاقِبُ العُصاةَ و يؤلِمُهم لهذا الوجهِ‌، كما يَذُمُّ‌</w:t>
      </w:r>
      <w:r>
        <w:rPr>
          <w:rStyle w:val="FootnoteAnchor"/>
          <w:rtl w:val="true"/>
        </w:rPr>
        <w:footnoteReference w:id="182"/>
      </w:r>
      <w:r>
        <w:rPr>
          <w:rFonts w:ascii="Amiri" w:hAnsi="Amiri" w:eastAsia="Amiri" w:cs="Amiri"/>
          <w:color w:val="111111"/>
          <w:sz w:val="28"/>
          <w:sz w:val="28"/>
          <w:szCs w:val="28"/>
          <w:rtl w:val="true"/>
          <w:lang w:bidi="ar-SA"/>
        </w:rPr>
        <w:t xml:space="preserve">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غَمَّه</w:t>
      </w:r>
      <w:r>
        <w:rPr>
          <w:rStyle w:val="FootnoteAnchor"/>
          <w:rtl w:val="true"/>
        </w:rPr>
        <w:footnoteReference w:id="183"/>
      </w:r>
      <w:r>
        <w:rPr>
          <w:rFonts w:ascii="Amiri" w:hAnsi="Amiri" w:eastAsia="Amiri" w:cs="Amiri"/>
          <w:color w:val="111111"/>
          <w:sz w:val="28"/>
          <w:sz w:val="28"/>
          <w:szCs w:val="28"/>
          <w:rtl w:val="true"/>
          <w:lang w:bidi="ar-SA"/>
        </w:rPr>
        <w:t>ذلكَ و آلَمَه</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هذا الوجهُ مُشتَرَكاً، و الأوّلُ خاصّاً به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باقي الوجوهِ التي ذَكرناها فنَختَصُّ نَحنُ‌</w:t>
      </w:r>
      <w:r>
        <w:rPr>
          <w:rStyle w:val="FootnoteAnchor"/>
          <w:rtl w:val="true"/>
        </w:rPr>
        <w:footnoteReference w:id="185"/>
      </w:r>
      <w:r>
        <w:rPr>
          <w:rFonts w:ascii="Amiri" w:hAnsi="Amiri" w:eastAsia="Amiri" w:cs="Amiri"/>
          <w:color w:val="111111"/>
          <w:sz w:val="28"/>
          <w:sz w:val="28"/>
          <w:szCs w:val="28"/>
          <w:rtl w:val="true"/>
          <w:lang w:bidi="ar-SA"/>
        </w:rPr>
        <w:t>بها دونَه تَعالىٰ‌، و لا</w:t>
      </w:r>
      <w:r>
        <w:rPr>
          <w:rStyle w:val="FootnoteAnchor"/>
          <w:rtl w:val="true"/>
        </w:rPr>
        <w:footnoteReference w:id="186"/>
      </w:r>
      <w:r>
        <w:rPr>
          <w:rFonts w:ascii="Amiri" w:hAnsi="Amiri" w:eastAsia="Amiri" w:cs="Amiri"/>
          <w:color w:val="111111"/>
          <w:sz w:val="28"/>
          <w:sz w:val="28"/>
          <w:szCs w:val="28"/>
          <w:rtl w:val="true"/>
          <w:lang w:bidi="ar-SA"/>
        </w:rPr>
        <w:t>يَصِحُّ دخولُ شَيءٍ منها فيما يُدخِلُه تَعالىٰ مِن الآلامِ‌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الظنُّ‌، فيَستَحيلَ عليه تَعالىٰ‌؛ لأنّه عالِمٌ لنفسِه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فِعلُ الآلامِ‌</w:t>
      </w:r>
      <w:r>
        <w:rPr>
          <w:rStyle w:val="FootnoteAnchor"/>
          <w:rtl w:val="true"/>
        </w:rPr>
        <w:footnoteReference w:id="187"/>
      </w:r>
      <w:r>
        <w:rPr>
          <w:rFonts w:ascii="Amiri" w:hAnsi="Amiri" w:eastAsia="Amiri" w:cs="Amiri"/>
          <w:color w:val="111111"/>
          <w:sz w:val="28"/>
          <w:sz w:val="28"/>
          <w:szCs w:val="28"/>
          <w:rtl w:val="true"/>
          <w:lang w:bidi="ar-SA"/>
        </w:rPr>
        <w:t>لدَفعِ الضرَرِ، فإنّما يَحسُنُ مِنّا إذا كُنّا لا نَتمكَّنُ مِن دَفعِه إلّابه؛ و لهذا لا يَحسُنُ أن نُخرِجَ‌</w:t>
      </w:r>
      <w:r>
        <w:rPr>
          <w:rStyle w:val="FootnoteAnchor"/>
          <w:rtl w:val="true"/>
        </w:rPr>
        <w:footnoteReference w:id="188"/>
      </w:r>
      <w:r>
        <w:rPr>
          <w:rFonts w:ascii="Amiri" w:hAnsi="Amiri" w:eastAsia="Amiri" w:cs="Amiri"/>
          <w:color w:val="111111"/>
          <w:sz w:val="28"/>
          <w:sz w:val="28"/>
          <w:szCs w:val="28"/>
          <w:rtl w:val="true"/>
          <w:lang w:bidi="ar-SA"/>
        </w:rPr>
        <w:t>الغَريقَ مِن الغَمرةِ‌</w:t>
      </w:r>
      <w:r>
        <w:rPr>
          <w:rStyle w:val="FootnoteAnchor"/>
          <w:rtl w:val="true"/>
        </w:rPr>
        <w:footnoteReference w:id="189"/>
      </w:r>
      <w:r>
        <w:rPr>
          <w:rFonts w:ascii="Amiri" w:hAnsi="Amiri" w:eastAsia="Amiri" w:cs="Amiri"/>
          <w:color w:val="111111"/>
          <w:sz w:val="28"/>
          <w:sz w:val="28"/>
          <w:szCs w:val="28"/>
          <w:rtl w:val="true"/>
          <w:lang w:bidi="ar-SA"/>
        </w:rPr>
        <w:t>بأن نَكسِرَ</w:t>
      </w:r>
      <w:r>
        <w:rPr>
          <w:rStyle w:val="FootnoteAnchor"/>
          <w:rtl w:val="true"/>
        </w:rPr>
        <w:footnoteReference w:id="190"/>
      </w:r>
      <w:r>
        <w:rPr>
          <w:rFonts w:ascii="Amiri" w:hAnsi="Amiri" w:eastAsia="Amiri" w:cs="Amiri"/>
          <w:color w:val="111111"/>
          <w:sz w:val="28"/>
          <w:sz w:val="28"/>
          <w:szCs w:val="28"/>
          <w:rtl w:val="true"/>
          <w:lang w:bidi="ar-SA"/>
        </w:rPr>
        <w:t>يَدَه، إلّاإذا لَم نَتمكَّنْ‌</w:t>
      </w:r>
      <w:r>
        <w:rPr>
          <w:rStyle w:val="FootnoteAnchor"/>
          <w:rtl w:val="true"/>
        </w:rPr>
        <w:footnoteReference w:id="191"/>
      </w:r>
      <w:r>
        <w:rPr>
          <w:rFonts w:ascii="Amiri" w:hAnsi="Amiri" w:eastAsia="Amiri" w:cs="Amiri"/>
          <w:color w:val="111111"/>
          <w:sz w:val="28"/>
          <w:sz w:val="28"/>
          <w:szCs w:val="28"/>
          <w:rtl w:val="true"/>
          <w:lang w:bidi="ar-SA"/>
        </w:rPr>
        <w:t>مِن إخراجِه إلّاكذلكَ‌؛ فإن تَمكَّنّا</w:t>
      </w:r>
      <w:r>
        <w:rPr>
          <w:rStyle w:val="FootnoteAnchor"/>
          <w:rtl w:val="true"/>
        </w:rPr>
        <w:footnoteReference w:id="192"/>
      </w:r>
      <w:r>
        <w:rPr>
          <w:rFonts w:ascii="Amiri" w:hAnsi="Amiri" w:eastAsia="Amiri" w:cs="Amiri"/>
          <w:color w:val="111111"/>
          <w:sz w:val="28"/>
          <w:sz w:val="28"/>
          <w:szCs w:val="28"/>
          <w:rtl w:val="true"/>
          <w:lang w:bidi="ar-SA"/>
        </w:rPr>
        <w:t>مِن إخراجِه بغَيرِ كَسرِ يَدِه فأخرَجناه كاسِرينَ‌</w:t>
      </w:r>
      <w:r>
        <w:rPr>
          <w:rStyle w:val="FootnoteAnchor"/>
          <w:rtl w:val="true"/>
        </w:rPr>
        <w:footnoteReference w:id="193"/>
      </w:r>
      <w:r>
        <w:rPr>
          <w:rFonts w:ascii="Amiri" w:hAnsi="Amiri" w:eastAsia="Amiri" w:cs="Amiri"/>
          <w:color w:val="111111"/>
          <w:sz w:val="28"/>
          <w:sz w:val="28"/>
          <w:szCs w:val="28"/>
          <w:rtl w:val="true"/>
          <w:lang w:bidi="ar-SA"/>
        </w:rPr>
        <w:t>يَدَه، ضَمِنّا كَسرَ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القَديمُ تَعالىٰ قادراً علىٰ دَفعِ كُلِّ ضَرَرٍ قَلَّ أَم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يَفعَلَ شَيئاً مِن الآلامِ‌، ارتَفَعَ هذا الوجهُ أيضاً عن</w:t>
      </w:r>
      <w:r>
        <w:rPr>
          <w:rStyle w:val="FootnoteAnchor"/>
          <w:rtl w:val="true"/>
        </w:rPr>
        <w:footnoteReference w:id="194"/>
      </w:r>
      <w:r>
        <w:rPr>
          <w:rFonts w:ascii="Amiri" w:hAnsi="Amiri" w:eastAsia="Amiri" w:cs="Amiri"/>
          <w:color w:val="111111"/>
          <w:sz w:val="28"/>
          <w:sz w:val="28"/>
          <w:szCs w:val="28"/>
          <w:rtl w:val="true"/>
          <w:lang w:bidi="ar-SA"/>
        </w:rPr>
        <w:t>جُملةِ أفعالِه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فِعلُ الآلامِ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لإيصالِ 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يَحسُنُ أيضاً</w:t>
      </w:r>
      <w:r>
        <w:rPr>
          <w:rStyle w:val="FootnoteAnchor"/>
          <w:rtl w:val="true"/>
        </w:rPr>
        <w:footnoteReference w:id="195"/>
      </w:r>
      <w:r>
        <w:rPr>
          <w:rFonts w:ascii="Amiri" w:hAnsi="Amiri" w:eastAsia="Amiri" w:cs="Amiri"/>
          <w:color w:val="111111"/>
          <w:sz w:val="28"/>
          <w:sz w:val="28"/>
          <w:szCs w:val="28"/>
          <w:rtl w:val="true"/>
          <w:lang w:bidi="ar-SA"/>
        </w:rPr>
        <w:t>إلّاإذا كانَ لا يوصَلُ إلَى النفعِ إلّا به؛ و لهذا لا يَحسُنُ مِنّا أن نُتعِبَ نُفوسَنا في طَلَبِ‌</w:t>
      </w:r>
      <w:r>
        <w:rPr>
          <w:rStyle w:val="FootnoteAnchor"/>
          <w:rtl w:val="true"/>
        </w:rPr>
        <w:footnoteReference w:id="196"/>
      </w:r>
      <w:r>
        <w:rPr>
          <w:rFonts w:ascii="Amiri" w:hAnsi="Amiri" w:eastAsia="Amiri" w:cs="Amiri"/>
          <w:color w:val="111111"/>
          <w:sz w:val="28"/>
          <w:sz w:val="28"/>
          <w:szCs w:val="28"/>
          <w:rtl w:val="true"/>
          <w:lang w:bidi="ar-SA"/>
        </w:rPr>
        <w:t>الأرباحِ‌، و نَحنُ نَقدِرُ علَى الوصولِ إليها مِن غيرِ ألَمٍ و لا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القَديمُ تَعالىٰ قادراً علىٰ إيصالِ كُلِّ ما</w:t>
      </w:r>
      <w:r>
        <w:rPr>
          <w:rStyle w:val="FootnoteAnchor"/>
          <w:rtl w:val="true"/>
        </w:rPr>
        <w:footnoteReference w:id="197"/>
      </w:r>
      <w:r>
        <w:rPr>
          <w:rFonts w:ascii="Amiri" w:hAnsi="Amiri" w:eastAsia="Amiri" w:cs="Amiri"/>
          <w:color w:val="111111"/>
          <w:sz w:val="28"/>
          <w:sz w:val="28"/>
          <w:szCs w:val="28"/>
          <w:rtl w:val="true"/>
          <w:lang w:bidi="ar-SA"/>
        </w:rPr>
        <w:t>يُريدُ إيصالَه مِن المَنافعِ مِن غيرِ مُقدِّمةِ ألَمٍ‌، لَم يَحسُنْ منه أن يؤلِمَ لإيصالِ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w:t>
      </w:r>
      <w:r>
        <w:rPr>
          <w:rStyle w:val="FootnoteAnchor"/>
          <w:rtl w:val="true"/>
        </w:rPr>
        <w:footnoteReference w:id="198"/>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هو المقصودُ، و النفعَ‌</w:t>
      </w:r>
      <w:r>
        <w:rPr>
          <w:rStyle w:val="FootnoteAnchor"/>
          <w:rtl w:val="true"/>
        </w:rPr>
        <w:footnoteReference w:id="199"/>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فصارَ المُحصَّلُ مِن هذه الجُملةِ التي ذَكرناها أنّ الوجوهَ التي يَقَعُ عليها الألَمُ فيَخرُجُ‌</w:t>
      </w:r>
      <w:r>
        <w:rPr>
          <w:rStyle w:val="FootnoteAnchor"/>
          <w:rtl w:val="true"/>
        </w:rPr>
        <w:footnoteReference w:id="200"/>
      </w:r>
      <w:r>
        <w:rPr>
          <w:rFonts w:ascii="Amiri" w:hAnsi="Amiri" w:eastAsia="Amiri" w:cs="Amiri"/>
          <w:color w:val="111111"/>
          <w:sz w:val="28"/>
          <w:sz w:val="28"/>
          <w:szCs w:val="28"/>
          <w:rtl w:val="true"/>
          <w:lang w:bidi="ar-SA"/>
        </w:rPr>
        <w:t>مِن أن يَكونَ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r>
        <w:rPr>
          <w:rStyle w:val="FootnoteAnchor"/>
          <w:rtl w:val="true"/>
        </w:rPr>
        <w:footnoteReference w:id="201"/>
      </w:r>
      <w:r>
        <w:rPr>
          <w:rFonts w:ascii="Amiri" w:hAnsi="Amiri" w:eastAsia="Amiri" w:cs="Amiri"/>
          <w:color w:val="111111"/>
          <w:sz w:val="28"/>
          <w:sz w:val="28"/>
          <w:szCs w:val="28"/>
          <w:rtl w:val="true"/>
          <w:lang w:bidi="ar-SA"/>
        </w:rPr>
        <w:t>بَينَ القَديمِ تَعالىٰ و بَينَنا، و هو الاستحقاقُ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يَختَصُّه تَعالىٰ‌، و هو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يَختَصُّنا، و هو باقي الوجوهِ‌؛ مِن فِعلِه لدَفعِ‌</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الضرَرِ أو للنفعِ‌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غيرَ مقصودٍ فعلىٰ سَبيلِ‌</w:t>
      </w:r>
      <w:r>
        <w:rPr>
          <w:rStyle w:val="FootnoteAnchor"/>
          <w:rtl w:val="true"/>
        </w:rPr>
        <w:footnoteReference w:id="202"/>
      </w:r>
      <w:r>
        <w:rPr>
          <w:rFonts w:ascii="Amiri" w:hAnsi="Amiri" w:eastAsia="Amiri" w:cs="Amiri"/>
          <w:color w:val="111111"/>
          <w:sz w:val="28"/>
          <w:sz w:val="28"/>
          <w:szCs w:val="28"/>
          <w:rtl w:val="true"/>
          <w:lang w:bidi="ar-SA"/>
        </w:rPr>
        <w:t>المُدافَعةِ‌؛ لأنّ هذا الوجهَ أيضاً لا يَليقُ بالقَديمِ تَعالىٰ‌؛ لأنّه قادرٌ علىٰ دَفعِ كُلِّ ألَمٍ يَقصِدُه الظالِمُ‌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 غيرِ فِعلِ شَيءٍ مِن الآلامِ‌، و لأنّه تَعالىٰ لا يَصِحُّ أن يَقَعَ منه ألَمٌ غيرُ مقصودٍ</w:t>
      </w:r>
      <w:r>
        <w:rPr>
          <w:rStyle w:val="FootnoteAnchor"/>
          <w:rtl w:val="true"/>
        </w:rPr>
        <w:footnoteReference w:id="203"/>
      </w:r>
      <w:r>
        <w:rPr>
          <w:rFonts w:ascii="Amiri" w:hAnsi="Amiri" w:eastAsia="Amiri" w:cs="Amiri"/>
          <w:color w:val="111111"/>
          <w:sz w:val="28"/>
          <w:sz w:val="28"/>
          <w:szCs w:val="28"/>
          <w:rtl w:val="true"/>
          <w:lang w:bidi="ar-SA"/>
        </w:rPr>
        <w:t>، و لا ألَمَ‌</w:t>
      </w:r>
      <w:r>
        <w:rPr>
          <w:rStyle w:val="FootnoteAnchor"/>
          <w:rtl w:val="true"/>
        </w:rPr>
        <w:footnoteReference w:id="204"/>
      </w:r>
      <w:r>
        <w:rPr>
          <w:rFonts w:ascii="Amiri" w:hAnsi="Amiri" w:eastAsia="Amiri" w:cs="Amiri"/>
          <w:color w:val="111111"/>
          <w:sz w:val="28"/>
          <w:sz w:val="28"/>
          <w:szCs w:val="28"/>
          <w:rtl w:val="true"/>
          <w:lang w:bidi="ar-SA"/>
        </w:rPr>
        <w:t>في المُدافَعةِ يَكونُ مقصوداً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w:t>
      </w:r>
      <w:r>
        <w:rPr>
          <w:rStyle w:val="FootnoteAnchor"/>
          <w:rtl w:val="true"/>
        </w:rPr>
        <w:footnoteReference w:id="206"/>
      </w:r>
      <w:r>
        <w:rPr>
          <w:rFonts w:ascii="Amiri" w:hAnsi="Amiri" w:eastAsia="Amiri" w:cs="Amiri"/>
          <w:color w:val="111111"/>
          <w:sz w:val="28"/>
          <w:sz w:val="28"/>
          <w:szCs w:val="28"/>
          <w:rtl w:val="true"/>
          <w:lang w:bidi="ar-SA"/>
        </w:rPr>
        <w:t xml:space="preserve">هذه الجُملةَ‌؛ فإنّ فيها فوائدَ كَثيرةً لا تَمضي في الكُتُبِ‌، و ما بَسَطناها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 اللّٰهُ تَعالىٰ‌</w:t>
      </w:r>
      <w:r>
        <w:rPr>
          <w:rStyle w:val="FootnoteAnchor"/>
          <w:rtl w:val="true"/>
        </w:rPr>
        <w:footnoteReference w:id="208"/>
      </w:r>
      <w:r>
        <w:rPr>
          <w:rFonts w:ascii="Amiri" w:hAnsi="Amiri" w:eastAsia="Amiri" w:cs="Amiri"/>
          <w:color w:val="111111"/>
          <w:sz w:val="28"/>
          <w:sz w:val="28"/>
          <w:szCs w:val="28"/>
          <w:rtl w:val="true"/>
          <w:lang w:bidi="ar-SA"/>
        </w:rPr>
        <w:t>يُحسِنُ‌</w:t>
      </w:r>
      <w:r>
        <w:rPr>
          <w:rStyle w:val="FootnoteAnchor"/>
          <w:rtl w:val="true"/>
        </w:rPr>
        <w:footnoteReference w:id="209"/>
      </w:r>
      <w:r>
        <w:rPr>
          <w:rFonts w:ascii="Amiri" w:hAnsi="Amiri" w:eastAsia="Amiri" w:cs="Amiri"/>
          <w:color w:val="111111"/>
          <w:sz w:val="28"/>
          <w:sz w:val="28"/>
          <w:szCs w:val="28"/>
          <w:rtl w:val="true"/>
          <w:lang w:bidi="ar-SA"/>
        </w:rPr>
        <w:t>التوفيقَ بمَشيئتِه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12" w:name="pg16425_221550"/>
    </w:p>
    <w:p>
      <w:pPr>
        <w:pStyle w:val="BookText"/>
        <w:rPr/>
      </w:pPr>
      <w:bookmarkEnd w:id="112"/>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7829977_1280447820"/>
      <w:bookmarkStart w:id="114" w:name="_Toc37"/>
      <w:bookmarkEnd w:id="113"/>
      <w:r>
        <w:rPr>
          <w:rtl w:val="true"/>
        </w:rPr>
        <w:t>تقسيم آخر للألم من حيث الوجوه التي يقع عليها</w:t>
      </w:r>
      <w:bookmarkEnd w:id="114"/>
    </w:p>
    <w:p>
      <w:pPr>
        <w:pStyle w:val="BookText"/>
        <w:rPr/>
      </w:pPr>
      <w:r>
        <w:rPr>
          <w:rFonts w:ascii="Amiri" w:hAnsi="Amiri" w:eastAsia="Amiri" w:cs="Amiri"/>
          <w:color w:val="111111"/>
          <w:sz w:val="28"/>
          <w:sz w:val="28"/>
          <w:szCs w:val="28"/>
          <w:rtl w:val="true"/>
          <w:lang w:bidi="ar-SA"/>
        </w:rPr>
        <w:t>و اعلَمْ أنّ هذه الوجوهَ التي ذَكرناها تَنقَسِمُ‌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 تَكامَلَ منه بحُصولِه حُسنُ الألَمِ‌، و لَم يَحتَجْ‌</w:t>
      </w:r>
      <w:r>
        <w:rPr>
          <w:rStyle w:val="FootnoteAnchor"/>
          <w:rtl w:val="true"/>
        </w:rPr>
        <w:footnoteReference w:id="211"/>
      </w:r>
      <w:r>
        <w:rPr>
          <w:rFonts w:ascii="Amiri" w:hAnsi="Amiri" w:eastAsia="Amiri" w:cs="Amiri"/>
          <w:color w:val="111111"/>
          <w:sz w:val="28"/>
          <w:sz w:val="28"/>
          <w:szCs w:val="28"/>
          <w:rtl w:val="true"/>
          <w:lang w:bidi="ar-SA"/>
        </w:rPr>
        <w:t>في حُسنِه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يَتكامَلُ بذلكَ الوجهِ حُسنُه، بَل يَقِفُ كمالُ حُسنِه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فمثالُ الوجهِ الأوّلِ الاستحقاقُ‌؛ فإنّه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مُستَحَقّاً، مِن غيرِ زيادةٍ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يَحسُنُ الألَمُ لدَفعِ ما هو أعظَمُ منه، و يَتكامَلُ بذلكَ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إذا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المُدافَعةِ‌</w:t>
      </w:r>
      <w:r>
        <w:rPr>
          <w:rStyle w:val="FootnoteAnchor"/>
          <w:rtl w:val="true"/>
        </w:rPr>
        <w:footnoteReference w:id="212"/>
      </w:r>
      <w:r>
        <w:rPr>
          <w:rFonts w:ascii="Amiri" w:hAnsi="Amiri" w:eastAsia="Amiri" w:cs="Amiri"/>
          <w:color w:val="111111"/>
          <w:sz w:val="28"/>
          <w:sz w:val="28"/>
          <w:szCs w:val="28"/>
          <w:rtl w:val="true"/>
          <w:lang w:bidi="ar-SA"/>
        </w:rPr>
        <w:t>فإنّه يَحسُنُ لهذا</w:t>
      </w:r>
      <w:r>
        <w:rPr>
          <w:rStyle w:val="FootnoteAnchor"/>
          <w:rtl w:val="true"/>
        </w:rPr>
        <w:footnoteReference w:id="213"/>
      </w:r>
      <w:r>
        <w:rPr>
          <w:rFonts w:ascii="Amiri" w:hAnsi="Amiri" w:eastAsia="Amiri" w:cs="Amiri"/>
          <w:color w:val="111111"/>
          <w:sz w:val="28"/>
          <w:sz w:val="28"/>
          <w:szCs w:val="28"/>
          <w:rtl w:val="true"/>
          <w:lang w:bidi="ar-SA"/>
        </w:rPr>
        <w:t>الوجهِ‌، و يَتكامَلُ به</w:t>
      </w:r>
      <w:r>
        <w:rPr>
          <w:rStyle w:val="FootnoteAnchor"/>
          <w:rtl w:val="true"/>
        </w:rPr>
        <w:footnoteReference w:id="214"/>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مثالُ القِسمِ الثاني الاعتبارُ؛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لا يَتكامَلُ حُسنُه، و إنّما يُخرِجُه</w:t>
      </w:r>
      <w:r>
        <w:rPr>
          <w:rStyle w:val="FootnoteAnchor"/>
          <w:rtl w:val="true"/>
        </w:rPr>
        <w:footnoteReference w:id="215"/>
      </w:r>
      <w:r>
        <w:rPr>
          <w:rFonts w:ascii="Amiri" w:hAnsi="Amiri" w:eastAsia="Amiri" w:cs="Amiri"/>
          <w:color w:val="111111"/>
          <w:sz w:val="28"/>
          <w:sz w:val="28"/>
          <w:szCs w:val="28"/>
          <w:rtl w:val="true"/>
          <w:lang w:bidi="ar-SA"/>
        </w:rPr>
        <w:t>مِن أن يَكونَ عَبَثاً، و بالنفعِ‌</w:t>
      </w:r>
      <w:r>
        <w:rPr>
          <w:rStyle w:val="FootnoteAnchor"/>
          <w:rtl w:val="true"/>
        </w:rPr>
        <w:footnoteReference w:id="216"/>
      </w:r>
      <w:r>
        <w:rPr>
          <w:rFonts w:ascii="Amiri" w:hAnsi="Amiri" w:eastAsia="Amiri" w:cs="Amiri"/>
          <w:color w:val="111111"/>
          <w:sz w:val="28"/>
          <w:sz w:val="28"/>
          <w:szCs w:val="28"/>
          <w:rtl w:val="true"/>
          <w:lang w:bidi="ar-SA"/>
        </w:rPr>
        <w:t>الزائدِ يَخرُجُ مِن أن يَكونَ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هذا الوجهِ أيضاً ما يُفعَلُ مِن الألَمِ للنفعِ‌</w:t>
      </w:r>
      <w:r>
        <w:rPr>
          <w:rStyle w:val="FootnoteAnchor"/>
          <w:rtl w:val="true"/>
        </w:rPr>
        <w:footnoteReference w:id="217"/>
      </w:r>
      <w:r>
        <w:rPr>
          <w:rFonts w:ascii="Amiri" w:hAnsi="Amiri" w:eastAsia="Amiri" w:cs="Amiri"/>
          <w:color w:val="111111"/>
          <w:sz w:val="28"/>
          <w:sz w:val="28"/>
          <w:szCs w:val="28"/>
          <w:rtl w:val="true"/>
          <w:lang w:bidi="ar-SA"/>
        </w:rPr>
        <w:t>فإنّه يَنقَسِمُ‌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فَعَلناه بغَيرِنا،</w:t>
      </w:r>
      <w:r>
        <w:rPr>
          <w:rStyle w:val="FootnoteAnchor"/>
          <w:rtl w:val="true"/>
        </w:rPr>
        <w:footnoteReference w:id="218"/>
      </w:r>
      <w:r>
        <w:rPr>
          <w:rFonts w:ascii="Amiri" w:hAnsi="Amiri" w:eastAsia="Amiri" w:cs="Amiri"/>
          <w:color w:val="111111"/>
          <w:sz w:val="28"/>
          <w:sz w:val="28"/>
          <w:szCs w:val="28"/>
          <w:rtl w:val="true"/>
          <w:lang w:bidi="ar-SA"/>
        </w:rPr>
        <w:t>نَظَرنا؛ فإن كانَ مُمكِناً</w:t>
      </w:r>
      <w:r>
        <w:rPr>
          <w:rStyle w:val="FootnoteAnchor"/>
          <w:rtl w:val="true"/>
        </w:rPr>
        <w:footnoteReference w:id="219"/>
      </w:r>
      <w:r>
        <w:rPr>
          <w:rFonts w:ascii="Amiri" w:hAnsi="Amiri" w:eastAsia="Amiri" w:cs="Amiri"/>
          <w:color w:val="111111"/>
          <w:sz w:val="28"/>
          <w:sz w:val="28"/>
          <w:szCs w:val="28"/>
          <w:rtl w:val="true"/>
          <w:lang w:bidi="ar-SA"/>
        </w:rPr>
        <w:t xml:space="preserve">أن نوصِلَ ذلكَ الغَيرَ إلَى النفعِ مِن </w:t>
      </w:r>
    </w:p>
    <w:p>
      <w:pPr>
        <w:pStyle w:val="BookText"/>
        <w:rPr/>
      </w:pPr>
      <w:r>
        <w:rPr>
          <w:rFonts w:ascii="Amiri" w:hAnsi="Amiri" w:eastAsia="Amiri" w:cs="Amiri"/>
          <w:color w:val="111111"/>
          <w:sz w:val="28"/>
          <w:sz w:val="28"/>
          <w:szCs w:val="28"/>
          <w:rtl w:val="true"/>
          <w:lang w:bidi="ar-SA"/>
        </w:rPr>
        <w:t>غيرِ ألَمٍ‌، قَبُحَ الألَمُ‌؛ لكَونِه عَبَثاً، و إن كانَ فيه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يُستأجَرَ</w:t>
      </w:r>
      <w:r>
        <w:rPr>
          <w:rStyle w:val="FootnoteAnchor"/>
          <w:rtl w:val="true"/>
        </w:rPr>
        <w:footnoteReference w:id="220"/>
      </w:r>
      <w:r>
        <w:rPr>
          <w:rFonts w:ascii="Amiri" w:hAnsi="Amiri" w:eastAsia="Amiri" w:cs="Amiri"/>
          <w:color w:val="111111"/>
          <w:sz w:val="28"/>
          <w:sz w:val="28"/>
          <w:szCs w:val="28"/>
          <w:rtl w:val="true"/>
          <w:lang w:bidi="ar-SA"/>
        </w:rPr>
        <w:t>الأجيرُ بالأُجرةِ الوافرةِ التي يَرضىٰ بها لِاستيقاءِ‌</w:t>
      </w:r>
      <w:r>
        <w:rPr>
          <w:rStyle w:val="FootnoteAnchor"/>
          <w:rtl w:val="true"/>
        </w:rPr>
        <w:footnoteReference w:id="221"/>
      </w:r>
      <w:r>
        <w:rPr>
          <w:rFonts w:ascii="Amiri" w:hAnsi="Amiri" w:eastAsia="Amiri" w:cs="Amiri"/>
          <w:color w:val="111111"/>
          <w:sz w:val="28"/>
          <w:sz w:val="28"/>
          <w:szCs w:val="28"/>
          <w:rtl w:val="true"/>
          <w:lang w:bidi="ar-SA"/>
        </w:rPr>
        <w:t>الماءِ من نَهرٍ إلىٰ آخَرَ؛ فإنّه يَكونُ عَبَثاً، و إن لَم يَكُن ظُلماً، و لا بُدَّ فيه مِن غرضٍ‌</w:t>
      </w:r>
      <w:r>
        <w:rPr>
          <w:rStyle w:val="FootnoteAnchor"/>
          <w:rtl w:val="true"/>
        </w:rPr>
        <w:footnoteReference w:id="222"/>
      </w:r>
      <w:r>
        <w:rPr>
          <w:rFonts w:ascii="Amiri" w:hAnsi="Amiri" w:eastAsia="Amiri" w:cs="Amiri"/>
          <w:color w:val="111111"/>
          <w:sz w:val="28"/>
          <w:sz w:val="28"/>
          <w:szCs w:val="28"/>
          <w:rtl w:val="true"/>
          <w:lang w:bidi="ar-SA"/>
        </w:rPr>
        <w:t>زائدٍ علىٰ إيصالِ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نَفعَلُه بنُفوسِنا</w:t>
      </w:r>
      <w:r>
        <w:rPr>
          <w:rStyle w:val="FootnoteAnchor"/>
          <w:rtl w:val="true"/>
        </w:rPr>
        <w:footnoteReference w:id="224"/>
      </w:r>
      <w:r>
        <w:rPr>
          <w:rFonts w:ascii="Amiri" w:hAnsi="Amiri" w:eastAsia="Amiri" w:cs="Amiri"/>
          <w:color w:val="111111"/>
          <w:sz w:val="28"/>
          <w:sz w:val="28"/>
          <w:szCs w:val="28"/>
          <w:rtl w:val="true"/>
          <w:lang w:bidi="ar-SA"/>
        </w:rPr>
        <w:t xml:space="preserve">مِن 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فيَتكامَلُ حُسنُه بالنفعِ الزائدِ مِن غيرِ زيادةٍ عليه، و من شَرطِه أن يَكونَ ذلكَ النفعُ لا يَحصُلُ إلّابتقديمِ هذا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إتعابُ نُفوسِنا بالأسفارِ طَلَباً للأرباحِ و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يَكفي في تَكامُلِ حُسنِه حصولُ النفعِ‌</w:t>
      </w:r>
      <w:r>
        <w:rPr>
          <w:rStyle w:val="FootnoteAnchor"/>
          <w:rtl w:val="true"/>
        </w:rPr>
        <w:footnoteReference w:id="225"/>
      </w:r>
      <w:r>
        <w:rPr>
          <w:rFonts w:ascii="Amiri" w:hAnsi="Amiri" w:eastAsia="Amiri" w:cs="Amiri"/>
          <w:color w:val="111111"/>
          <w:sz w:val="28"/>
          <w:sz w:val="28"/>
          <w:szCs w:val="28"/>
          <w:rtl w:val="true"/>
          <w:lang w:bidi="ar-SA"/>
        </w:rPr>
        <w:t>إمّا معلوماً و إمّا مظنوناً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وجهٍ مِن هذه الوجوهِ التي ذَكرنا أنّ الألَمَ يَحسُنُ عليها</w:t>
      </w:r>
      <w:r>
        <w:rPr>
          <w:rStyle w:val="FootnoteAnchor"/>
          <w:rtl w:val="true"/>
        </w:rPr>
        <w:footnoteReference w:id="226"/>
      </w:r>
      <w:r>
        <w:rPr>
          <w:rFonts w:ascii="Amiri" w:hAnsi="Amiri" w:eastAsia="Amiri" w:cs="Amiri"/>
          <w:color w:val="111111"/>
          <w:sz w:val="28"/>
          <w:sz w:val="28"/>
          <w:szCs w:val="28"/>
          <w:rtl w:val="true"/>
          <w:lang w:bidi="ar-SA"/>
        </w:rPr>
        <w:t>، متىٰ عَرَضَ‌</w:t>
      </w:r>
      <w:r>
        <w:rPr>
          <w:rStyle w:val="FootnoteAnchor"/>
          <w:rtl w:val="true"/>
        </w:rPr>
        <w:footnoteReference w:id="227"/>
      </w:r>
      <w:r>
        <w:rPr>
          <w:rFonts w:ascii="Amiri" w:hAnsi="Amiri" w:eastAsia="Amiri" w:cs="Amiri"/>
          <w:color w:val="111111"/>
          <w:sz w:val="28"/>
          <w:sz w:val="28"/>
          <w:szCs w:val="28"/>
          <w:rtl w:val="true"/>
          <w:lang w:bidi="ar-SA"/>
        </w:rPr>
        <w:t>فيه المَفسَدةُ قَبُحَ لأجلِها؛ لأنّ المَفسَدةَ متىٰ عَرَضَت</w:t>
      </w:r>
      <w:r>
        <w:rPr>
          <w:rStyle w:val="FootnoteAnchor"/>
          <w:rtl w:val="true"/>
        </w:rPr>
        <w:footnoteReference w:id="228"/>
      </w:r>
      <w:r>
        <w:rPr>
          <w:rFonts w:ascii="Amiri" w:hAnsi="Amiri" w:eastAsia="Amiri" w:cs="Amiri"/>
          <w:color w:val="111111"/>
          <w:sz w:val="28"/>
          <w:sz w:val="28"/>
          <w:szCs w:val="28"/>
          <w:rtl w:val="true"/>
          <w:lang w:bidi="ar-SA"/>
        </w:rPr>
        <w:t>غَيَّرَت وجوبَ الواجباتِ كُلِّها، و صارَت لأجلِها قَبيحةً‌</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أن يَكونَ الأمرُ</w:t>
      </w:r>
      <w:r>
        <w:rPr>
          <w:rStyle w:val="FootnoteAnchor"/>
          <w:rtl w:val="true"/>
        </w:rPr>
        <w:footnoteReference w:id="230"/>
      </w:r>
      <w:r>
        <w:rPr>
          <w:rFonts w:ascii="Amiri" w:hAnsi="Amiri" w:eastAsia="Amiri" w:cs="Amiri"/>
          <w:color w:val="111111"/>
          <w:sz w:val="28"/>
          <w:sz w:val="28"/>
          <w:szCs w:val="28"/>
          <w:rtl w:val="true"/>
          <w:lang w:bidi="ar-SA"/>
        </w:rPr>
        <w:t xml:space="preserve">كذلكَ في الوجوهِ‌ </w:t>
      </w:r>
    </w:p>
    <w:p>
      <w:pPr>
        <w:pStyle w:val="BookText"/>
        <w:rPr/>
      </w:pPr>
      <w:r>
        <w:rPr>
          <w:rFonts w:ascii="Amiri" w:hAnsi="Amiri" w:eastAsia="Amiri" w:cs="Amiri"/>
          <w:color w:val="111111"/>
          <w:sz w:val="28"/>
          <w:sz w:val="28"/>
          <w:szCs w:val="28"/>
          <w:rtl w:val="true"/>
          <w:lang w:bidi="ar-SA"/>
        </w:rPr>
        <w:t>التي يَحسُنُ عليها</w:t>
      </w:r>
      <w:r>
        <w:rPr>
          <w:rStyle w:val="FootnoteAnchor"/>
          <w:rtl w:val="true"/>
        </w:rPr>
        <w:footnoteReference w:id="231"/>
      </w:r>
      <w:r>
        <w:rPr>
          <w:rFonts w:ascii="Amiri" w:hAnsi="Amiri" w:eastAsia="Amiri" w:cs="Amiri"/>
          <w:color w:val="111111"/>
          <w:sz w:val="28"/>
          <w:sz w:val="28"/>
          <w:szCs w:val="28"/>
          <w:rtl w:val="true"/>
          <w:lang w:bidi="ar-SA"/>
        </w:rPr>
        <w:t>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232"/>
      </w:r>
      <w:r>
        <w:rPr>
          <w:rFonts w:ascii="Amiri" w:hAnsi="Amiri" w:eastAsia="Amiri" w:cs="Amiri"/>
          <w:color w:val="111111"/>
          <w:sz w:val="28"/>
          <w:sz w:val="28"/>
          <w:szCs w:val="28"/>
          <w:rtl w:val="true"/>
          <w:lang w:bidi="ar-SA"/>
        </w:rPr>
        <w:t>كانَت المَفسَدةُ تُغيِّرُ وجوبَ الواجباتِ‌، فما الذي يؤمِنُكم أن يَكونَ رَدُّ الوَديعةِ أو قَضاءُ الدَّينِ مَفسَدةً في بعضِ الأوقاتِ؟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شَيءٌ مِن ذلكَ‌</w:t>
      </w:r>
      <w:r>
        <w:rPr>
          <w:rStyle w:val="FootnoteAnchor"/>
          <w:rtl w:val="true"/>
        </w:rPr>
        <w:footnoteReference w:id="233"/>
      </w:r>
      <w:r>
        <w:rPr>
          <w:rFonts w:ascii="Amiri" w:hAnsi="Amiri" w:eastAsia="Amiri" w:cs="Amiri"/>
          <w:color w:val="111111"/>
          <w:sz w:val="28"/>
          <w:sz w:val="28"/>
          <w:szCs w:val="28"/>
          <w:rtl w:val="true"/>
          <w:lang w:bidi="ar-SA"/>
        </w:rPr>
        <w:t>مفسَدةً في بعضِ الأوقاتِ‌، لَوَجَبَ علَى اللّٰهِ تَعالىٰ أن يُبيِّنَه لنا و يُميِّزَه؛ فلمّا لَم يَفعَلْ ذلكَ‌، عَلِمنا أنّ جميعَ الأوقاتِ مُتساويةٌ في وجوبِ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بيِّنٌ‌</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6425_221554"/>
      <w:bookmarkStart w:id="116" w:name="pg16425_221554"/>
      <w:bookmarkEnd w:id="116"/>
    </w:p>
    <w:p>
      <w:pPr>
        <w:pStyle w:val="Heading3"/>
        <w:numPr>
          <w:ilvl w:val="2"/>
          <w:numId w:val="1"/>
        </w:numPr>
        <w:rPr/>
      </w:pPr>
      <w:bookmarkStart w:id="117" w:name="pg16425_221554"/>
      <w:bookmarkStart w:id="118" w:name="__RefHeading___Toc7829979_1280447820"/>
      <w:bookmarkStart w:id="119" w:name="_Toc38"/>
      <w:bookmarkEnd w:id="117"/>
      <w:bookmarkEnd w:id="118"/>
      <w:r>
        <w:rPr>
          <w:rtl w:val="true"/>
        </w:rPr>
        <w:t>(</w:t>
      </w:r>
      <w:r>
        <w:rPr/>
        <w:t>42</w:t>
      </w:r>
      <w:r>
        <w:rPr>
          <w:rtl w:val="true"/>
        </w:rPr>
        <w:t xml:space="preserve">) </w:t>
      </w:r>
      <w:r>
        <w:rPr>
          <w:rtl w:val="true"/>
        </w:rPr>
        <w:t>مسألةٌ في سببِ تقديمِ أوَّليّةِ وجوبِ النظرِ على أصلِ وجوبِه</w:t>
      </w:r>
      <w:bookmarkEnd w:id="11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 w:name="__RefHeading___Toc7829981_1280447820"/>
      <w:bookmarkStart w:id="121" w:name="_Toc39"/>
      <w:bookmarkEnd w:id="120"/>
      <w:r>
        <w:rPr>
          <w:rtl w:val="true"/>
        </w:rPr>
        <w:t>اشارة</w:t>
      </w:r>
      <w:bookmarkEnd w:id="12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6425_221556"/>
      <w:bookmarkStart w:id="123" w:name="pg16425_221556"/>
      <w:bookmarkEnd w:id="123"/>
    </w:p>
    <w:p>
      <w:pPr>
        <w:pStyle w:val="Heading4"/>
        <w:numPr>
          <w:ilvl w:val="3"/>
          <w:numId w:val="1"/>
        </w:numPr>
        <w:rPr/>
      </w:pPr>
      <w:bookmarkStart w:id="124" w:name="pg16425_221556"/>
      <w:bookmarkStart w:id="125" w:name="__RefHeading___Toc7829983_1280447820"/>
      <w:bookmarkStart w:id="126" w:name="_Toc40"/>
      <w:bookmarkEnd w:id="124"/>
      <w:bookmarkEnd w:id="125"/>
      <w:r>
        <w:rPr>
          <w:rtl w:val="true"/>
        </w:rPr>
        <w:t>مقدّمة التحقيق</w:t>
      </w:r>
      <w:bookmarkEnd w:id="126"/>
    </w:p>
    <w:p>
      <w:pPr>
        <w:pStyle w:val="Heading5"/>
        <w:numPr>
          <w:ilvl w:val="4"/>
          <w:numId w:val="1"/>
        </w:numPr>
        <w:rPr/>
      </w:pPr>
      <w:bookmarkStart w:id="127" w:name="__RefHeading___Toc7829985_1280447820"/>
      <w:bookmarkStart w:id="128" w:name="_Toc41"/>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تحدّث الشريف المرتضى في هذه المسألة المختصرة عن مسألة ترتيب الأبحاث الكلاميّة، و تقدُّم بعضها على الآخر؛ فإنّ المُلاحَظ في كتب الكلام أنّهم عند طرح بحث النظر في معرفة اللّٰه تعالى يقدّمون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أوّل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البحث عن أصل وجوب النظر، مع أنّ المفروض أنْ يكون الأمر بالعكس؛ فإنّ الترتيب المنطقي يقتضي في البداية إثبات أنّ النظر واجب، ثمّ البحث عن أنّه أوّل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 هذا الإشكال بأنّ الوجوب و الأوّلية صفتان من صفات النظر، فيمكن تقديم أيّ واحد منهما على الآخر، و ليس بينهما أيّ ترتيب 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الجواب لم يكن مقبولاً عند الشريف المرتضى؛ لأنّ كون النظر أوّل الواجبات يتضمّن إثبات أنّه أوّل واجب، و لا يمكن إثبات أنّه أوّل واجب قبل إثبات أنّه واجب، فينبغي على أيّ حال تقديم البحث عن وجوبه على أوّليته، و ذلك لتعلّق الأوّلية بالوجوب و ترتّبها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أخذ بالتأمّل و التفكير في جواب آخر عن المسألة، فتوصّل إلى الجواب التالي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إثبات وجوب النظر يتوقّف على إثبات مجموعة من المعارف الكلاميّة، مثل وجوب معرفة اللّٰه تعالى، و أنّ العلم باستحقاق الثواب و العقاب على الطاعة و فعل القبيح متوقّف على معرفة اللّٰه تعالى، و لذلك تحتّم تأخير البحث عن النظر حتّى </w:t>
      </w:r>
    </w:p>
    <w:p>
      <w:pPr>
        <w:pStyle w:val="BookText"/>
        <w:rPr/>
      </w:pPr>
      <w:r>
        <w:rPr>
          <w:rFonts w:ascii="Amiri" w:hAnsi="Amiri" w:eastAsia="Amiri" w:cs="Amiri"/>
          <w:color w:val="111111"/>
          <w:sz w:val="28"/>
          <w:sz w:val="28"/>
          <w:szCs w:val="28"/>
          <w:rtl w:val="true"/>
          <w:lang w:bidi="ar-SA"/>
        </w:rPr>
        <w:t>تثبت تلك المعارف، بينما البحث عن أوّليّة وجوب النظر يمكن البحث عنه من دون الإحالة على بحوث كلاميّة مطوّلة، و لذلك أمكن تقديمه في البداية، و التسليم بوجوبه موقّتاً حتّى يأتي موضع البحث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الجواب إنّما هو في الحقيقة تبرير لسبب تقديم بحث أوّليّة النظر على وجوبه في الكتب الكلاميّة، و لا يريد الشريف المرتضى بهذا البيان أن يثبت أنّ بحث الأوّليّة متقدّم على بحث الوجوب تقدّماً منطقيّاً، فإنّ الإشكال المتقدّم ما زال قائماً على الرغم من هذا الجواب، فإنّ بحث الوجوب سوف يبقى متقدّماً تقدّماً منطقيّاً على بحث الأوّلية، و إنّما كلّ ما أراده من وراء هذا الجواب هو التماس العذر لِمَا فعله المتكلّمون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الجدير بالذكر أنّ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في مقدّمة كتابه تمهيد الأُصول إلى الفكرة التي طرحها الشريف المرتضى في هذه الرسالة، حيث قال في عبارة نذكرها بطولها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جُمل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في حدوث الأجسام دون ذكر أوّل ما يجب على المكلّف من النظر حسب ما ذكره في الذخيرة و الملخّص لعلّة صحيحة؛ لأنّ الكلام في أنّ النظر واجب و أنّ اللّٰه تعالى أوجب عليه معرفته فرعٌ على العلم بكونه مكلَّفاً، و هو لا يمكنه أن يَعرف أنّه مكلّف إلاّ بعد معرفة اللّٰه تعالى و توحيده و عدله، و أنّه إذا جعله على صفات مخصوصة فلا بدّ أن يكلّفه، و إلّاكان قبيحاً، و أنّه إذا كلّفه فلا بدّ من أن يكون قد أوجب عليه النظر في طريق معرفته، و أنّه أوّل واجب أوجبه عليه، و هذا يتأخر على ما ترى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ذكر الشيوخ في أوّل المختصرات ذلك؛ تأنيساً للمبتدئ، و حثّاً له على النظر؛ لكي إذا نظر و عرف صحّة ذلك فيما بعد، بَانَ له أنّ الأمر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أذكرُ فصلاً مختصراً في أوّل الكتاب على ما جرت به العادة، و على ما ذكره في الذخيرة و </w:t>
      </w:r>
      <w:bookmarkStart w:id="129" w:name="pg16425_221558"/>
    </w:p>
    <w:p>
      <w:pPr>
        <w:pStyle w:val="BookText"/>
        <w:rPr/>
      </w:pPr>
      <w:bookmarkEnd w:id="129"/>
      <w:r>
        <w:rPr>
          <w:rFonts w:ascii="Amiri" w:hAnsi="Amiri" w:eastAsia="Amiri" w:cs="Amiri"/>
          <w:color w:val="111111"/>
          <w:sz w:val="28"/>
          <w:sz w:val="28"/>
          <w:szCs w:val="28"/>
          <w:rtl w:val="true"/>
          <w:lang w:bidi="ar-SA"/>
        </w:rPr>
        <w:t>الملخّص، و أذكرُ قبل الشروع في أنّ النظر أوّل واجب بيانَ حقيقة الواجب، و الفرقَ بينه و بين غيره من أقسام الأفعال، ثمّ أُبيّن أنّ النظر واجب، و أُبيّن بعده أنّه أوّل واجب فرعٌ على العلم بأنّه واجب، و أذكرُ من ذلك جُمَلاً يُنتفع بها، و أتركُ استيفاءه إلى انتهائنا إلى الكلام في المعارف</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الواضح أنّ الشيخ الطوسي قد نقل هنا فكرة الشريف المرتضى المطروحة في الرسالة التي بين أيدينا، و لعلّه كان حاضراً في مجلس إملاء المرتضى لها؛ و لكن كما أشرنا آنفاً من أنّ جواب الشريف المرتضى في الرسالة محلّ البحث ليس حلاًّ للإشكال المتقدّم حول عدم منطقيّة تقديم بحث أوّليّة وجوب النظر على وجوبه؛ بل هو تبرير و التماس عذرٍ للمتكلّمين الذين فعلوا ذلك، و لذلك نرى أنّ الشيخ الطوسي قرّر متابعة الطريقة المنطقيّة في كتابه، و تقديم بحث وجوب النظر على أوّليّته، كما أشار إلى ذلك في نهاية كلامه</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7829987_1280447820"/>
      <w:bookmarkStart w:id="131" w:name="_Toc42"/>
      <w:bookmarkEnd w:id="130"/>
      <w:r>
        <w:rPr>
          <w:rtl w:val="true"/>
        </w:rPr>
        <w:t>عنوان الرسالة</w:t>
      </w:r>
      <w:bookmarkEnd w:id="131"/>
    </w:p>
    <w:p>
      <w:pPr>
        <w:pStyle w:val="BookText"/>
        <w:rPr/>
      </w:pPr>
      <w:r>
        <w:rPr>
          <w:rFonts w:ascii="Amiri" w:hAnsi="Amiri" w:eastAsia="Amiri" w:cs="Amiri"/>
          <w:color w:val="111111"/>
          <w:sz w:val="28"/>
          <w:sz w:val="28"/>
          <w:szCs w:val="28"/>
          <w:rtl w:val="true"/>
          <w:lang w:bidi="ar-SA"/>
        </w:rPr>
        <w:t xml:space="preserve">لقد طبعت هذه الرسالة في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قبل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واضح؛ فما هو المقصود بالدلالة‌؟ إلّاأن يُراد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عن أوّليّة النظر قبل الدلالة على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فلا يخرج العنوان من كونه غامضاً و مبهماً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طبعت في ضمن مسائل المرتضى،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الواجبات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العنوان أجنبي تقريباً عن البحث، فإنّ الرسالة لا تريد إثبات أنّ النظر أوّل الواجبات، بل تريد بيان سبب تقديم هذا البحث علىٰ وجوب النظر في الكتب الكلاميّة</w:t>
      </w:r>
      <w:r>
        <w:rPr>
          <w:rFonts w:eastAsia="Amiri" w:cs="Amiri" w:ascii="Amiri" w:hAnsi="Amiri"/>
          <w:color w:val="111111"/>
          <w:sz w:val="28"/>
          <w:szCs w:val="28"/>
          <w:rtl w:val="true"/>
          <w:lang w:bidi="ar-SA"/>
        </w:rPr>
        <w:t xml:space="preserve">. </w:t>
      </w:r>
      <w:bookmarkStart w:id="132" w:name="pg16425_221559"/>
    </w:p>
    <w:p>
      <w:pPr>
        <w:pStyle w:val="BookText"/>
        <w:rPr/>
      </w:pPr>
      <w:bookmarkEnd w:id="132"/>
      <w:r>
        <w:rPr>
          <w:rFonts w:ascii="Amiri" w:hAnsi="Amiri" w:eastAsia="Amiri" w:cs="Amiri"/>
          <w:color w:val="111111"/>
          <w:sz w:val="28"/>
          <w:sz w:val="28"/>
          <w:szCs w:val="28"/>
          <w:rtl w:val="true"/>
          <w:lang w:bidi="ar-SA"/>
        </w:rPr>
        <w:t>إذن الأفضل اختيار عنوان أكثر تعبيراً،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تقديم أوّليّة وجوب النظر على أصل وجوبه</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7829989_1280447820"/>
      <w:bookmarkStart w:id="134" w:name="_Toc43"/>
      <w:bookmarkEnd w:id="133"/>
      <w:r>
        <w:rPr>
          <w:rtl w:val="true"/>
        </w:rPr>
        <w:t>مخطوطات الرسالة</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6425_221562"/>
      <w:bookmarkStart w:id="136" w:name="pg16425_221562"/>
      <w:bookmarkEnd w:id="136"/>
    </w:p>
    <w:p>
      <w:pPr>
        <w:pStyle w:val="BookText"/>
        <w:rPr/>
      </w:pPr>
      <w:bookmarkStart w:id="137" w:name="pg16425_221562"/>
      <w:bookmarkEnd w:id="137"/>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7829991_1280447820"/>
      <w:bookmarkStart w:id="139" w:name="_Toc44"/>
      <w:bookmarkEnd w:id="138"/>
      <w:r>
        <w:rPr>
          <w:rtl w:val="true"/>
        </w:rPr>
        <w:t>مسألةٌ في سببِ تقديمِ أوَّليّةِ وجوبِ النظرِ على أصلِ وجوبِه</w:t>
      </w:r>
      <w:bookmarkEnd w:id="139"/>
    </w:p>
    <w:p>
      <w:pPr>
        <w:pStyle w:val="BookText"/>
        <w:rPr/>
      </w:pPr>
      <w:r>
        <w:rPr>
          <w:rFonts w:ascii="Amiri" w:hAnsi="Amiri" w:eastAsia="Amiri" w:cs="Amiri"/>
          <w:color w:val="111111"/>
          <w:sz w:val="28"/>
          <w:sz w:val="28"/>
          <w:szCs w:val="28"/>
          <w:rtl w:val="true"/>
          <w:lang w:bidi="ar-SA"/>
        </w:rPr>
        <w:t>مسألةٌ في سببِ تقديمِ أوَّليّةِ وجوبِ النظرِ على أصلِ وجوبِه</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عادةَ الشيوخِ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ذَكروا في كُتُبِهم أنّ أوّلَ‌</w:t>
      </w:r>
      <w:r>
        <w:rPr>
          <w:rStyle w:val="FootnoteAnchor"/>
          <w:rtl w:val="true"/>
        </w:rPr>
        <w:footnoteReference w:id="236"/>
      </w:r>
      <w:r>
        <w:rPr>
          <w:rFonts w:ascii="Amiri" w:hAnsi="Amiri" w:eastAsia="Amiri" w:cs="Amiri"/>
          <w:color w:val="111111"/>
          <w:sz w:val="28"/>
          <w:sz w:val="28"/>
          <w:szCs w:val="28"/>
          <w:rtl w:val="true"/>
          <w:lang w:bidi="ar-SA"/>
        </w:rPr>
        <w:t xml:space="preserve">الواجباتِ النَّظَرُ في طَريقِ مَعرفةِ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يَبتَدِئوا بالدلالةِ علىٰ‌</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النظَرِ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الدلالةِ علىٰ وجوبِه، و الظاهرُ يَقتَضي العكسَ فيما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يَجوزُ أن يَكونَ الوجهُ في ذلكَ أنّ كَونَ النظَرِ أوّلاً</w:t>
      </w:r>
      <w:r>
        <w:rPr>
          <w:rStyle w:val="FootnoteAnchor"/>
          <w:rtl w:val="true"/>
        </w:rPr>
        <w:footnoteReference w:id="238"/>
      </w:r>
      <w:r>
        <w:rPr>
          <w:rFonts w:ascii="Amiri" w:hAnsi="Amiri" w:eastAsia="Amiri" w:cs="Amiri"/>
          <w:color w:val="111111"/>
          <w:sz w:val="28"/>
          <w:sz w:val="28"/>
          <w:szCs w:val="28"/>
          <w:rtl w:val="true"/>
          <w:lang w:bidi="ar-SA"/>
        </w:rPr>
        <w:t>لا سابقاً و كَونَه واجباً صِفتانِ له،</w:t>
      </w:r>
      <w:r>
        <w:rPr>
          <w:rStyle w:val="FootnoteAnchor"/>
          <w:rtl w:val="true"/>
        </w:rPr>
        <w:footnoteReference w:id="239"/>
      </w:r>
      <w:r>
        <w:rPr>
          <w:rFonts w:ascii="Amiri" w:hAnsi="Amiri" w:eastAsia="Amiri" w:cs="Amiri"/>
          <w:color w:val="111111"/>
          <w:sz w:val="28"/>
          <w:sz w:val="28"/>
          <w:szCs w:val="28"/>
          <w:rtl w:val="true"/>
          <w:lang w:bidi="ar-SA"/>
        </w:rPr>
        <w:t>و أنتَ بالخِيارِ في تقديمِ كُلِّ واحدةٍ علَى الأُخرىٰ‌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دعوىٰ وجوبِه و أوّليّتِه، و لَيسَ يُمكِنُ أن يُعلَمَ أنّه أوّلُ الواجباتِ إلّاو قد عُلِمَ وجوبُه، و يُمكِنُ أن يُعلَمَ‌</w:t>
      </w:r>
      <w:r>
        <w:rPr>
          <w:rStyle w:val="FootnoteAnchor"/>
          <w:rtl w:val="true"/>
        </w:rPr>
        <w:footnoteReference w:id="240"/>
      </w:r>
      <w:r>
        <w:rPr>
          <w:rFonts w:ascii="IRNazanin" w:hAnsi="IRNazanin" w:eastAsia="IRNazanin"/>
          <w:color w:val="111111"/>
          <w:sz w:val="28"/>
          <w:sz w:val="28"/>
          <w:szCs w:val="28"/>
          <w:rtl w:val="true"/>
          <w:lang w:bidi="fa-IR"/>
        </w:rPr>
        <w:t xml:space="preserve">واجباً و إن لم </w:t>
      </w:r>
    </w:p>
    <w:p>
      <w:pPr>
        <w:pStyle w:val="BookText"/>
        <w:rPr/>
      </w:pPr>
      <w:r>
        <w:rPr>
          <w:rFonts w:ascii="Amiri" w:hAnsi="Amiri" w:eastAsia="Amiri" w:cs="Amiri"/>
          <w:color w:val="111111"/>
          <w:sz w:val="28"/>
          <w:sz w:val="28"/>
          <w:szCs w:val="28"/>
          <w:rtl w:val="true"/>
          <w:lang w:bidi="ar-SA"/>
        </w:rPr>
        <w:t>يُعلَمْ‌</w:t>
      </w:r>
      <w:r>
        <w:rPr>
          <w:rStyle w:val="FootnoteAnchor"/>
          <w:rtl w:val="true"/>
        </w:rPr>
        <w:footnoteReference w:id="241"/>
      </w:r>
      <w:r>
        <w:rPr>
          <w:rFonts w:ascii="Amiri" w:hAnsi="Amiri" w:eastAsia="Amiri" w:cs="Amiri"/>
          <w:color w:val="111111"/>
          <w:sz w:val="28"/>
          <w:sz w:val="28"/>
          <w:szCs w:val="28"/>
          <w:rtl w:val="true"/>
          <w:lang w:bidi="ar-SA"/>
        </w:rPr>
        <w:t>سابقاً للواجباتِ‌</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فوَجَبَ لذلكَ تقديمُ الكلامِ في وجوبِه علَى الكلامِ‌</w:t>
      </w:r>
      <w:r>
        <w:rPr>
          <w:rStyle w:val="FootnoteAnchor"/>
          <w:rtl w:val="true"/>
        </w:rPr>
        <w:footnoteReference w:id="243"/>
      </w:r>
      <w:r>
        <w:rPr>
          <w:rFonts w:ascii="Amiri" w:hAnsi="Amiri" w:eastAsia="Amiri" w:cs="Amiri"/>
          <w:color w:val="111111"/>
          <w:sz w:val="28"/>
          <w:sz w:val="28"/>
          <w:szCs w:val="28"/>
          <w:rtl w:val="true"/>
          <w:lang w:bidi="ar-SA"/>
        </w:rPr>
        <w:t>في أوّليّتِه؛ لانفصالِ الوجوبِ مِن الأوّليّةِ‌، و تَعلُّقِ الأوّليةِ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فَكَّرتُ في جِهةِ العُذرِ</w:t>
      </w:r>
      <w:r>
        <w:rPr>
          <w:rStyle w:val="FootnoteAnchor"/>
          <w:rtl w:val="true"/>
        </w:rPr>
        <w:footnoteReference w:id="244"/>
      </w:r>
      <w:r>
        <w:rPr>
          <w:rFonts w:ascii="Amiri" w:hAnsi="Amiri" w:eastAsia="Amiri" w:cs="Amiri"/>
          <w:color w:val="111111"/>
          <w:sz w:val="28"/>
          <w:sz w:val="28"/>
          <w:szCs w:val="28"/>
          <w:rtl w:val="true"/>
          <w:lang w:bidi="ar-SA"/>
        </w:rPr>
        <w:t>في ذلكَ‌، لَم أَجِدْ إلّاما أنا ذاكرهُ‌؛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الدلالةَ علىٰ وجوبِ النظَرِ مَبنيّةٌ علىٰ وجوبِ مَعرِفةِ اللّٰهِ تَعالىٰ‌، و مَعرِفةَ اللّٰهِ تَعالىٰ مَبنيّةٌ علىٰ أنّ اللطفَ في فعلِ الواجباتِ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Style w:val="FootnoteAnchor"/>
          <w:rtl w:val="true"/>
        </w:rPr>
        <w:footnoteReference w:id="245"/>
      </w:r>
      <w:r>
        <w:rPr>
          <w:rFonts w:ascii="Amiri" w:hAnsi="Amiri" w:eastAsia="Amiri" w:cs="Amiri"/>
          <w:color w:val="111111"/>
          <w:sz w:val="28"/>
          <w:sz w:val="28"/>
          <w:szCs w:val="28"/>
          <w:rtl w:val="true"/>
          <w:lang w:bidi="ar-SA"/>
        </w:rPr>
        <w:t xml:space="preserve">العِلمُ باستحقاقِ الثوابِ و العِقابِ علَى الطاعاتِ و القَبائحِ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إلّابمَعرِفةِ اللّٰهِ تَعالىٰ‌، و مَبنيٌّ علىٰ أنّ اللطفَ واجبٌ علَى اللّٰهِ تَعالىٰ إذا كانَ مِن فعلِه، و إذا كانَ مِن فعلِنا فواجبٌ عليه أن يوجِبَه</w:t>
      </w:r>
      <w:r>
        <w:rPr>
          <w:rStyle w:val="FootnoteAnchor"/>
          <w:rtl w:val="true"/>
        </w:rPr>
        <w:footnoteReference w:id="246"/>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العِلمُ بوجوبِ النظَرِ في مَعرِفةِ اللّٰهِ تَعالىٰ لا يَتِمُّ إلّابَعدَ مَعارِفَ كَثيرةٍ طَويلةٍ لا يُمكِنُ ذِكرُها إلّاعلىٰ تدريجٍ و 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فبُدئَ بالدلالةِ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 وجوبِه؛ لأنّه ممّا يُمكِنُ‌</w:t>
      </w:r>
      <w:r>
        <w:rPr>
          <w:rStyle w:val="FootnoteAnchor"/>
          <w:rtl w:val="true"/>
        </w:rPr>
        <w:footnoteReference w:id="247"/>
      </w:r>
      <w:r>
        <w:rPr>
          <w:rFonts w:ascii="Amiri" w:hAnsi="Amiri" w:eastAsia="Amiri" w:cs="Amiri"/>
          <w:color w:val="111111"/>
          <w:sz w:val="28"/>
          <w:sz w:val="28"/>
          <w:szCs w:val="28"/>
          <w:rtl w:val="true"/>
          <w:lang w:bidi="ar-SA"/>
        </w:rPr>
        <w:t>أن يُدَلَّ عليه عاجِلاً، مِن غيرِ حَوالةٍ علىٰ ما يَطولُ مِن أُصولٍ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أخَّروا الكلامَ في وجوبِه؛ لِما ذَكرناه</w:t>
      </w:r>
      <w:r>
        <w:rPr>
          <w:rStyle w:val="FootnoteAnchor"/>
          <w:rtl w:val="true"/>
        </w:rPr>
        <w:footnoteReference w:id="248"/>
      </w:r>
      <w:r>
        <w:rPr>
          <w:rFonts w:ascii="Amiri" w:hAnsi="Amiri" w:eastAsia="Amiri" w:cs="Amiri"/>
          <w:color w:val="111111"/>
          <w:sz w:val="28"/>
          <w:sz w:val="28"/>
          <w:szCs w:val="28"/>
          <w:rtl w:val="true"/>
          <w:lang w:bidi="ar-SA"/>
        </w:rPr>
        <w:t>مِن تَعلُّقِه بما</w:t>
      </w:r>
      <w:r>
        <w:rPr>
          <w:rStyle w:val="FootnoteAnchor"/>
          <w:rtl w:val="true"/>
        </w:rPr>
        <w:footnoteReference w:id="249"/>
      </w:r>
      <w:r>
        <w:rPr>
          <w:rFonts w:ascii="Amiri" w:hAnsi="Amiri" w:eastAsia="Amiri" w:cs="Amiri"/>
          <w:color w:val="111111"/>
          <w:sz w:val="28"/>
          <w:sz w:val="28"/>
          <w:szCs w:val="28"/>
          <w:rtl w:val="true"/>
          <w:lang w:bidi="ar-SA"/>
        </w:rPr>
        <w:t xml:space="preserve">لا يُمكِنُ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140" w:name="pg16425_221564"/>
    </w:p>
    <w:p>
      <w:pPr>
        <w:pStyle w:val="Heading3"/>
        <w:numPr>
          <w:ilvl w:val="2"/>
          <w:numId w:val="1"/>
        </w:numPr>
        <w:rPr/>
      </w:pPr>
      <w:bookmarkStart w:id="141" w:name="__RefHeading___Toc7829993_1280447820"/>
      <w:bookmarkStart w:id="142" w:name="_Toc45"/>
      <w:bookmarkEnd w:id="140"/>
      <w:bookmarkEnd w:id="141"/>
      <w:r>
        <w:rPr>
          <w:rtl w:val="true"/>
        </w:rPr>
        <w:t>(</w:t>
      </w:r>
      <w:r>
        <w:rPr/>
        <w:t>43</w:t>
      </w:r>
      <w:r>
        <w:rPr>
          <w:rtl w:val="true"/>
        </w:rPr>
        <w:t xml:space="preserve">) </w:t>
      </w:r>
      <w:r>
        <w:rPr>
          <w:rtl w:val="true"/>
        </w:rPr>
        <w:t xml:space="preserve">مسألة في أنّ الجسمَ لَم يَكُن </w:t>
      </w:r>
      <w:r>
        <w:rPr>
          <w:rtl w:val="true"/>
        </w:rPr>
        <w:t>«</w:t>
      </w:r>
      <w:r>
        <w:rPr>
          <w:rtl w:val="true"/>
        </w:rPr>
        <w:t>كائناً</w:t>
      </w:r>
      <w:r>
        <w:rPr>
          <w:rtl w:val="true"/>
        </w:rPr>
        <w:t xml:space="preserve">» </w:t>
      </w:r>
      <w:r>
        <w:rPr>
          <w:rtl w:val="true"/>
        </w:rPr>
        <w:t>بالفاعلِ‌</w:t>
      </w:r>
      <w:bookmarkEnd w:id="1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7829995_1280447820"/>
      <w:bookmarkStart w:id="144" w:name="_Toc46"/>
      <w:bookmarkEnd w:id="143"/>
      <w:r>
        <w:rPr>
          <w:rtl w:val="true"/>
        </w:rPr>
        <w:t>اشارة</w:t>
      </w:r>
      <w:bookmarkEnd w:id="1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6425_221566"/>
      <w:bookmarkStart w:id="146" w:name="pg16425_221566"/>
      <w:bookmarkEnd w:id="146"/>
    </w:p>
    <w:p>
      <w:pPr>
        <w:pStyle w:val="Heading4"/>
        <w:numPr>
          <w:ilvl w:val="3"/>
          <w:numId w:val="1"/>
        </w:numPr>
        <w:rPr/>
      </w:pPr>
      <w:bookmarkStart w:id="147" w:name="pg16425_221566"/>
      <w:bookmarkStart w:id="148" w:name="__RefHeading___Toc7829997_1280447820"/>
      <w:bookmarkStart w:id="149" w:name="_Toc47"/>
      <w:bookmarkEnd w:id="147"/>
      <w:bookmarkEnd w:id="148"/>
      <w:r>
        <w:rPr>
          <w:rtl w:val="true"/>
        </w:rPr>
        <w:t>مقدّمة التحقيق</w:t>
      </w:r>
      <w:bookmarkEnd w:id="149"/>
    </w:p>
    <w:p>
      <w:pPr>
        <w:pStyle w:val="Heading5"/>
        <w:numPr>
          <w:ilvl w:val="4"/>
          <w:numId w:val="1"/>
        </w:numPr>
        <w:rPr/>
      </w:pPr>
      <w:bookmarkStart w:id="150" w:name="__RefHeading___Toc7829999_1280447820"/>
      <w:bookmarkStart w:id="151" w:name="_Toc48"/>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وجّه المتكلّمون اهتمامهم إلى بعض الأبحاث الدقيقة، و التي تسمّى بلطيف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هذه الأبحاث ما أثاره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كبار معتزلة بغداد، حيث أخذ يتأمّل في الأشياء، و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أدّى إلى أن يتحرّك هذا الجسم إلى جهة دون أُخرى‌؟ و لماذا صار ذاك الجسم أسود لا أبيض‌؟ و غير ذلك من التساؤلات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البحث توصّل إلى النظريّة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معنى في الجسم هو الذي أدّى إلى توجّه الجسم إلى جهة معيّنة، أو أن يتلوّن بلون معيّن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ذلك أخذ أبو هاشم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النظريّة، و طوّرها، و استدلّ عليها، و قلّل من إشكالاتها، فكان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آمن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أخذ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نقوم بتحريك جسم أو تسكينه، و يحصل التحرّك أو السكون، هل نفعل شيئاً آخر أو لا؟ أجاب أبو هاشم بأنّنا نفعل شيئاً آخر، و ذلك الشيء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 للتحرّك و السكون، و هذا المعنى هو الذي يقوم بالتحريك و التسكين، أي أنّ الفاعل لا يفعل التحريك و التسكين مباشرة، بل يفعلهما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سمّى أبو هاشم هذا المعنى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فالفاعل يفعل معنى الكون، و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يقوم بالتحريك و التسكين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بحسب ما يؤدّي إليه، فإن أدّى إلى التحريك 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أدّى إلى التسكين 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أنّ الكون هو ما يؤدّي إلى أن يكون الجسم في جهة أو حيّز، فإن أدّى إلى انتقال الجسم من جهة إلى أُخرى، 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أدّى إلى بقاء الجسم في نفس الجهة في أكثر من زمان، 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أدّى إلى اقتراب جسم نحو جهة جسم آخر، 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أدّى إلى ابتعاد جسم من جهة جسم آخر، سمّي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عدّة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تؤدّي إلى التحريك،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يؤدّي إلى التسكين،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أو 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تؤدّي إلى اجتماع جسمين،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يؤدّي إلى مفارقة بين جسمين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 السكون، و الاجتماع، و الافتراق، يؤدّي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التحريك، و التسكين، و الاجتماع، و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فالفاعل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الكون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يمكن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الجسم ليس كائناً بالفاعل مباشرة، بل كائن بالكون الذي يفعله الفاعل</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و هو المُشار إليه في عنوان الرسالة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تبنّى الشريف المرتضى هذه النظريّة، و ذهب إلى أنّ الجسم ليس كائناً بالفاعل، و استدلّ عليه في هذه الرسالة بدليل جديد، وصفه بأنّه لم يُسبق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كالتالي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الجسم كائناً بالفاعل مباشرة، أي لو كان الفاعل هو الذي يفعل التحريك و التسكين مباشرة من دون 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أن يكون الذي يفعل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إحدى صفات الفاعل لا ذاته؛ لأنّ الذات لا تؤثّر في كون الجسم على صفة، إذن لا </w:t>
      </w:r>
    </w:p>
    <w:p>
      <w:pPr>
        <w:pStyle w:val="BookText"/>
        <w:rPr/>
      </w:pPr>
      <w:r>
        <w:rPr>
          <w:rFonts w:ascii="Amiri" w:hAnsi="Amiri" w:eastAsia="Amiri" w:cs="Amiri"/>
          <w:color w:val="111111"/>
          <w:sz w:val="28"/>
          <w:sz w:val="28"/>
          <w:szCs w:val="28"/>
          <w:rtl w:val="true"/>
          <w:lang w:bidi="ar-SA"/>
        </w:rPr>
        <w:t>بدّ أن يكون المؤثّر هو إحدى صفات الفاعل، و تلك الصفة المؤثّرة هي إمّا كون الفاعل قادراً، أو كونه مريداً أو 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تكون هي الثاني، أي كونه مريداً أو كارهاً؛ لأنّ الجسم قد ينتقل و يتحرّك من دون أن يكون الفاعل مريداً أو كارهاً، كالنائم الذي يحرّك الأجسام مع كونه خالياً من الإرادة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فيبقى الأوّل، و هو أنّ الصفة المؤثّرة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الفاعل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أيضاً لا يمكن أن يكون هو المؤثّر في الانتقال و التحريك و الكائنيّة؛ لأنّ القدرة لا تؤثّر إلّافي إحداث الأفعال دون سائر الصفات، فإن كونه قادراً لا يؤثر مثلاً في كون الفعل مُحكماً، أو في كون الصوت خبراً أو أمراً، و إنّما لا بدّ من توفّر صفات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كونه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الفعل مُحكماً، أو يتّصف الصوت بالخبريّة أو الأمريّة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كونه قادراً لم يؤثر في اتّصاف الجسم بالكائنيّة، و بذلك بطل أن يكون الجسم كائناً بالفاعل، فلا بدّ أن يكون كائناً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يفعله الفاعل، و ذلك المعنى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لقد آمن الشريف المرتضى بنظريّة أبي هاشم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أضاف إليها هنا دليلاً جديداً لم يتنبّه إليه أصحاب النظريّة أنفسهم، كما قام في المسألة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إبطال أحد الأدلّة على كون الصفة بالفاعل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بإبطال أحد أدلّة أبي هاشم على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أنّه عندما كان يؤمن بنظريّة مّا، فإنّه لم يكن يكرّر ما قاله أصحابها؛ بل كان يتأمّل فيها، و يهذّبها، و يضيف إليها، و يرفع نواقصها ممّا يؤدّي إلى إثرائها، و إضافة شيء جديد لها</w:t>
      </w:r>
      <w:r>
        <w:rPr>
          <w:rFonts w:eastAsia="Amiri" w:cs="Amiri" w:ascii="Amiri" w:hAnsi="Amiri"/>
          <w:color w:val="111111"/>
          <w:sz w:val="28"/>
          <w:szCs w:val="28"/>
          <w:rtl w:val="true"/>
          <w:lang w:bidi="ar-SA"/>
        </w:rPr>
        <w:t xml:space="preserve">. </w:t>
      </w:r>
      <w:bookmarkStart w:id="152" w:name="pg16425_221569"/>
    </w:p>
    <w:p>
      <w:pPr>
        <w:pStyle w:val="Heading5"/>
        <w:numPr>
          <w:ilvl w:val="4"/>
          <w:numId w:val="1"/>
        </w:numPr>
        <w:rPr/>
      </w:pPr>
      <w:bookmarkStart w:id="153" w:name="__RefHeading___Toc7830001_1280447820"/>
      <w:bookmarkStart w:id="154" w:name="_Toc49"/>
      <w:bookmarkEnd w:id="152"/>
      <w:bookmarkEnd w:id="153"/>
      <w:r>
        <w:rPr>
          <w:rtl w:val="true"/>
        </w:rPr>
        <w:t>عنوان الرسالة</w:t>
      </w:r>
      <w:bookmarkEnd w:id="154"/>
    </w:p>
    <w:p>
      <w:pPr>
        <w:pStyle w:val="BookText"/>
        <w:rPr/>
      </w:pPr>
      <w:r>
        <w:rPr>
          <w:rFonts w:ascii="Amiri" w:hAnsi="Amiri" w:eastAsia="Amiri" w:cs="Amiri"/>
          <w:color w:val="111111"/>
          <w:sz w:val="28"/>
          <w:sz w:val="28"/>
          <w:szCs w:val="28"/>
          <w:rtl w:val="true"/>
          <w:lang w:bidi="ar-SA"/>
        </w:rPr>
        <w:t xml:space="preserve">طبعت هذه الرسالة في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الجسم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معنى مناسب، و قد اتّضح معناه من خلال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طبعت في ضمن مسائل المرتضى،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الجسم مع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المقصود بالصفة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هذا العنوان مجمل و غير معبّر عن مضمون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فالأرجح هو العنوان الأوّل</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7830003_1280447820"/>
      <w:bookmarkStart w:id="156" w:name="_Toc50"/>
      <w:bookmarkEnd w:id="155"/>
      <w:r>
        <w:rPr>
          <w:rtl w:val="true"/>
        </w:rPr>
        <w:t>مخطوطات الرسالة</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10005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6425_221572"/>
      <w:bookmarkStart w:id="158" w:name="pg16425_221572"/>
      <w:bookmarkEnd w:id="158"/>
    </w:p>
    <w:p>
      <w:pPr>
        <w:pStyle w:val="Heading4"/>
        <w:numPr>
          <w:ilvl w:val="3"/>
          <w:numId w:val="1"/>
        </w:numPr>
        <w:rPr/>
      </w:pPr>
      <w:bookmarkStart w:id="159" w:name="pg16425_221572"/>
      <w:bookmarkStart w:id="160" w:name="__RefHeading___Toc7830005_1280447820"/>
      <w:bookmarkStart w:id="161" w:name="_Toc51"/>
      <w:bookmarkEnd w:id="159"/>
      <w:bookmarkEnd w:id="160"/>
      <w:r>
        <w:rPr>
          <w:rtl w:val="true"/>
        </w:rPr>
        <w:t xml:space="preserve">مسألة في أنّ الجسمَ لَم يَكُن </w:t>
      </w:r>
      <w:r>
        <w:rPr>
          <w:rtl w:val="true"/>
        </w:rPr>
        <w:t>«</w:t>
      </w:r>
      <w:r>
        <w:rPr>
          <w:rtl w:val="true"/>
        </w:rPr>
        <w:t>كائناً</w:t>
      </w:r>
      <w:r>
        <w:rPr>
          <w:rtl w:val="true"/>
        </w:rPr>
        <w:t xml:space="preserve">» </w:t>
      </w:r>
      <w:r>
        <w:rPr>
          <w:rtl w:val="true"/>
        </w:rPr>
        <w:t>بالفاعلِ‌</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خَرَجَت في شَهرِ</w:t>
      </w:r>
      <w:r>
        <w:rPr>
          <w:rStyle w:val="FootnoteAnchor"/>
          <w:rtl w:val="true"/>
        </w:rPr>
        <w:footnoteReference w:id="253"/>
      </w:r>
      <w:r>
        <w:rPr>
          <w:rFonts w:ascii="Amiri" w:hAnsi="Amiri" w:eastAsia="Amiri" w:cs="Amiri"/>
          <w:color w:val="111111"/>
          <w:sz w:val="28"/>
          <w:sz w:val="28"/>
          <w:szCs w:val="28"/>
          <w:rtl w:val="true"/>
          <w:lang w:bidi="ar-SA"/>
        </w:rPr>
        <w:t>رَبيعٍ الأوّلِ سَنةَ سَبعٍ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لَم نُسبَقْ إليه</w:t>
      </w:r>
      <w:r>
        <w:rPr>
          <w:rStyle w:val="FootnoteAnchor"/>
          <w:rtl w:val="true"/>
        </w:rPr>
        <w:footnoteReference w:id="254"/>
      </w:r>
      <w:r>
        <w:rPr>
          <w:rFonts w:ascii="Amiri" w:hAnsi="Amiri" w:eastAsia="Amiri" w:cs="Amiri"/>
          <w:color w:val="111111"/>
          <w:sz w:val="28"/>
          <w:sz w:val="28"/>
          <w:szCs w:val="28"/>
          <w:rtl w:val="true"/>
          <w:lang w:bidi="ar-SA"/>
        </w:rPr>
        <w:t>علىٰ أنّ الجسمَ لَم يَكُ‌</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بالفاعلِ‌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بالفاعلِ لَوَجَبَ أن يَكونَ المؤثِّرُ</w:t>
      </w:r>
      <w:r>
        <w:rPr>
          <w:rStyle w:val="FootnoteAnchor"/>
          <w:rtl w:val="true"/>
        </w:rPr>
        <w:footnoteReference w:id="256"/>
      </w:r>
      <w:r>
        <w:rPr>
          <w:rFonts w:ascii="Amiri" w:hAnsi="Amiri" w:eastAsia="Amiri" w:cs="Amiri"/>
          <w:color w:val="111111"/>
          <w:sz w:val="28"/>
          <w:sz w:val="28"/>
          <w:szCs w:val="28"/>
          <w:rtl w:val="true"/>
          <w:lang w:bidi="ar-SA"/>
        </w:rPr>
        <w:t>في هذه الصفةِ صفةً‌</w:t>
      </w:r>
      <w:r>
        <w:rPr>
          <w:rStyle w:val="FootnoteAnchor"/>
          <w:rtl w:val="true"/>
        </w:rPr>
        <w:footnoteReference w:id="257"/>
      </w:r>
      <w:r>
        <w:rPr>
          <w:rFonts w:ascii="Amiri" w:hAnsi="Amiri" w:eastAsia="Amiri" w:cs="Amiri"/>
          <w:color w:val="111111"/>
          <w:sz w:val="28"/>
          <w:sz w:val="28"/>
          <w:szCs w:val="28"/>
          <w:rtl w:val="true"/>
          <w:lang w:bidi="ar-SA"/>
        </w:rPr>
        <w:t>مِن صِفاتِ الفاعلِ‌؛ لأنّ‌</w:t>
      </w:r>
      <w:r>
        <w:rPr>
          <w:rStyle w:val="FootnoteAnchor"/>
          <w:rtl w:val="true"/>
        </w:rPr>
        <w:footnoteReference w:id="258"/>
      </w:r>
      <w:r>
        <w:rPr>
          <w:rFonts w:ascii="Amiri" w:hAnsi="Amiri" w:eastAsia="Amiri" w:cs="Amiri"/>
          <w:color w:val="111111"/>
          <w:sz w:val="28"/>
          <w:sz w:val="28"/>
          <w:szCs w:val="28"/>
          <w:rtl w:val="true"/>
          <w:lang w:bidi="ar-SA"/>
        </w:rPr>
        <w:t>ذاتَ الفاعلِ لا يَجوزُ أن تؤثِّرَ</w:t>
      </w:r>
      <w:r>
        <w:rPr>
          <w:rStyle w:val="FootnoteAnchor"/>
          <w:rtl w:val="true"/>
        </w:rPr>
        <w:footnoteReference w:id="259"/>
      </w:r>
      <w:r>
        <w:rPr>
          <w:rFonts w:ascii="Amiri" w:hAnsi="Amiri" w:eastAsia="Amiri" w:cs="Amiri"/>
          <w:color w:val="111111"/>
          <w:sz w:val="28"/>
          <w:sz w:val="28"/>
          <w:szCs w:val="28"/>
          <w:rtl w:val="true"/>
          <w:lang w:bidi="ar-SA"/>
        </w:rPr>
        <w:t>في كَونِ الجسمِ علىٰ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أن تَكونَ‌</w:t>
      </w:r>
      <w:r>
        <w:rPr>
          <w:rStyle w:val="FootnoteAnchor"/>
          <w:rtl w:val="true"/>
        </w:rPr>
        <w:footnoteReference w:id="260"/>
      </w:r>
      <w:r>
        <w:rPr>
          <w:rFonts w:ascii="Amiri" w:hAnsi="Amiri" w:eastAsia="Amiri" w:cs="Amiri"/>
          <w:color w:val="111111"/>
          <w:sz w:val="28"/>
          <w:sz w:val="28"/>
          <w:szCs w:val="28"/>
          <w:rtl w:val="true"/>
          <w:lang w:bidi="ar-SA"/>
        </w:rPr>
        <w:t>تلكَ‌</w:t>
      </w:r>
      <w:r>
        <w:rPr>
          <w:rStyle w:val="FootnoteAnchor"/>
          <w:rtl w:val="true"/>
        </w:rPr>
        <w:footnoteReference w:id="261"/>
      </w:r>
      <w:r>
        <w:rPr>
          <w:rFonts w:ascii="Amiri" w:hAnsi="Amiri" w:eastAsia="Amiri" w:cs="Amiri"/>
          <w:color w:val="111111"/>
          <w:sz w:val="28"/>
          <w:sz w:val="28"/>
          <w:szCs w:val="28"/>
          <w:rtl w:val="true"/>
          <w:lang w:bidi="ar-SA"/>
        </w:rPr>
        <w:t>الصفةُ المؤثِّرةُ هي كَونَ الفاعلِ قادراً، أو كَونَه مُريداً و كارهاً،</w:t>
      </w:r>
      <w:r>
        <w:rPr>
          <w:rStyle w:val="FootnoteAnchor"/>
          <w:rtl w:val="true"/>
        </w:rPr>
        <w:footnoteReference w:id="262"/>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يَجعَلُ‌</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 الصفتَينِ مؤثِّرتَينِ في كَونِ الخبرِ و الأمرِ علىٰ ما هُما عليه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لا يَجوزُ أن يؤثِّرَ في كَونِ الجسمِ كائناً في الحادثاتِ‌</w:t>
      </w:r>
      <w:r>
        <w:rPr>
          <w:rStyle w:val="FootnoteAnchor"/>
          <w:rtl w:val="true"/>
        </w:rPr>
        <w:footnoteReference w:id="265"/>
      </w:r>
      <w:r>
        <w:rPr>
          <w:rFonts w:ascii="Amiri" w:hAnsi="Amiri" w:eastAsia="Amiri" w:cs="Amiri"/>
          <w:color w:val="111111"/>
          <w:sz w:val="28"/>
          <w:sz w:val="28"/>
          <w:szCs w:val="28"/>
          <w:rtl w:val="true"/>
          <w:lang w:bidi="ar-SA"/>
        </w:rPr>
        <w:t>كَونُ الفاعلِ مُريداً أو كارهاً أو صفةٌ مِن صِفاتِه غيرُ كَونِه قادراً؛ لأنّه قد يَعرىٰ مِن</w:t>
      </w:r>
      <w:r>
        <w:rPr>
          <w:rStyle w:val="FootnoteAnchor"/>
          <w:rtl w:val="true"/>
        </w:rPr>
        <w:footnoteReference w:id="266"/>
      </w:r>
      <w:r>
        <w:rPr>
          <w:rFonts w:ascii="Amiri" w:hAnsi="Amiri" w:eastAsia="Amiri" w:cs="Amiri"/>
          <w:color w:val="111111"/>
          <w:sz w:val="28"/>
          <w:sz w:val="28"/>
          <w:szCs w:val="28"/>
          <w:rtl w:val="true"/>
          <w:lang w:bidi="ar-SA"/>
        </w:rPr>
        <w:t>هذه الصفاتِ كُلِّها، و يَجعَلُ الجسمَ كائناً و مُتحرِّكاً و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النائمَ و الساهيَ قد يَخلُوانِ‌</w:t>
      </w:r>
      <w:r>
        <w:rPr>
          <w:rStyle w:val="FootnoteAnchor"/>
          <w:rtl w:val="true"/>
        </w:rPr>
        <w:footnoteReference w:id="267"/>
      </w:r>
      <w:r>
        <w:rPr>
          <w:rFonts w:ascii="Amiri" w:hAnsi="Amiri" w:eastAsia="Amiri" w:cs="Amiri"/>
          <w:color w:val="111111"/>
          <w:sz w:val="28"/>
          <w:sz w:val="28"/>
          <w:szCs w:val="28"/>
          <w:rtl w:val="true"/>
          <w:lang w:bidi="ar-SA"/>
        </w:rPr>
        <w:t>مِن الإرادةِ و الكَراهةِ و العلومِ‌، و مع هذا يَجعَلانِ الأجسامَ مُنتَقِلةً‌</w:t>
      </w:r>
      <w:r>
        <w:rPr>
          <w:rStyle w:val="FootnoteAnchor"/>
          <w:rtl w:val="true"/>
        </w:rPr>
        <w:footnoteReference w:id="268"/>
      </w:r>
      <w:r>
        <w:rPr>
          <w:rFonts w:ascii="Amiri" w:hAnsi="Amiri" w:eastAsia="Amiri" w:cs="Amiri"/>
          <w:color w:val="111111"/>
          <w:sz w:val="28"/>
          <w:sz w:val="28"/>
          <w:szCs w:val="28"/>
          <w:rtl w:val="true"/>
          <w:lang w:bidi="ar-SA"/>
        </w:rPr>
        <w:t>في الحادثاتِ‌</w:t>
      </w:r>
      <w:r>
        <w:rPr>
          <w:rStyle w:val="FootnoteAnchor"/>
          <w:rtl w:val="true"/>
        </w:rPr>
        <w:footnoteReference w:id="269"/>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أنَّ التأثيرَ بكَونِه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قادراً صفةٌ مؤثِّرةٌ في الإحداثِ‌؛ فيَجِبُ أن لا يؤثِّرَ سِواه</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كَونَه قادراً لا يؤثِّرُ في كَونِ الفعلِ مُحكَماً، و لا في كَونِ الصوتِ خبراً و أمراً؛ مِن حَيثُ‌</w:t>
      </w:r>
      <w:r>
        <w:rPr>
          <w:rStyle w:val="FootnoteAnchor"/>
          <w:rtl w:val="true"/>
        </w:rPr>
        <w:footnoteReference w:id="271"/>
      </w:r>
      <w:r>
        <w:rPr>
          <w:rFonts w:ascii="Amiri" w:hAnsi="Amiri" w:eastAsia="Amiri" w:cs="Amiri"/>
          <w:color w:val="111111"/>
          <w:sz w:val="28"/>
          <w:sz w:val="28"/>
          <w:szCs w:val="28"/>
          <w:rtl w:val="true"/>
          <w:lang w:bidi="ar-SA"/>
        </w:rPr>
        <w:t>كانَت هذه كُلُّها أحوالاً زائدةً علَى الإحداثِ؟ فيَجِبُ أن لا</w:t>
      </w:r>
      <w:r>
        <w:rPr>
          <w:rStyle w:val="FootnoteAnchor"/>
          <w:rtl w:val="true"/>
        </w:rPr>
        <w:footnoteReference w:id="272"/>
      </w:r>
      <w:r>
        <w:rPr>
          <w:rFonts w:ascii="Amiri" w:hAnsi="Amiri" w:eastAsia="Amiri" w:cs="Amiri"/>
          <w:color w:val="111111"/>
          <w:sz w:val="28"/>
          <w:sz w:val="28"/>
          <w:szCs w:val="28"/>
          <w:rtl w:val="true"/>
          <w:lang w:bidi="ar-SA"/>
        </w:rPr>
        <w:t>يؤثِّرَ كَونُه قادراً في كَونِ الجسمِ كائناً؛ لِما ذَكرناه</w:t>
      </w:r>
      <w:r>
        <w:rPr>
          <w:rFonts w:eastAsia="Amiri" w:cs="Amiri" w:ascii="Amiri" w:hAnsi="Amiri"/>
          <w:color w:val="111111"/>
          <w:sz w:val="28"/>
          <w:szCs w:val="28"/>
          <w:rtl w:val="true"/>
          <w:lang w:bidi="ar-SA"/>
        </w:rPr>
        <w:t xml:space="preserve">. </w:t>
      </w:r>
      <w:bookmarkStart w:id="162" w:name="pg16425_221574"/>
    </w:p>
    <w:p>
      <w:pPr>
        <w:pStyle w:val="Heading3"/>
        <w:numPr>
          <w:ilvl w:val="2"/>
          <w:numId w:val="1"/>
        </w:numPr>
        <w:rPr/>
      </w:pPr>
      <w:bookmarkStart w:id="163" w:name="__RefHeading___Toc7830007_1280447820"/>
      <w:bookmarkStart w:id="164" w:name="_Toc52"/>
      <w:bookmarkEnd w:id="162"/>
      <w:bookmarkEnd w:id="163"/>
      <w:r>
        <w:rPr>
          <w:rtl w:val="true"/>
        </w:rPr>
        <w:t>(</w:t>
      </w:r>
      <w:r>
        <w:rPr/>
        <w:t>44</w:t>
      </w:r>
      <w:r>
        <w:rPr>
          <w:rtl w:val="true"/>
        </w:rPr>
        <w:t xml:space="preserve">) </w:t>
      </w:r>
      <w:r>
        <w:rPr>
          <w:rtl w:val="true"/>
        </w:rPr>
        <w:t>مسألةٌ في إبطالِ أحدِ الأدلَّةِ على كونِ الصِّفةِ بالفاعلِ‌</w:t>
      </w:r>
      <w:bookmarkEnd w:id="16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 w:name="__RefHeading___Toc7830009_1280447820"/>
      <w:bookmarkStart w:id="166" w:name="_Toc53"/>
      <w:bookmarkEnd w:id="165"/>
      <w:r>
        <w:rPr>
          <w:rtl w:val="true"/>
        </w:rPr>
        <w:t>اشارة</w:t>
      </w:r>
      <w:bookmarkEnd w:id="16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6425_221576"/>
      <w:bookmarkStart w:id="168" w:name="pg16425_221576"/>
      <w:bookmarkEnd w:id="168"/>
    </w:p>
    <w:p>
      <w:pPr>
        <w:pStyle w:val="Heading4"/>
        <w:numPr>
          <w:ilvl w:val="3"/>
          <w:numId w:val="1"/>
        </w:numPr>
        <w:rPr/>
      </w:pPr>
      <w:bookmarkStart w:id="169" w:name="pg16425_221576"/>
      <w:bookmarkStart w:id="170" w:name="__RefHeading___Toc7830011_1280447820"/>
      <w:bookmarkStart w:id="171" w:name="_Toc54"/>
      <w:bookmarkEnd w:id="169"/>
      <w:bookmarkEnd w:id="170"/>
      <w:r>
        <w:rPr>
          <w:rtl w:val="true"/>
        </w:rPr>
        <w:t>مقدّمة التحقيق</w:t>
      </w:r>
      <w:bookmarkEnd w:id="171"/>
    </w:p>
    <w:p>
      <w:pPr>
        <w:pStyle w:val="Heading5"/>
        <w:numPr>
          <w:ilvl w:val="4"/>
          <w:numId w:val="1"/>
        </w:numPr>
        <w:rPr/>
      </w:pPr>
      <w:bookmarkStart w:id="172" w:name="__RefHeading___Toc7830013_1280447820"/>
      <w:bookmarkStart w:id="173" w:name="_Toc55"/>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 xml:space="preserve">استدلّ أبو هاشم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كالتحريك و 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من تأثير الفاعل مباشرة، و إنّما هي من تأثير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صفة الكائنيّة و الانتقال من تأثير الفاعل، للزم أن يقدر الفاعل على كلّ الصفات الأُخرى؛ فمَن يقدر على جعل الذات على صفة، يكون قادراً على جعلها على صفات أُخرى؛ فإنّ مَن يقدر مثلاً على جعل الصوت خبراً، يكون قادراً على جعله أمراً أو نهياً أو غير ذلك؛ فإذا صحّ هذا الأمر، و كان الجسم كائناً و منتقلاً بالفاعل، لكان أسود و أبيض أيضاً بالفاعل؛ لأنّ هذه كلّها صفات للجسم، فإذا قدر على بعضها قدر على جميعها، و بما أنّ الفاعل لا يقدر على جعل الجسم أسود و أبيض، فهو غير قادر أيضاً على إعطاء صفة الكائنيّة و الانتقال للجسم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رفض الشريف المرتضى هذا الاستدلال الذي أقامه أبو هاشم، على الرغم من إيمانه بنظريّة أنّ اتّصاف الجسم بالكائنيّة و الانتقال ليس بالفاعل، بل من خلال معنى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استدلّ الشريف المرتضى على هذه النظريّة بدليل من إ بداعه الشخصي، ذكره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لم يكن كائناً بالفاعل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رفض هنا صحّة استدلال أبي هاشم فقط، لا أنّه رفض أصل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تحدّثنا حول هذه النظريّة في مقدّمة الرسالة المُشار إليها آنفاً</w:t>
      </w:r>
      <w:r>
        <w:rPr>
          <w:rFonts w:eastAsia="Amiri" w:cs="Amiri" w:ascii="Amiri" w:hAnsi="Amiri"/>
          <w:color w:val="111111"/>
          <w:sz w:val="28"/>
          <w:szCs w:val="28"/>
          <w:rtl w:val="true"/>
          <w:lang w:bidi="ar-SA"/>
        </w:rPr>
        <w:t xml:space="preserve">. </w:t>
      </w:r>
      <w:bookmarkStart w:id="174" w:name="pg16425_221577"/>
    </w:p>
    <w:p>
      <w:pPr>
        <w:pStyle w:val="BookText"/>
        <w:rPr/>
      </w:pPr>
      <w:bookmarkEnd w:id="174"/>
      <w:r>
        <w:rPr>
          <w:rFonts w:ascii="Amiri" w:hAnsi="Amiri" w:eastAsia="Amiri" w:cs="Amiri"/>
          <w:color w:val="111111"/>
          <w:sz w:val="28"/>
          <w:sz w:val="28"/>
          <w:szCs w:val="28"/>
          <w:rtl w:val="true"/>
          <w:lang w:bidi="ar-SA"/>
        </w:rPr>
        <w:t>و أمّا إشكال الشريف المرتضى على استدلال أبي هاشم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من أن يكون الانتقال و الكائنيّة بالفاعل، و يكون السواد و البياض بالمعنى أو العلّة‌؟ فإذا كان كذلك بطل الاستدلال من أساسه، كما أنّ مجرّد احتمال ذلك يُبطل الاستدلال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إذا كانت كيفيّة استحقاقها واحدة لم يصحّ أن يكون استحقاقها من علل مختلفة، فإذا كان السواد و البياض بمعنىٰ فكذلك الانتقال يجب أن يكون بمعنى لا بالفاعل؛ لأنّ كيفيّة استحقاق الجميع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في كيفيّة الاستحقاق إنّما يُثبت أنّ الصفة ليس ذاتيّة، فإنّ المراد بكيفيّة الاستحقاق هو أنّ استحقاق الذات للصفة هل هو علىٰ وجه الوجوب أو الجواز و الإمكان‌؟ و بما أنّ كيفيّة استحقاق السواد و البياض و الانتقال هي الجواز و الإمكان، دلّ ذلك علىٰ أنّ الاستحقاق ليس ذاتيّاً لا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جاز أن يختلف علل الاستحقاق، فيكون استحقاق بعض الصفات بمعنى، و بعضها بالفاعل</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7830015_1280447820"/>
      <w:bookmarkStart w:id="176" w:name="_Toc56"/>
      <w:bookmarkEnd w:id="175"/>
      <w:r>
        <w:rPr>
          <w:rtl w:val="true"/>
        </w:rPr>
        <w:t>عنوان الرسالة</w:t>
      </w:r>
      <w:bookmarkEnd w:id="176"/>
    </w:p>
    <w:p>
      <w:pPr>
        <w:pStyle w:val="BookText"/>
        <w:rPr/>
      </w:pPr>
      <w:r>
        <w:rPr>
          <w:rFonts w:ascii="Amiri" w:hAnsi="Amiri" w:eastAsia="Amiri" w:cs="Amiri"/>
          <w:color w:val="111111"/>
          <w:sz w:val="28"/>
          <w:sz w:val="28"/>
          <w:szCs w:val="28"/>
          <w:rtl w:val="true"/>
          <w:lang w:bidi="ar-SA"/>
        </w:rPr>
        <w:t xml:space="preserve">طبعت هذه الرسالة في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كون الصفة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دقيق؛ لأنّ الشريف المرتضى لا يريد في هذه الرسالة إثبات نظريّة عدم كون الصفة بالفاعل، و إنّما يريد إبطال أحد الأدلّة التي أُقيمت على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طبعت في ضمن مسائل المرتضى،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الصفة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بالصفة هي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الكائنيّة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العنوان خاطئ؛ لأنّ الشريف المرتضى كان يؤمن بعدم كون صفة الكائنيّة بالفاعل، و استدلّ عليها كما تقدّم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تسمية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إبطال أحد الأدلّة على كون الصفة بالفاعل</w:t>
      </w:r>
      <w:r>
        <w:rPr>
          <w:rFonts w:eastAsia="Amiri" w:cs="Amiri" w:ascii="Amiri" w:hAnsi="Amiri"/>
          <w:color w:val="111111"/>
          <w:sz w:val="28"/>
          <w:szCs w:val="28"/>
          <w:rtl w:val="true"/>
          <w:lang w:bidi="ar-SA"/>
        </w:rPr>
        <w:t xml:space="preserve">». </w:t>
      </w:r>
      <w:bookmarkStart w:id="177" w:name="pg16425_221578"/>
    </w:p>
    <w:p>
      <w:pPr>
        <w:pStyle w:val="Heading5"/>
        <w:numPr>
          <w:ilvl w:val="4"/>
          <w:numId w:val="1"/>
        </w:numPr>
        <w:rPr/>
      </w:pPr>
      <w:bookmarkStart w:id="178" w:name="__RefHeading___Toc7830017_1280447820"/>
      <w:bookmarkStart w:id="179" w:name="_Toc57"/>
      <w:bookmarkEnd w:id="177"/>
      <w:bookmarkEnd w:id="178"/>
      <w:r>
        <w:rPr>
          <w:rtl w:val="true"/>
        </w:rPr>
        <w:t>مخطوطات الرسالة</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6425_221580"/>
      <w:bookmarkStart w:id="181" w:name="pg16425_221580"/>
      <w:bookmarkEnd w:id="181"/>
    </w:p>
    <w:p>
      <w:pPr>
        <w:pStyle w:val="Heading4"/>
        <w:numPr>
          <w:ilvl w:val="3"/>
          <w:numId w:val="1"/>
        </w:numPr>
        <w:rPr/>
      </w:pPr>
      <w:bookmarkStart w:id="182" w:name="pg16425_221580"/>
      <w:bookmarkStart w:id="183" w:name="__RefHeading___Toc7830019_1280447820"/>
      <w:bookmarkStart w:id="184" w:name="_Toc58"/>
      <w:bookmarkEnd w:id="182"/>
      <w:bookmarkEnd w:id="183"/>
      <w:r>
        <w:rPr>
          <w:rtl w:val="true"/>
        </w:rPr>
        <w:t>مسألةٌ في إبطالِ أحدِ الأدلَّةِ على كونِ الصِّفةِ بالفاعلِ‌</w:t>
      </w:r>
      <w:bookmarkEnd w:id="184"/>
    </w:p>
    <w:p>
      <w:pPr>
        <w:pStyle w:val="BookText"/>
        <w:rPr/>
      </w:pPr>
      <w:r>
        <w:rPr>
          <w:rFonts w:ascii="Amiri" w:hAnsi="Amiri" w:eastAsia="Amiri" w:cs="Amiri"/>
          <w:color w:val="111111"/>
          <w:sz w:val="28"/>
          <w:sz w:val="28"/>
          <w:szCs w:val="28"/>
          <w:rtl w:val="true"/>
          <w:lang w:bidi="ar-SA"/>
        </w:rPr>
        <w:t>مسألةٌ في إبطالِ أحدِ الأدلَّةِ على كونِ الصِّفةِ بالفاعلِ‌</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w:t>
      </w:r>
      <w:r>
        <w:rPr>
          <w:rStyle w:val="FootnoteAnchor"/>
          <w:rtl w:val="true"/>
        </w:rPr>
        <w:footnoteReference w:id="275"/>
      </w:r>
      <w:r>
        <w:rPr>
          <w:rFonts w:ascii="Amiri" w:hAnsi="Amiri" w:eastAsia="Amiri" w:cs="Amiri"/>
          <w:color w:val="111111"/>
          <w:sz w:val="28"/>
          <w:sz w:val="28"/>
          <w:szCs w:val="28"/>
          <w:rtl w:val="true"/>
          <w:lang w:bidi="ar-SA"/>
        </w:rPr>
        <w:t>مَن مَنَعَ مِن كَونِ الصفةِ بالفاعلِ‌،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بالفاعلِ لَكانَ متىٰ‌</w:t>
      </w:r>
      <w:r>
        <w:rPr>
          <w:rStyle w:val="FootnoteAnchor"/>
          <w:rtl w:val="true"/>
        </w:rPr>
        <w:footnoteReference w:id="276"/>
      </w:r>
      <w:r>
        <w:rPr>
          <w:rFonts w:ascii="Amiri" w:hAnsi="Amiri" w:eastAsia="Amiri" w:cs="Amiri"/>
          <w:color w:val="111111"/>
          <w:sz w:val="28"/>
          <w:sz w:val="28"/>
          <w:szCs w:val="28"/>
          <w:rtl w:val="true"/>
          <w:lang w:bidi="ar-SA"/>
        </w:rPr>
        <w:t>قُدِرَ علىٰ جَعلِ الذاتِ علىٰ صفةٍ قُدِرَ علىٰ جَعلِها علىٰ كُلِّ صفةٍ‌</w:t>
      </w:r>
      <w:r>
        <w:rPr>
          <w:rStyle w:val="FootnoteAnchor"/>
          <w:rtl w:val="true"/>
        </w:rPr>
        <w:footnoteReference w:id="277"/>
      </w:r>
      <w:r>
        <w:rPr>
          <w:rFonts w:ascii="Amiri" w:hAnsi="Amiri" w:eastAsia="Amiri" w:cs="Amiri"/>
          <w:color w:val="111111"/>
          <w:sz w:val="28"/>
          <w:sz w:val="28"/>
          <w:szCs w:val="28"/>
          <w:rtl w:val="true"/>
          <w:lang w:bidi="ar-SA"/>
        </w:rPr>
        <w:t>يَكونُ عليها 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مَن قَدَرَ مِنّا علىٰ‌</w:t>
      </w:r>
      <w:r>
        <w:rPr>
          <w:rStyle w:val="FootnoteAnchor"/>
          <w:rtl w:val="true"/>
        </w:rPr>
        <w:footnoteReference w:id="278"/>
      </w:r>
      <w:r>
        <w:rPr>
          <w:rFonts w:ascii="Amiri" w:hAnsi="Amiri" w:eastAsia="Amiri" w:cs="Amiri"/>
          <w:color w:val="111111"/>
          <w:sz w:val="28"/>
          <w:sz w:val="28"/>
          <w:szCs w:val="28"/>
          <w:rtl w:val="true"/>
          <w:lang w:bidi="ar-SA"/>
        </w:rPr>
        <w:t>جَعلِ الصوتِ خبراً فهو قادرٌ علىٰ أن يَجعَلَه أمراً و نَهياً و خبراً عن كُلِّ مُخبَرٍ عنه؛ مِن حَيثُ كانَت هذه الصفاتُ أجمَعَ بالفاعلِ؟ فلَو كانَ الجسمُ مُنتَقِلاً بالفاعلِ‌</w:t>
      </w:r>
      <w:r>
        <w:rPr>
          <w:rStyle w:val="FootnoteAnchor"/>
          <w:rtl w:val="true"/>
        </w:rPr>
        <w:footnoteReference w:id="279"/>
      </w:r>
      <w:r>
        <w:rPr>
          <w:rFonts w:ascii="Amiri" w:hAnsi="Amiri" w:eastAsia="Amiri" w:cs="Amiri"/>
          <w:color w:val="111111"/>
          <w:sz w:val="28"/>
          <w:sz w:val="28"/>
          <w:szCs w:val="28"/>
          <w:rtl w:val="true"/>
          <w:lang w:bidi="ar-SA"/>
        </w:rPr>
        <w:t>لَكانَ كَونُه أسوَدَ و أبيَضَ بالفاعلِ‌؛ لأنّ الطريقَ واحدٌ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الدليلُ مُعتَرَضٌ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يَكونَ انتقالُه بالفاعلِ و كَونُه </w:t>
      </w:r>
    </w:p>
    <w:p>
      <w:pPr>
        <w:pStyle w:val="BookText"/>
        <w:rPr/>
      </w:pPr>
      <w:r>
        <w:rPr>
          <w:rFonts w:ascii="Amiri" w:hAnsi="Amiri" w:eastAsia="Amiri" w:cs="Amiri"/>
          <w:color w:val="111111"/>
          <w:sz w:val="28"/>
          <w:sz w:val="28"/>
          <w:szCs w:val="28"/>
          <w:rtl w:val="true"/>
          <w:lang w:bidi="ar-SA"/>
        </w:rPr>
        <w:t>أسوَدَ و أبيَضَ بمعنىً؟ لأنّ الصفاتِ التي تَجوزُ علَى الذاتِ يَنقَسِمُ‌</w:t>
      </w:r>
      <w:r>
        <w:rPr>
          <w:rStyle w:val="FootnoteAnchor"/>
          <w:rtl w:val="true"/>
        </w:rPr>
        <w:footnoteReference w:id="280"/>
      </w:r>
      <w:r>
        <w:rPr>
          <w:rFonts w:ascii="Amiri" w:hAnsi="Amiri" w:eastAsia="Amiri" w:cs="Amiri"/>
          <w:color w:val="111111"/>
          <w:sz w:val="28"/>
          <w:sz w:val="28"/>
          <w:szCs w:val="28"/>
          <w:rtl w:val="true"/>
          <w:lang w:bidi="ar-SA"/>
        </w:rPr>
        <w:t>استنادُها؛ فتارةً تَستَنِدُ إلىٰ عِلّةٍ‌</w:t>
      </w:r>
      <w:r>
        <w:rPr>
          <w:rStyle w:val="FootnoteAnchor"/>
          <w:rtl w:val="true"/>
        </w:rPr>
        <w:footnoteReference w:id="281"/>
      </w:r>
      <w:r>
        <w:rPr>
          <w:rFonts w:ascii="Amiri" w:hAnsi="Amiri" w:eastAsia="Amiri" w:cs="Amiri"/>
          <w:color w:val="111111"/>
          <w:sz w:val="28"/>
          <w:sz w:val="28"/>
          <w:szCs w:val="28"/>
          <w:rtl w:val="true"/>
          <w:lang w:bidi="ar-SA"/>
        </w:rPr>
        <w:t>، و تارةً تَستَنِدُ</w:t>
      </w:r>
      <w:r>
        <w:rPr>
          <w:rStyle w:val="FootnoteAnchor"/>
          <w:rtl w:val="true"/>
        </w:rPr>
        <w:footnoteReference w:id="282"/>
      </w:r>
      <w:r>
        <w:rPr>
          <w:rFonts w:ascii="Amiri" w:hAnsi="Amiri" w:eastAsia="Amiri" w:cs="Amiri"/>
          <w:color w:val="111111"/>
          <w:sz w:val="28"/>
          <w:sz w:val="28"/>
          <w:szCs w:val="28"/>
          <w:rtl w:val="true"/>
          <w:lang w:bidi="ar-SA"/>
        </w:rPr>
        <w:t>إلَى الفاعلِ‌؛ فما الذي يَمنَعُ مِن</w:t>
      </w:r>
      <w:r>
        <w:rPr>
          <w:rStyle w:val="FootnoteAnchor"/>
          <w:rtl w:val="true"/>
        </w:rPr>
        <w:footnoteReference w:id="283"/>
      </w:r>
      <w:r>
        <w:rPr>
          <w:rFonts w:ascii="Amiri" w:hAnsi="Amiri" w:eastAsia="Amiri" w:cs="Amiri"/>
          <w:color w:val="111111"/>
          <w:sz w:val="28"/>
          <w:sz w:val="28"/>
          <w:szCs w:val="28"/>
          <w:rtl w:val="true"/>
          <w:lang w:bidi="ar-SA"/>
        </w:rPr>
        <w:t>استنادِ الانتقالِ إلَى الفاعلِ‌، و السوادِ و البياضِ إلَى العِلّةِ؟ و إذا كُنّا نُجوِّزُ ذلكَ لَم يُمكِنِ‌</w:t>
      </w:r>
      <w:r>
        <w:rPr>
          <w:rStyle w:val="FootnoteAnchor"/>
          <w:rtl w:val="true"/>
        </w:rPr>
        <w:footnoteReference w:id="284"/>
      </w:r>
      <w:r>
        <w:rPr>
          <w:rFonts w:ascii="Amiri" w:hAnsi="Amiri" w:eastAsia="Amiri" w:cs="Amiri"/>
          <w:color w:val="111111"/>
          <w:sz w:val="28"/>
          <w:sz w:val="28"/>
          <w:szCs w:val="28"/>
          <w:rtl w:val="true"/>
          <w:lang w:bidi="ar-SA"/>
        </w:rPr>
        <w:t>القَطعُ علىٰ أنّ السوادَ إذا كانَ لعِلّةٍ كانَ الانتقالُ كذلكَ‌</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لَيسَ‌ يَعصِمُ مِن هذا السؤالِ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الصفتَينِ إذا كانَت كَيفيّةُ استحقاقِهما واحدةً لَم يَجُز أن يَكونا مُستَحَقَّينِ مِن وجهَينِ مُختَلِفَينِ‌؛ فلمّا كانَ الجسمُ يَستَحِقُّ كَونَه أسوَدَ كَما</w:t>
      </w:r>
      <w:r>
        <w:rPr>
          <w:rStyle w:val="FootnoteAnchor"/>
          <w:rtl w:val="true"/>
        </w:rPr>
        <w:footnoteReference w:id="286"/>
      </w:r>
      <w:r>
        <w:rPr>
          <w:rFonts w:ascii="Amiri" w:hAnsi="Amiri" w:eastAsia="Amiri" w:cs="Amiri"/>
          <w:color w:val="111111"/>
          <w:sz w:val="28"/>
          <w:sz w:val="28"/>
          <w:szCs w:val="28"/>
          <w:rtl w:val="true"/>
          <w:lang w:bidi="ar-SA"/>
        </w:rPr>
        <w:t xml:space="preserve">يَستَحِقُّ كَونَه مُنتَقِلاً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الصحّةِ و الجوازِ و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متىٰ كانَت هذه الصفةُ بالفاعلِ أن تَكونَ الأُخرىٰ كذلكَ‌، و إن كانَت لمعنىً‌</w:t>
      </w:r>
      <w:r>
        <w:rPr>
          <w:rStyle w:val="FootnoteAnchor"/>
          <w:rtl w:val="true"/>
        </w:rPr>
        <w:footnoteReference w:id="287"/>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الاشتراكَ‌</w:t>
      </w:r>
      <w:r>
        <w:rPr>
          <w:rStyle w:val="FootnoteAnchor"/>
          <w:rtl w:val="true"/>
        </w:rPr>
        <w:footnoteReference w:id="288"/>
      </w:r>
      <w:r>
        <w:rPr>
          <w:rFonts w:ascii="Amiri" w:hAnsi="Amiri" w:eastAsia="Amiri" w:cs="Amiri"/>
          <w:color w:val="111111"/>
          <w:sz w:val="28"/>
          <w:sz w:val="28"/>
          <w:szCs w:val="28"/>
          <w:rtl w:val="true"/>
          <w:lang w:bidi="ar-SA"/>
        </w:rPr>
        <w:t>في كَيفيّةِ الاستحقاقِ‌</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حصولُ الصفةِ علىٰ وجهِ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Style w:val="FootnoteAnchor"/>
          <w:rtl w:val="true"/>
        </w:rPr>
        <w:footnoteReference w:id="290"/>
      </w:r>
      <w:r>
        <w:rPr>
          <w:rFonts w:ascii="Amiri" w:hAnsi="Amiri" w:eastAsia="Amiri" w:cs="Amiri"/>
          <w:color w:val="111111"/>
          <w:sz w:val="28"/>
          <w:sz w:val="28"/>
          <w:szCs w:val="28"/>
          <w:rtl w:val="true"/>
          <w:lang w:bidi="ar-SA"/>
        </w:rPr>
        <w:t xml:space="preserve">يَدُلُّ علىٰ أنّ الصفةَ لَيسَت للنفسِ‌؛ فإذا انتَفىٰ بالاشتراكِ في هذه الكَيفيّةِ كَونُ‌ </w:t>
      </w:r>
    </w:p>
    <w:p>
      <w:pPr>
        <w:pStyle w:val="BookText"/>
        <w:rPr/>
      </w:pPr>
      <w:r>
        <w:rPr>
          <w:rFonts w:ascii="Amiri" w:hAnsi="Amiri" w:eastAsia="Amiri" w:cs="Amiri"/>
          <w:color w:val="111111"/>
          <w:sz w:val="28"/>
          <w:sz w:val="28"/>
          <w:szCs w:val="28"/>
          <w:rtl w:val="true"/>
          <w:lang w:bidi="ar-SA"/>
        </w:rPr>
        <w:t>الصفةِ مُستَنِدةً إلَى النفسِ‌، و انقَسَمَ بَعدَ</w:t>
      </w:r>
      <w:r>
        <w:rPr>
          <w:rStyle w:val="FootnoteAnchor"/>
          <w:rtl w:val="true"/>
        </w:rPr>
        <w:footnoteReference w:id="291"/>
      </w:r>
      <w:r>
        <w:rPr>
          <w:rFonts w:ascii="Amiri" w:hAnsi="Amiri" w:eastAsia="Amiri" w:cs="Amiri"/>
          <w:color w:val="111111"/>
          <w:sz w:val="28"/>
          <w:sz w:val="28"/>
          <w:szCs w:val="28"/>
          <w:rtl w:val="true"/>
          <w:lang w:bidi="ar-SA"/>
        </w:rPr>
        <w:t>ذلكَ بما يُمكِنُ استنادُ الصفةِ إليه؛ فتارةً تَكونُ‌</w:t>
      </w:r>
      <w:r>
        <w:rPr>
          <w:rStyle w:val="FootnoteAnchor"/>
          <w:rtl w:val="true"/>
        </w:rPr>
        <w:footnoteReference w:id="292"/>
      </w:r>
      <w:r>
        <w:rPr>
          <w:rFonts w:ascii="Amiri" w:hAnsi="Amiri" w:eastAsia="Amiri" w:cs="Amiri"/>
          <w:color w:val="111111"/>
          <w:sz w:val="28"/>
          <w:sz w:val="28"/>
          <w:szCs w:val="28"/>
          <w:rtl w:val="true"/>
          <w:lang w:bidi="ar-SA"/>
        </w:rPr>
        <w:t>بالفاعلِ‌، و أُخرىٰ بالعِلّةِ‌؛ فمتىٰ عَلِمنا بالدليلِ أنّ العِلّةَ أثَّرَتها</w:t>
      </w:r>
      <w:r>
        <w:rPr>
          <w:rStyle w:val="FootnoteAnchor"/>
          <w:rtl w:val="true"/>
        </w:rPr>
        <w:footnoteReference w:id="293"/>
      </w:r>
      <w:r>
        <w:rPr>
          <w:rFonts w:ascii="Amiri" w:hAnsi="Amiri" w:eastAsia="Amiri" w:cs="Amiri"/>
          <w:color w:val="111111"/>
          <w:sz w:val="28"/>
          <w:sz w:val="28"/>
          <w:szCs w:val="28"/>
          <w:rtl w:val="true"/>
          <w:lang w:bidi="ar-SA"/>
        </w:rPr>
        <w:t>قَطَعنا</w:t>
      </w:r>
      <w:r>
        <w:rPr>
          <w:rStyle w:val="FootnoteAnchor"/>
          <w:rtl w:val="true"/>
        </w:rPr>
        <w:footnoteReference w:id="294"/>
      </w:r>
      <w:r>
        <w:rPr>
          <w:rFonts w:ascii="Amiri" w:hAnsi="Amiri" w:eastAsia="Amiri" w:cs="Amiri"/>
          <w:color w:val="111111"/>
          <w:sz w:val="28"/>
          <w:sz w:val="28"/>
          <w:szCs w:val="28"/>
          <w:rtl w:val="true"/>
          <w:lang w:bidi="ar-SA"/>
        </w:rPr>
        <w:t>بذلكَ‌، و متىٰ دَلَّ علىٰ أنّ الفاعلَ أثَّرَها</w:t>
      </w:r>
      <w:r>
        <w:rPr>
          <w:rStyle w:val="FootnoteAnchor"/>
          <w:rtl w:val="true"/>
        </w:rPr>
        <w:footnoteReference w:id="295"/>
      </w:r>
      <w:r>
        <w:rPr>
          <w:rFonts w:ascii="Amiri" w:hAnsi="Amiri" w:eastAsia="Amiri" w:cs="Amiri"/>
          <w:color w:val="111111"/>
          <w:sz w:val="28"/>
          <w:sz w:val="28"/>
          <w:szCs w:val="28"/>
          <w:rtl w:val="true"/>
          <w:lang w:bidi="ar-SA"/>
        </w:rPr>
        <w:t>حَكَمنا به، و متىٰ جَوَّزنا في البعضِ أن يَكونَ الفاعلُ هو المؤثِّرَ له</w:t>
      </w:r>
      <w:r>
        <w:rPr>
          <w:rStyle w:val="FootnoteAnchor"/>
          <w:rtl w:val="true"/>
        </w:rPr>
        <w:footnoteReference w:id="2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العِلّةَ وَجَبَ التوقُّفُ و تَركُ القَطعِ‌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حالُنا في انتقالِ الجسمِ و كَونِه أسوَدَ؛ لجوازِ أن يَستَنِدَ الانتقالُ إلَى الفاعلِ‌</w:t>
      </w:r>
      <w:r>
        <w:rPr>
          <w:rStyle w:val="FootnoteAnchor"/>
          <w:rtl w:val="true"/>
        </w:rPr>
        <w:footnoteReference w:id="297"/>
      </w:r>
      <w:r>
        <w:rPr>
          <w:rFonts w:ascii="Amiri" w:hAnsi="Amiri" w:eastAsia="Amiri" w:cs="Amiri"/>
          <w:color w:val="111111"/>
          <w:sz w:val="28"/>
          <w:sz w:val="28"/>
          <w:szCs w:val="28"/>
          <w:rtl w:val="true"/>
          <w:lang w:bidi="ar-SA"/>
        </w:rPr>
        <w:t>و السوادُ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بالاعتبارِ الذي اعتَبَرَ</w:t>
      </w:r>
      <w:r>
        <w:rPr>
          <w:rStyle w:val="FootnoteAnchor"/>
          <w:rtl w:val="true"/>
        </w:rPr>
        <w:footnoteReference w:id="298"/>
      </w:r>
      <w:r>
        <w:rPr>
          <w:rFonts w:ascii="Amiri" w:hAnsi="Amiri" w:eastAsia="Amiri" w:cs="Amiri"/>
          <w:color w:val="111111"/>
          <w:sz w:val="28"/>
          <w:sz w:val="28"/>
          <w:szCs w:val="28"/>
          <w:rtl w:val="true"/>
          <w:lang w:bidi="ar-SA"/>
        </w:rPr>
        <w:t>أن يُقطَعَ علىٰ أنّ الانتقالَ لا يَجوزُ استنادُه إلَى الفاعلِ مِن غيرِ تَوسُّطِ معنىً‌</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6425_221584"/>
      <w:bookmarkStart w:id="186" w:name="pg16425_221584"/>
      <w:bookmarkEnd w:id="186"/>
    </w:p>
    <w:p>
      <w:pPr>
        <w:pStyle w:val="Heading3"/>
        <w:numPr>
          <w:ilvl w:val="2"/>
          <w:numId w:val="1"/>
        </w:numPr>
        <w:rPr/>
      </w:pPr>
      <w:bookmarkStart w:id="187" w:name="pg16425_221584"/>
      <w:bookmarkStart w:id="188" w:name="__RefHeading___Toc7830021_1280447820"/>
      <w:bookmarkStart w:id="189" w:name="_Toc59"/>
      <w:bookmarkEnd w:id="187"/>
      <w:bookmarkEnd w:id="188"/>
      <w:r>
        <w:rPr>
          <w:rtl w:val="true"/>
        </w:rPr>
        <w:t>(</w:t>
      </w:r>
      <w:r>
        <w:rPr/>
        <w:t>45</w:t>
      </w:r>
      <w:r>
        <w:rPr>
          <w:rtl w:val="true"/>
        </w:rPr>
        <w:t xml:space="preserve">) </w:t>
      </w:r>
      <w:r>
        <w:rPr>
          <w:rtl w:val="true"/>
        </w:rPr>
        <w:t>مسألةٌ في مناقَشةِ الدليلِ علىٰ أنَّ الجوهرَ ليس محدَثاً بمعنىً‌</w:t>
      </w:r>
      <w:bookmarkEnd w:id="18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 w:name="__RefHeading___Toc7830023_1280447820"/>
      <w:bookmarkStart w:id="191" w:name="_Toc60"/>
      <w:bookmarkEnd w:id="190"/>
      <w:r>
        <w:rPr>
          <w:rtl w:val="true"/>
        </w:rPr>
        <w:t>اشارة</w:t>
      </w:r>
      <w:bookmarkEnd w:id="1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6425_221586"/>
      <w:bookmarkStart w:id="193" w:name="pg16425_221586"/>
      <w:bookmarkEnd w:id="193"/>
    </w:p>
    <w:p>
      <w:pPr>
        <w:pStyle w:val="Heading4"/>
        <w:numPr>
          <w:ilvl w:val="3"/>
          <w:numId w:val="1"/>
        </w:numPr>
        <w:rPr/>
      </w:pPr>
      <w:bookmarkStart w:id="194" w:name="pg16425_221586"/>
      <w:bookmarkStart w:id="195" w:name="__RefHeading___Toc7830025_1280447820"/>
      <w:bookmarkStart w:id="196" w:name="_Toc61"/>
      <w:bookmarkEnd w:id="194"/>
      <w:bookmarkEnd w:id="195"/>
      <w:r>
        <w:rPr>
          <w:rtl w:val="true"/>
        </w:rPr>
        <w:t>مقدّمة التحقيق</w:t>
      </w:r>
      <w:bookmarkEnd w:id="196"/>
    </w:p>
    <w:p>
      <w:pPr>
        <w:pStyle w:val="Heading5"/>
        <w:numPr>
          <w:ilvl w:val="4"/>
          <w:numId w:val="1"/>
        </w:numPr>
        <w:rPr/>
      </w:pPr>
      <w:bookmarkStart w:id="197" w:name="__RefHeading___Toc7830027_1280447820"/>
      <w:bookmarkStart w:id="198" w:name="_Toc62"/>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 xml:space="preserve">من الأُمور المتعارفة عند بعض المتكلّمين أنّه إذا وجدوا ذاتين، تصدر من إحداهما بعض الآثار كالقدرة على الفعل، و لا تصدر تلك الآثار من الأُخرىٰ‌، حكموا بوجود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الذات الأُولىٰ‌، و هو الذي اقتضى التفرقة بين الذاتين</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 إذا وجدوا ذاتاً يمكن في حدّ ذاتها أن تتّصف بصفة و أن لا تتّصف بها، فإذا اتّصفت قالوا إنّما اتّصفت بتلك الصفة بسبب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ذاتها اقتضى الاتّصاف بتلك الصفة، أي أنّ الفاعل فعل ذلك المعنىٰ و المعنىٰ اقتضى 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محلّ كلامنا وجد بعض المتكلّمين أنّ الجوهر في حدّ ذاته يجوز أن يحدث و أن لا يحدث، فقالوا أنّه إذا حدث فحدوثه يكون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بواسطة الفاعل مباشرة، بل الفاعل يوجد المعنى و المعنىٰ يؤثّر في اتّصاف الجوهر بالحدوث</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المقابل نفى بعضُ المتكلّمين أن يكون حدوث الجوهر قد حصل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على نفي ذلك بأنّه لو كان حدوث الجوهر من خلال معنى، لاحتاج هذا المعنى إلى معنى آخر؛ لأنّ هذا المعنى في حدّ ذاته يجوز أن يحدث و أن لا يحدث، كما كان الجوهر كذلك، فيحتاج إلى معنى يقتضي حدوثه، و المعنى الثاني يحتاج إلى ثالث لنفس السبب، و هو يؤدّي إلى إثبات ما لا يتناهى من الحوادث و المعاني، و هو محال</w:t>
      </w:r>
      <w:r>
        <w:rPr>
          <w:rFonts w:eastAsia="Amiri" w:cs="Amiri" w:ascii="Amiri" w:hAnsi="Amiri"/>
          <w:color w:val="111111"/>
          <w:sz w:val="28"/>
          <w:szCs w:val="28"/>
          <w:rtl w:val="true"/>
          <w:lang w:bidi="ar-SA"/>
        </w:rPr>
        <w:t xml:space="preserve">. </w:t>
      </w:r>
      <w:bookmarkStart w:id="199" w:name="pg16425_221587"/>
    </w:p>
    <w:p>
      <w:pPr>
        <w:pStyle w:val="BookText"/>
        <w:rPr/>
      </w:pPr>
      <w:bookmarkEnd w:id="199"/>
      <w:r>
        <w:rPr>
          <w:rFonts w:ascii="Amiri" w:hAnsi="Amiri" w:eastAsia="Amiri" w:cs="Amiri"/>
          <w:color w:val="111111"/>
          <w:sz w:val="28"/>
          <w:sz w:val="28"/>
          <w:szCs w:val="28"/>
          <w:rtl w:val="true"/>
          <w:lang w:bidi="ar-SA"/>
        </w:rPr>
        <w:t xml:space="preserve">و أجاب الشريف المرتضى على ذلك بنفس إجابته التي ذكرها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أحد الأدلّة علىٰ كون الصفة بالفاعل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يدلّ على أنّ الرسالة محلّ البحث تأتي في ترتيب التأليف بعد تلك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حدوث بعض المُحدَثات بواسطة معنى و علّة، و البعض الآخر يكون حدوثه بالفاعل، فيمكن أن يكون حدوث الجوهر بواسطة المعنى، و حدوث المعنى بواسطة الفاعل مباشرة، لا بواسطة معنى آخر، و بذلك سوف لن يلزم افتراض حوادث و معاني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أنّه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الجوهر و المعنى قد اشتركا في كيفيّة استحقاق الحدوث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أن يحدثا و أن لا يحدثا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أن يستحقّ أحدهما الحدوث بالمعنى، و الآخر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لا يصحّ‌؛ لأنّ الاشتراك في كيفيّة الاستحقاق إنّما يعني أنّ كليهما لم يستحقّا الحدوث لذاتهما و لنفسهما، بل لسبب خارجي، و هذا السبب يمكن أن يكون مختلفاً، فيستحقّ أحدهما الحدوث بالمعنى، و الآخر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أشار إلى عدم إمكان الجزم في هذه المسألة باستناد صفة الحدوث إلى المعنى أو الفاعل، و مع فقدان الدليل يجب التوقّف</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7830029_1280447820"/>
      <w:bookmarkStart w:id="201" w:name="_Toc63"/>
      <w:bookmarkEnd w:id="200"/>
      <w:r>
        <w:rPr>
          <w:rtl w:val="true"/>
        </w:rPr>
        <w:t>عنوان الرسالة</w:t>
      </w:r>
      <w:bookmarkEnd w:id="201"/>
    </w:p>
    <w:p>
      <w:pPr>
        <w:pStyle w:val="BookText"/>
        <w:rPr/>
      </w:pPr>
      <w:r>
        <w:rPr>
          <w:rFonts w:ascii="Amiri" w:hAnsi="Amiri" w:eastAsia="Amiri" w:cs="Amiri"/>
          <w:color w:val="111111"/>
          <w:sz w:val="28"/>
          <w:sz w:val="28"/>
          <w:szCs w:val="28"/>
          <w:rtl w:val="true"/>
          <w:lang w:bidi="ar-SA"/>
        </w:rPr>
        <w:t xml:space="preserve">لقد كانت هذه الرسالة قد طبعت في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على أنّ الجوهر ليس بمُحدَث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الطبعة هي المقصودة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التحقيق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طبعت في مسائل المرتضى،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الجوهر لا يكون مُحدَثاً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 العنوانين بهذا المقدار واضحا البطلان؛ فإنّ معناهما أنّ الجوهر قديم و ليس </w:t>
      </w:r>
      <w:bookmarkStart w:id="202" w:name="pg16425_221588"/>
    </w:p>
    <w:p>
      <w:pPr>
        <w:pStyle w:val="BookText"/>
        <w:rPr/>
      </w:pPr>
      <w:bookmarkEnd w:id="202"/>
      <w:r>
        <w:rPr>
          <w:rFonts w:ascii="Amiri" w:hAnsi="Amiri" w:eastAsia="Amiri" w:cs="Amiri"/>
          <w:color w:val="111111"/>
          <w:sz w:val="28"/>
          <w:sz w:val="28"/>
          <w:szCs w:val="28"/>
          <w:rtl w:val="true"/>
          <w:lang w:bidi="ar-SA"/>
        </w:rPr>
        <w:t xml:space="preserve">مُحدَثاً، و هذا باطل من وجهة نظر المتكلّمين الذين حصروا القديم باللّٰه تعالى، ولكي يكون كلا العنوانين صحيحين يحتاجان إلى إضافة كلمة واحدة إلىٰ آخرهما، و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بما أنّ البحث في هذه الرسالة يدور في الحقيقة حول مناقشة دليل الذين نفوا أن يكون الجوهر مُحدَثاً بواسطة معنى، لذلك كان الأفضل أن يكون اسم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مناقشة الدليل علىٰ أنّ الجوهر ليس مُحدَثاً بمعنى</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7830031_1280447820"/>
      <w:bookmarkStart w:id="204" w:name="_Toc64"/>
      <w:bookmarkEnd w:id="203"/>
      <w:r>
        <w:rPr>
          <w:rtl w:val="true"/>
        </w:rPr>
        <w:t>مخطوطات الرسالة</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205" w:name="pg16425_221590"/>
    </w:p>
    <w:p>
      <w:pPr>
        <w:pStyle w:val="BookText"/>
        <w:rPr/>
      </w:pPr>
      <w:bookmarkEnd w:id="20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7830033_1280447820"/>
      <w:bookmarkStart w:id="207" w:name="_Toc65"/>
      <w:bookmarkEnd w:id="206"/>
      <w:r>
        <w:rPr>
          <w:rtl w:val="true"/>
        </w:rPr>
        <w:t>مسألةٌ في مناقَشةِ الدليلِ علىٰ أنَّ الجوهرَ ليس محدَثاً بمعنىً‌</w:t>
      </w:r>
      <w:bookmarkEnd w:id="207"/>
    </w:p>
    <w:p>
      <w:pPr>
        <w:pStyle w:val="BookText"/>
        <w:rPr/>
      </w:pPr>
      <w:r>
        <w:rPr>
          <w:rFonts w:ascii="Amiri" w:hAnsi="Amiri" w:eastAsia="Amiri" w:cs="Amiri"/>
          <w:color w:val="111111"/>
          <w:sz w:val="28"/>
          <w:sz w:val="28"/>
          <w:szCs w:val="28"/>
          <w:rtl w:val="true"/>
          <w:lang w:bidi="ar-SA"/>
        </w:rPr>
        <w:t>مسألةٌ في مناقَشةِ الدليلِ علىٰ أنَّ الجوهرَ ليس محدَثاً بمعنىً‌</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استَدَلّوا به</w:t>
      </w:r>
      <w:r>
        <w:rPr>
          <w:rStyle w:val="FootnoteAnchor"/>
          <w:rtl w:val="true"/>
        </w:rPr>
        <w:footnoteReference w:id="301"/>
      </w:r>
      <w:r>
        <w:rPr>
          <w:rFonts w:ascii="Amiri" w:hAnsi="Amiri" w:eastAsia="Amiri" w:cs="Amiri"/>
          <w:color w:val="111111"/>
          <w:sz w:val="28"/>
          <w:sz w:val="28"/>
          <w:szCs w:val="28"/>
          <w:rtl w:val="true"/>
          <w:lang w:bidi="ar-SA"/>
        </w:rPr>
        <w:t>علىٰ أنّ الجَوهرَ لا يَكونُ مُحدَثاً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وَجَبَ فيه لَكانَ المعنَى الذي يَحتاجُ إليه في حدوثِه يَفتَقِرُ إلىٰ معنىً‌؛ لمُشارَكتِه له في العِلّةِ التي احتاجَ‌</w:t>
      </w:r>
      <w:r>
        <w:rPr>
          <w:rStyle w:val="FootnoteAnchor"/>
          <w:rtl w:val="true"/>
        </w:rPr>
        <w:footnoteReference w:id="302"/>
      </w:r>
      <w:r>
        <w:rPr>
          <w:rFonts w:ascii="Amiri" w:hAnsi="Amiri" w:eastAsia="Amiri" w:cs="Amiri"/>
          <w:color w:val="111111"/>
          <w:sz w:val="28"/>
          <w:sz w:val="28"/>
          <w:szCs w:val="28"/>
          <w:rtl w:val="true"/>
          <w:lang w:bidi="ar-SA"/>
        </w:rPr>
        <w:t>إليه مِن أجلِها، و هي حدوثُه مع جوازِ أن لا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يؤَدّي إلىٰ إثباتِ‌</w:t>
      </w:r>
      <w:r>
        <w:rPr>
          <w:rStyle w:val="FootnoteAnchor"/>
          <w:rtl w:val="true"/>
        </w:rPr>
        <w:footnoteReference w:id="303"/>
      </w:r>
      <w:r>
        <w:rPr>
          <w:rFonts w:ascii="Amiri" w:hAnsi="Amiri" w:eastAsia="Amiri" w:cs="Amiri"/>
          <w:color w:val="111111"/>
          <w:sz w:val="28"/>
          <w:sz w:val="28"/>
          <w:szCs w:val="28"/>
          <w:rtl w:val="true"/>
          <w:lang w:bidi="ar-SA"/>
        </w:rPr>
        <w:t>ما لا نِهايةَ له</w:t>
      </w:r>
      <w:r>
        <w:rPr>
          <w:rStyle w:val="FootnoteAnchor"/>
          <w:rtl w:val="true"/>
        </w:rPr>
        <w:footnoteReference w:id="304"/>
      </w:r>
      <w:r>
        <w:rPr>
          <w:rFonts w:ascii="Amiri" w:hAnsi="Amiri" w:eastAsia="Amiri" w:cs="Amiri"/>
          <w:color w:val="111111"/>
          <w:sz w:val="28"/>
          <w:sz w:val="28"/>
          <w:szCs w:val="28"/>
          <w:rtl w:val="true"/>
          <w:lang w:bidi="ar-SA"/>
        </w:rPr>
        <w:t>مِن</w:t>
      </w:r>
      <w:r>
        <w:rPr>
          <w:rStyle w:val="FootnoteAnchor"/>
          <w:rtl w:val="true"/>
        </w:rPr>
        <w:footnoteReference w:id="305"/>
      </w:r>
      <w:r>
        <w:rPr>
          <w:rFonts w:ascii="Amiri" w:hAnsi="Amiri" w:eastAsia="Amiri" w:cs="Amiri"/>
          <w:color w:val="111111"/>
          <w:sz w:val="28"/>
          <w:sz w:val="28"/>
          <w:szCs w:val="28"/>
          <w:rtl w:val="true"/>
          <w:lang w:bidi="ar-SA"/>
        </w:rPr>
        <w:t>الحَوادثِ‌، و هو مُستَحيلٌ‌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الدليلُ مُعتَرَضٌ‌</w:t>
      </w:r>
      <w:r>
        <w:rPr>
          <w:rStyle w:val="FootnoteAnchor"/>
          <w:rtl w:val="true"/>
        </w:rPr>
        <w:footnoteReference w:id="306"/>
      </w:r>
      <w:r>
        <w:rPr>
          <w:rFonts w:ascii="Amiri" w:hAnsi="Amiri" w:eastAsia="Amiri" w:cs="Amiri"/>
          <w:color w:val="111111"/>
          <w:sz w:val="28"/>
          <w:sz w:val="28"/>
          <w:szCs w:val="28"/>
          <w:rtl w:val="true"/>
          <w:lang w:bidi="ar-SA"/>
        </w:rPr>
        <w:t>بمِثلِ المسألةِ الأُولىٰ‌</w:t>
      </w:r>
      <w:r>
        <w:rPr>
          <w:rStyle w:val="FootnoteAnchor"/>
          <w:rtl w:val="true"/>
        </w:rPr>
        <w:footnoteReference w:id="307"/>
      </w:r>
      <w:r>
        <w:rPr>
          <w:rFonts w:ascii="Amiri" w:hAnsi="Amiri" w:eastAsia="Amiri" w:cs="Amiri"/>
          <w:color w:val="111111"/>
          <w:sz w:val="28"/>
          <w:sz w:val="28"/>
          <w:szCs w:val="28"/>
          <w:rtl w:val="true"/>
          <w:lang w:bidi="ar-SA"/>
        </w:rPr>
        <w:t>لأنّه لا</w:t>
      </w:r>
      <w:r>
        <w:rPr>
          <w:rStyle w:val="FootnoteAnchor"/>
          <w:rtl w:val="true"/>
        </w:rPr>
        <w:footnoteReference w:id="308"/>
      </w:r>
      <w:r>
        <w:rPr>
          <w:rFonts w:ascii="Amiri" w:hAnsi="Amiri" w:eastAsia="Amiri" w:cs="Amiri"/>
          <w:color w:val="111111"/>
          <w:sz w:val="28"/>
          <w:sz w:val="28"/>
          <w:szCs w:val="28"/>
          <w:rtl w:val="true"/>
          <w:lang w:bidi="ar-SA"/>
        </w:rPr>
        <w:t xml:space="preserve">يَمتَنِعُ أن يَكونَ حدوثُ‌ </w:t>
      </w:r>
    </w:p>
    <w:p>
      <w:pPr>
        <w:pStyle w:val="BookText"/>
        <w:rPr/>
      </w:pPr>
      <w:r>
        <w:rPr>
          <w:rFonts w:ascii="Amiri" w:hAnsi="Amiri" w:eastAsia="Amiri" w:cs="Amiri"/>
          <w:color w:val="111111"/>
          <w:sz w:val="28"/>
          <w:sz w:val="28"/>
          <w:szCs w:val="28"/>
          <w:rtl w:val="true"/>
          <w:lang w:bidi="ar-SA"/>
        </w:rPr>
        <w:t>بعضِ المُحدَثاتِ لعِلّةٍ‌</w:t>
      </w:r>
      <w:r>
        <w:rPr>
          <w:rStyle w:val="FootnoteAnchor"/>
          <w:rtl w:val="true"/>
        </w:rPr>
        <w:footnoteReference w:id="309"/>
      </w:r>
      <w:r>
        <w:rPr>
          <w:rFonts w:ascii="Amiri" w:hAnsi="Amiri" w:eastAsia="Amiri" w:cs="Amiri"/>
          <w:color w:val="111111"/>
          <w:sz w:val="28"/>
          <w:sz w:val="28"/>
          <w:szCs w:val="28"/>
          <w:rtl w:val="true"/>
          <w:lang w:bidi="ar-SA"/>
        </w:rPr>
        <w:t>و حدوثُ‌</w:t>
      </w:r>
      <w:r>
        <w:rPr>
          <w:rStyle w:val="FootnoteAnchor"/>
          <w:rtl w:val="true"/>
        </w:rPr>
        <w:footnoteReference w:id="310"/>
      </w:r>
      <w:r>
        <w:rPr>
          <w:rFonts w:ascii="Amiri" w:hAnsi="Amiri" w:eastAsia="Amiri" w:cs="Amiri"/>
          <w:color w:val="111111"/>
          <w:sz w:val="28"/>
          <w:sz w:val="28"/>
          <w:szCs w:val="28"/>
          <w:rtl w:val="true"/>
          <w:lang w:bidi="ar-SA"/>
        </w:rPr>
        <w:t>البعضِ الآخَرِ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إذا اشتَرَكا في كَيفيّةِ الاستحقاقِ‌، لَم يَجُزْ أن يَقتَضيَ أحَدُهما أمراً و الآخَرُ سِواه باطلٌ‌؛ لأنّ المُشارَكةَ في كَيفيّةِ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Style w:val="FootnoteAnchor"/>
          <w:rtl w:val="true"/>
        </w:rPr>
        <w:footnoteReference w:id="311"/>
      </w:r>
      <w:r>
        <w:rPr>
          <w:rFonts w:ascii="Amiri" w:hAnsi="Amiri" w:eastAsia="Amiri" w:cs="Amiri"/>
          <w:color w:val="111111"/>
          <w:sz w:val="28"/>
          <w:sz w:val="28"/>
          <w:szCs w:val="28"/>
          <w:rtl w:val="true"/>
          <w:lang w:bidi="ar-SA"/>
        </w:rPr>
        <w:t xml:space="preserve">جوازُ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w:t>
      </w:r>
      <w:r>
        <w:rPr>
          <w:rStyle w:val="FootnoteAnchor"/>
          <w:rtl w:val="true"/>
        </w:rPr>
        <w:footnoteReference w:id="312"/>
      </w:r>
      <w:r>
        <w:rPr>
          <w:rFonts w:ascii="Amiri" w:hAnsi="Amiri" w:eastAsia="Amiri" w:cs="Amiri"/>
          <w:color w:val="111111"/>
          <w:sz w:val="28"/>
          <w:sz w:val="28"/>
          <w:szCs w:val="28"/>
          <w:rtl w:val="true"/>
          <w:lang w:bidi="ar-SA"/>
        </w:rPr>
        <w:t>استنادِ الصفةِ إلَى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بَطَلَ استنادُها إلَى النفسِ لَم يَمتَنِعِ انقسامُ ما</w:t>
      </w:r>
      <w:r>
        <w:rPr>
          <w:rStyle w:val="FootnoteAnchor"/>
          <w:rtl w:val="true"/>
        </w:rPr>
        <w:footnoteReference w:id="313"/>
      </w:r>
      <w:r>
        <w:rPr>
          <w:rFonts w:ascii="Amiri" w:hAnsi="Amiri" w:eastAsia="Amiri" w:cs="Amiri"/>
          <w:color w:val="111111"/>
          <w:sz w:val="28"/>
          <w:sz w:val="28"/>
          <w:szCs w:val="28"/>
          <w:rtl w:val="true"/>
          <w:lang w:bidi="ar-SA"/>
        </w:rPr>
        <w:t>تَستَنِدُ</w:t>
      </w:r>
      <w:r>
        <w:rPr>
          <w:rStyle w:val="FootnoteAnchor"/>
          <w:rtl w:val="true"/>
        </w:rPr>
        <w:footnoteReference w:id="314"/>
      </w:r>
      <w:r>
        <w:rPr>
          <w:rFonts w:ascii="Amiri" w:hAnsi="Amiri" w:eastAsia="Amiri" w:cs="Amiri"/>
          <w:color w:val="111111"/>
          <w:sz w:val="28"/>
          <w:sz w:val="28"/>
          <w:szCs w:val="28"/>
          <w:rtl w:val="true"/>
          <w:lang w:bidi="ar-SA"/>
        </w:rPr>
        <w:t>إليه، فيَكونَ في بعضِ الذواتِ بالفاعلِ‌، و في بعضٍ بالعِلّةِ‌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أمرٌ مُلتَبِسٌ‌</w:t>
      </w:r>
      <w:r>
        <w:rPr>
          <w:rStyle w:val="FootnoteAnchor"/>
          <w:rtl w:val="true"/>
        </w:rPr>
        <w:footnoteReference w:id="315"/>
      </w:r>
      <w:r>
        <w:rPr>
          <w:rFonts w:ascii="Amiri" w:hAnsi="Amiri" w:eastAsia="Amiri" w:cs="Amiri"/>
          <w:color w:val="111111"/>
          <w:sz w:val="28"/>
          <w:sz w:val="28"/>
          <w:szCs w:val="28"/>
          <w:rtl w:val="true"/>
          <w:lang w:bidi="ar-SA"/>
        </w:rPr>
        <w:t>لا سَبيلَ معه إلَى القَطعِ عَلىٰ أنّ الصفةَ مُستَنِدةٌ‌</w:t>
      </w:r>
      <w:r>
        <w:rPr>
          <w:rStyle w:val="FootnoteAnchor"/>
          <w:rtl w:val="true"/>
        </w:rPr>
        <w:footnoteReference w:id="316"/>
      </w:r>
      <w:r>
        <w:rPr>
          <w:rFonts w:ascii="Amiri" w:hAnsi="Amiri" w:eastAsia="Amiri" w:cs="Amiri"/>
          <w:color w:val="111111"/>
          <w:sz w:val="28"/>
          <w:sz w:val="28"/>
          <w:szCs w:val="28"/>
          <w:rtl w:val="true"/>
          <w:lang w:bidi="ar-SA"/>
        </w:rPr>
        <w:t>إلَى العِلّةِ‌؛ بَل الشكُّ في ذلكَ و التجويزُ هو الواجبُ‌، إلىٰ أن يَدُلَّ دليلٌ‌</w:t>
      </w:r>
      <w:r>
        <w:rPr>
          <w:rFonts w:eastAsia="Amiri" w:cs="Amiri" w:ascii="Amiri" w:hAnsi="Amiri"/>
          <w:color w:val="111111"/>
          <w:sz w:val="28"/>
          <w:szCs w:val="28"/>
          <w:rtl w:val="true"/>
          <w:lang w:bidi="ar-SA"/>
        </w:rPr>
        <w:t xml:space="preserve">. </w:t>
      </w:r>
      <w:bookmarkStart w:id="208" w:name="pg16425_221592"/>
    </w:p>
    <w:p>
      <w:pPr>
        <w:pStyle w:val="Heading3"/>
        <w:numPr>
          <w:ilvl w:val="2"/>
          <w:numId w:val="1"/>
        </w:numPr>
        <w:rPr/>
      </w:pPr>
      <w:bookmarkStart w:id="209" w:name="__RefHeading___Toc7830035_1280447820"/>
      <w:bookmarkStart w:id="210" w:name="_Toc66"/>
      <w:bookmarkEnd w:id="208"/>
      <w:bookmarkEnd w:id="209"/>
      <w:r>
        <w:rPr>
          <w:rtl w:val="true"/>
        </w:rPr>
        <w:t>(</w:t>
      </w:r>
      <w:r>
        <w:rPr/>
        <w:t>46</w:t>
      </w:r>
      <w:r>
        <w:rPr>
          <w:rtl w:val="true"/>
        </w:rPr>
        <w:t xml:space="preserve">) </w:t>
      </w:r>
      <w:r>
        <w:rPr>
          <w:rtl w:val="true"/>
        </w:rPr>
        <w:t>مسألةٌ في وجِه المناسَبةِ بَينَ الأفعالِ الشرعيّةِ و ما هي لُطفٌ فيه</w:t>
      </w:r>
      <w:bookmarkEnd w:id="21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1" w:name="__RefHeading___Toc7830037_1280447820"/>
      <w:bookmarkStart w:id="212" w:name="_Toc67"/>
      <w:bookmarkEnd w:id="211"/>
      <w:r>
        <w:rPr>
          <w:rtl w:val="true"/>
        </w:rPr>
        <w:t>اشارة</w:t>
      </w:r>
      <w:bookmarkEnd w:id="21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6425_221594"/>
      <w:bookmarkStart w:id="214" w:name="pg16425_221594"/>
      <w:bookmarkEnd w:id="214"/>
    </w:p>
    <w:p>
      <w:pPr>
        <w:pStyle w:val="Heading4"/>
        <w:numPr>
          <w:ilvl w:val="3"/>
          <w:numId w:val="1"/>
        </w:numPr>
        <w:rPr/>
      </w:pPr>
      <w:bookmarkStart w:id="215" w:name="pg16425_221594"/>
      <w:bookmarkStart w:id="216" w:name="__RefHeading___Toc7830039_1280447820"/>
      <w:bookmarkStart w:id="217" w:name="_Toc68"/>
      <w:bookmarkEnd w:id="215"/>
      <w:bookmarkEnd w:id="216"/>
      <w:r>
        <w:rPr>
          <w:rtl w:val="true"/>
        </w:rPr>
        <w:t>مقدّمة التحقيق</w:t>
      </w:r>
      <w:bookmarkEnd w:id="217"/>
    </w:p>
    <w:p>
      <w:pPr>
        <w:pStyle w:val="Heading5"/>
        <w:numPr>
          <w:ilvl w:val="4"/>
          <w:numId w:val="1"/>
        </w:numPr>
        <w:rPr/>
      </w:pPr>
      <w:bookmarkStart w:id="218" w:name="__RefHeading___Toc7830041_1280447820"/>
      <w:bookmarkStart w:id="219" w:name="_Toc69"/>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تعرّض الشريف المرتضى في هذه المسألة إلى البحث عن وجه المناسبة بين التكاليف الشرعيّة و بين ما هي لطف فيه من التكاليف العقليّة؛ فإنّ هناك تكاليف يدركها العقل،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شكر النعمة، و ردّ الوديعة، و تحريم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المتكلّمون إلى أنّ اللّٰه تعالى قد شرّع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 الصوم، و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تقرّب المكلّف إلى تلك التكاليف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قد يسأل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وجه المناسبة و العلاقة بين الصلاة و الصوم و الحجّ و بين وجوب شكر النعمة و ردّ الوديعة و تحريم الظلم‌؟ فالظاهر أنّه لا مناسبة و لا مجانسة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بدأ الشريف المرتضى الجواب بتقديم جواب إجماليّ‌،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أنّنا علمنا أنّ هذه الشرعيّات واجبة، فسوف نعلم بأنّ فيها مصلحة، و أنّ لها مناسبة مع ما هي لطف فيه من التكاليف العقليّة، و إن لم يتّضح لنا وجه المناسبة بالتحديد، فعدم العلم بوجه شيء لا يدلّ علىٰ عدم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أشار إلى أنّ المتكلّمين قد ذكروا وجهين من وجوه المناسبة، من دون أن يرجّحوا أحدهما على الآخر، و الوجهان هما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الشرعيّات نوعاً من رياضة النفس، و توطينها على ذكر اللّٰه تعالى و الرجوع إليه، و التمسّك بطاعته، و هذا موجود في التكاليف العقليّة أيضاً، و هو كاف </w:t>
      </w:r>
      <w:bookmarkStart w:id="220" w:name="pg16425_221595"/>
    </w:p>
    <w:p>
      <w:pPr>
        <w:pStyle w:val="BookText"/>
        <w:rPr/>
      </w:pPr>
      <w:bookmarkEnd w:id="220"/>
      <w:r>
        <w:rPr>
          <w:rFonts w:ascii="Amiri" w:hAnsi="Amiri" w:eastAsia="Amiri" w:cs="Amiri"/>
          <w:color w:val="111111"/>
          <w:sz w:val="28"/>
          <w:sz w:val="28"/>
          <w:szCs w:val="28"/>
          <w:rtl w:val="true"/>
          <w:lang w:bidi="ar-SA"/>
        </w:rPr>
        <w:t>في تحقّق المناسبة، فإنّه إذا وطّن العبد نفسه على امتثال التكاليف الشرعيّة، صار أقرب إلى امتثال التكاليف العقليّة، فهذا وجه من وجوه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التكاليف الشرعيّة مشقّة ينبغي تحمّلها و الصبر عليها، و هو نفسه موجود في التكاليف العقليّة، فالذي يوطّن نفسه على الصبر على الشرعيّات، يكون قادراً على الصبر على العقليّات، و مثّلوا لذلك بمن يصبر على الآلام و الهموم التي تنزل به، فإنّه يكون أقدر على فعل الطاعات و ترك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اتّضح وجه المناسبة بين التكاليف الشرعيّة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الجدير بالذكر أنّ القاضي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في كتابه المغني إلى نفس هذه الأبحاث في ذيل جواب إحدى شُبه البراهمة</w:t>
      </w:r>
      <w:r>
        <w:rPr>
          <w:rStyle w:val="FootnoteAnchor"/>
          <w:rtl w:val="true"/>
        </w:rPr>
        <w:footnoteReference w:id="317"/>
      </w:r>
      <w:r>
        <w:rPr>
          <w:rFonts w:ascii="Amiri" w:hAnsi="Amiri" w:eastAsia="Amiri" w:cs="Amiri"/>
          <w:color w:val="111111"/>
          <w:sz w:val="28"/>
          <w:sz w:val="28"/>
          <w:szCs w:val="28"/>
          <w:rtl w:val="true"/>
          <w:lang w:bidi="ar-SA"/>
        </w:rPr>
        <w:t xml:space="preserve">، حتّى قد يتصوّر القارئ أنّ الشريف المرتضى قد قرّر في هذه الرسالة ما هو موجود في المغني؛ و لكن قد أشرنا في مقدّمة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شبهة للبراهمة في بعث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احتمال أن يكون كلّ من الشريف المرتضى و القاضي ينقلان هذه المطالب من مصدر ثالث مشترك، لا أنّ الشريف المرتضى يأخذ من القاضي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مَن يريد أن يستوعب مطالب الرسالة محلّ بحثنا، فعليه بكتاب المغني؛ فإنّ فيه تفاصيل أُخرى تساعد على فهم مطالب الرسالة بصورة أفضل</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7830043_1280447820"/>
      <w:bookmarkStart w:id="222" w:name="_Toc70"/>
      <w:bookmarkEnd w:id="221"/>
      <w:r>
        <w:rPr>
          <w:rtl w:val="true"/>
        </w:rPr>
        <w:t>عنوان الرسالة</w:t>
      </w:r>
      <w:bookmarkEnd w:id="22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هذه الرسالة في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النسبة بين الأفعال و ما هو لطف منها</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العنوان </w:t>
      </w:r>
      <w:bookmarkStart w:id="223" w:name="pg16425_221596"/>
    </w:p>
    <w:p>
      <w:pPr>
        <w:pStyle w:val="BookText"/>
        <w:rPr/>
      </w:pPr>
      <w:bookmarkEnd w:id="223"/>
      <w:r>
        <w:rPr>
          <w:rFonts w:ascii="Amiri" w:hAnsi="Amiri" w:eastAsia="Amiri" w:cs="Amiri"/>
          <w:color w:val="111111"/>
          <w:sz w:val="28"/>
          <w:sz w:val="28"/>
          <w:szCs w:val="28"/>
          <w:rtl w:val="true"/>
          <w:lang w:bidi="ar-SA"/>
        </w:rPr>
        <w:t>صحيح و لكن فيه شيء من العموم؛ فإنّه لم يبيّن أنّ المقصود بالأفعال الأفعال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طبعت في مسائل المرتضى،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الأفعال مع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عنوان غير واضح، و لا يعكس محتوى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فالأفضل تسميتها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المناسبة بين الأفعال الشرعيّة و ما هي لطف فيه</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7830045_1280447820"/>
      <w:bookmarkStart w:id="225" w:name="_Toc71"/>
      <w:bookmarkEnd w:id="224"/>
      <w:r>
        <w:rPr>
          <w:rtl w:val="true"/>
        </w:rPr>
        <w:t>مخطوطات الرسالة</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20996</w:t>
      </w:r>
      <w:r>
        <w:rPr>
          <w:rFonts w:ascii="Amiri" w:hAnsi="Amiri" w:eastAsia="Amiri" w:cs="Amiri"/>
          <w:color w:val="111111"/>
          <w:sz w:val="28"/>
          <w:sz w:val="28"/>
          <w:szCs w:val="28"/>
          <w:rtl w:val="true"/>
          <w:lang w:bidi="ar-SA"/>
        </w:rPr>
        <w:t xml:space="preserve">؛ تقع في الصفحة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226" w:name="pg16425_221598"/>
    </w:p>
    <w:p>
      <w:pPr>
        <w:pStyle w:val="BookText"/>
        <w:rPr/>
      </w:pPr>
      <w:bookmarkEnd w:id="22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7830047_1280447820"/>
      <w:bookmarkStart w:id="228" w:name="_Toc72"/>
      <w:bookmarkEnd w:id="227"/>
      <w:r>
        <w:rPr>
          <w:rtl w:val="true"/>
        </w:rPr>
        <w:t>مسألةٌ في وجِه المناسَبةِ بَينَ الأفعالِ الشرعيّةِ و ما هي لُطفٌ فيه</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سَألَ‌</w:t>
      </w:r>
      <w:r>
        <w:rPr>
          <w:rStyle w:val="FootnoteAnchor"/>
          <w:rtl w:val="true"/>
        </w:rPr>
        <w:footnoteReference w:id="319"/>
      </w:r>
      <w:r>
        <w:rPr>
          <w:rFonts w:ascii="Amiri" w:hAnsi="Amiri" w:eastAsia="Amiri" w:cs="Amiri"/>
          <w:color w:val="111111"/>
          <w:sz w:val="28"/>
          <w:sz w:val="28"/>
          <w:szCs w:val="28"/>
          <w:rtl w:val="true"/>
          <w:lang w:bidi="ar-SA"/>
        </w:rPr>
        <w:t>سائلٌ عن وجهِ المُناسَبةِ بَينَ الأفعالِ في العقلِ و بَينَ ما هو لُطفٌ فيها مِن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إذا عَلِمنا كَونَ هذه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عَلِمنا أنّ لها وجهَ وجوبٍ‌</w:t>
      </w:r>
      <w:r>
        <w:rPr>
          <w:rStyle w:val="FootnoteAnchor"/>
          <w:rtl w:val="true"/>
        </w:rPr>
        <w:footnoteReference w:id="320"/>
      </w:r>
      <w:r>
        <w:rPr>
          <w:rFonts w:ascii="Amiri" w:hAnsi="Amiri" w:eastAsia="Amiri" w:cs="Amiri"/>
          <w:color w:val="111111"/>
          <w:sz w:val="28"/>
          <w:sz w:val="28"/>
          <w:szCs w:val="28"/>
          <w:rtl w:val="true"/>
          <w:lang w:bidi="ar-SA"/>
        </w:rPr>
        <w:t xml:space="preserve">و 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w:t>
      </w:r>
      <w:r>
        <w:rPr>
          <w:rStyle w:val="FootnoteAnchor"/>
          <w:rtl w:val="true"/>
        </w:rPr>
        <w:footnoteReference w:id="321"/>
      </w:r>
      <w:r>
        <w:rPr>
          <w:rFonts w:ascii="Amiri" w:hAnsi="Amiri" w:eastAsia="Amiri" w:cs="Amiri"/>
          <w:color w:val="111111"/>
          <w:sz w:val="28"/>
          <w:sz w:val="28"/>
          <w:szCs w:val="28"/>
          <w:rtl w:val="true"/>
          <w:lang w:bidi="ar-SA"/>
        </w:rPr>
        <w:t>ما هي لُطفٌ فيه</w:t>
      </w:r>
      <w:r>
        <w:rPr>
          <w:rStyle w:val="FootnoteAnchor"/>
          <w:rtl w:val="true"/>
        </w:rPr>
        <w:footnoteReference w:id="322"/>
      </w:r>
      <w:r>
        <w:rPr>
          <w:rFonts w:ascii="Amiri" w:hAnsi="Amiri" w:eastAsia="Amiri" w:cs="Amiri"/>
          <w:color w:val="111111"/>
          <w:sz w:val="28"/>
          <w:sz w:val="28"/>
          <w:szCs w:val="28"/>
          <w:rtl w:val="true"/>
          <w:lang w:bidi="ar-SA"/>
        </w:rPr>
        <w:t>و إن لَم يَتعيَّنْ لنا وجهُ المُناسَبةِ‌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أنّهم قد بَيَّنوا ما يُمكِنُ أن يَكونَ وجهاً علىٰ طَريقِ الاستظهارِ و التقريبِ‌</w:t>
      </w:r>
      <w:r>
        <w:rPr>
          <w:rStyle w:val="FootnoteAnchor"/>
          <w:rtl w:val="true"/>
        </w:rPr>
        <w:footnoteReference w:id="323"/>
      </w:r>
      <w:r>
        <w:rPr>
          <w:rFonts w:ascii="IRNazanin" w:hAnsi="IRNazanin" w:eastAsia="IRNazanin"/>
          <w:color w:val="111111"/>
          <w:sz w:val="28"/>
          <w:sz w:val="28"/>
          <w:szCs w:val="28"/>
          <w:rtl w:val="true"/>
          <w:lang w:bidi="fa-IR"/>
        </w:rPr>
        <w:t>، و قالوا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إنّه يُمكِنُ أن يَكونَ الوجهُ أنّ في الشرعيّاتِ مِن ذِكرِ اللّٰهِ تَعالىٰ و الرجوعِ إليه و التمسُّكِ بطاعتِه و تَوطينِ النفسِ عليها مِثلَ الذي يَجِبُ علَى المُكلَّفِ في التكليفِ العقليِّ أن يَفعَلَه؛ فإذا عَزَمَ علىٰ هذا الفعلِ‌، و وَطَّنَ نفسَه علَى الاستكثارِ منه، سارَعَ‌</w:t>
      </w:r>
      <w:r>
        <w:rPr>
          <w:rStyle w:val="FootnoteAnchor"/>
          <w:rtl w:val="true"/>
        </w:rPr>
        <w:footnoteReference w:id="325"/>
      </w:r>
      <w:r>
        <w:rPr>
          <w:rFonts w:ascii="Amiri" w:hAnsi="Amiri" w:eastAsia="Amiri" w:cs="Amiri"/>
          <w:color w:val="111111"/>
          <w:sz w:val="28"/>
          <w:sz w:val="28"/>
          <w:szCs w:val="28"/>
          <w:rtl w:val="true"/>
          <w:lang w:bidi="ar-SA"/>
        </w:rPr>
        <w:t>إلىٰ مِثلِه في العقليّاتِ‌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326"/>
      </w:r>
      <w:r>
        <w:rPr>
          <w:rFonts w:ascii="Amiri" w:hAnsi="Amiri" w:eastAsia="Amiri" w:cs="Amiri"/>
          <w:color w:val="111111"/>
          <w:sz w:val="28"/>
          <w:sz w:val="28"/>
          <w:szCs w:val="28"/>
          <w:rtl w:val="true"/>
          <w:lang w:bidi="ar-SA"/>
        </w:rPr>
        <w:t>في هذه الأفعالِ مِن تَحمُّلِ المَشقّةِ علىٰ وجوهٍ مخصوصةٍ مِثلَ ما في تلكَ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يُسقِطُ استبعادَ مَن يَستَبعِدُ كَونَها مَصالحَ‌</w:t>
      </w:r>
      <w:r>
        <w:rPr>
          <w:rStyle w:val="FootnoteAnchor"/>
          <w:rtl w:val="true"/>
        </w:rPr>
        <w:footnoteReference w:id="327"/>
      </w:r>
      <w:r>
        <w:rPr>
          <w:rFonts w:ascii="Amiri" w:hAnsi="Amiri" w:eastAsia="Amiri" w:cs="Amiri"/>
          <w:color w:val="111111"/>
          <w:sz w:val="28"/>
          <w:sz w:val="28"/>
          <w:szCs w:val="28"/>
          <w:rtl w:val="true"/>
          <w:lang w:bidi="ar-SA"/>
        </w:rPr>
        <w:t>في العقليّاتِ‌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نَقطَعُ علىٰ أنّها مَصلَحةٌ لأيِّ وجهٍ مِن هذَينِ الوجهَينِ‌؛ و إنّما أَورَدنا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لنُزيلَ‌</w:t>
      </w:r>
      <w:r>
        <w:rPr>
          <w:rStyle w:val="FootnoteAnchor"/>
          <w:rtl w:val="true"/>
        </w:rPr>
        <w:footnoteReference w:id="329"/>
      </w:r>
      <w:r>
        <w:rPr>
          <w:rFonts w:ascii="Amiri" w:hAnsi="Amiri" w:eastAsia="Amiri" w:cs="Amiri"/>
          <w:color w:val="111111"/>
          <w:sz w:val="28"/>
          <w:sz w:val="28"/>
          <w:szCs w:val="28"/>
          <w:rtl w:val="true"/>
          <w:lang w:bidi="ar-SA"/>
        </w:rPr>
        <w:t>ما يُتوهَّمُ و يُستَبعَدُ مِن المُناسَبةِ‌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الطريقةَ في ذلكَ كالطريقةِ في الآلامِ و الغُمومِ و المُعالَجاتِ‌؛ و ذلكَ أنّ مَن نَزَلَت به الآلامُ فَقَلِقَ‌</w:t>
      </w:r>
      <w:r>
        <w:rPr>
          <w:rStyle w:val="FootnoteAnchor"/>
          <w:rtl w:val="true"/>
        </w:rPr>
        <w:footnoteReference w:id="330"/>
      </w:r>
      <w:r>
        <w:rPr>
          <w:rFonts w:ascii="Amiri" w:hAnsi="Amiri" w:eastAsia="Amiri" w:cs="Amiri"/>
          <w:color w:val="111111"/>
          <w:sz w:val="28"/>
          <w:sz w:val="28"/>
          <w:szCs w:val="28"/>
          <w:rtl w:val="true"/>
          <w:lang w:bidi="ar-SA"/>
        </w:rPr>
        <w:t>لها و طَلَبَ التخلُّصَ منها بالمَكارِهِ و العِلاجِ‌</w:t>
      </w:r>
      <w:r>
        <w:rPr>
          <w:rStyle w:val="FootnoteAnchor"/>
          <w:rtl w:val="true"/>
        </w:rPr>
        <w:footnoteReference w:id="331"/>
      </w:r>
      <w:r>
        <w:rPr>
          <w:rFonts w:ascii="Amiri" w:hAnsi="Amiri" w:eastAsia="Amiri" w:cs="Amiri"/>
          <w:color w:val="111111"/>
          <w:sz w:val="28"/>
          <w:sz w:val="28"/>
          <w:szCs w:val="28"/>
          <w:rtl w:val="true"/>
          <w:lang w:bidi="ar-SA"/>
        </w:rPr>
        <w:t>، و احتَمىٰ مِن المَلاذِّ</w:t>
      </w:r>
      <w:r>
        <w:rPr>
          <w:rStyle w:val="FootnoteAnchor"/>
          <w:rtl w:val="true"/>
        </w:rPr>
        <w:footnoteReference w:id="332"/>
      </w:r>
      <w:r>
        <w:rPr>
          <w:rFonts w:ascii="Amiri" w:hAnsi="Amiri" w:eastAsia="Amiri" w:cs="Amiri"/>
          <w:color w:val="111111"/>
          <w:sz w:val="28"/>
          <w:sz w:val="28"/>
          <w:szCs w:val="28"/>
          <w:rtl w:val="true"/>
          <w:lang w:bidi="ar-SA"/>
        </w:rPr>
        <w:t>طلباً للسلامةِ منها، يَكونُ أقرَبَ إلىٰ مُفارَقةِ المَعاصي و فعلِ الطاعاتِ و تَحمُّلِ المَشقّةِ فيها؛ لِيَتخلَّصَ مِن العِقابِ الدائمِ‌، و يَستَحِقَّ الثوابَ الدائمَ‌</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يَجِبْ‌</w:t>
      </w:r>
      <w:r>
        <w:rPr>
          <w:rStyle w:val="FootnoteAnchor"/>
          <w:rtl w:val="true"/>
        </w:rPr>
        <w:footnoteReference w:id="333"/>
      </w:r>
      <w:r>
        <w:rPr>
          <w:rFonts w:ascii="Amiri" w:hAnsi="Amiri" w:eastAsia="Amiri" w:cs="Amiri"/>
          <w:color w:val="111111"/>
          <w:sz w:val="28"/>
          <w:sz w:val="28"/>
          <w:szCs w:val="28"/>
          <w:rtl w:val="true"/>
          <w:lang w:bidi="ar-SA"/>
        </w:rPr>
        <w:t>أن يُعرَفَ التفصيلُ في ذلكَ‌، و لا أن يُقطَعَ علىٰ أنّ هذا هو الوجهُ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بَيَّنوا ذلكَ أيضاً بأنّ الإنسانَ إذا قارَفَ‌</w:t>
      </w:r>
      <w:r>
        <w:rPr>
          <w:rStyle w:val="FootnoteAnchor"/>
          <w:rtl w:val="true"/>
        </w:rPr>
        <w:footnoteReference w:id="334"/>
      </w:r>
      <w:r>
        <w:rPr>
          <w:rFonts w:ascii="Amiri" w:hAnsi="Amiri" w:eastAsia="Amiri" w:cs="Amiri"/>
          <w:color w:val="111111"/>
          <w:sz w:val="28"/>
          <w:sz w:val="28"/>
          <w:szCs w:val="28"/>
          <w:rtl w:val="true"/>
          <w:lang w:bidi="ar-SA"/>
        </w:rPr>
        <w:t>ذَنباً وَجَبَ عليه التوبةُ منه؛</w:t>
      </w:r>
      <w:r>
        <w:rPr>
          <w:rStyle w:val="FootnoteAnchor"/>
          <w:rtl w:val="true"/>
        </w:rPr>
        <w:footnoteReference w:id="335"/>
      </w:r>
      <w:r>
        <w:rPr>
          <w:rFonts w:ascii="Amiri" w:hAnsi="Amiri" w:eastAsia="Amiri" w:cs="Amiri"/>
          <w:color w:val="111111"/>
          <w:sz w:val="28"/>
          <w:sz w:val="28"/>
          <w:szCs w:val="28"/>
          <w:rtl w:val="true"/>
          <w:lang w:bidi="ar-SA"/>
        </w:rPr>
        <w:t>ليُزيلَ عن</w:t>
      </w:r>
      <w:r>
        <w:rPr>
          <w:rStyle w:val="FootnoteAnchor"/>
          <w:rtl w:val="true"/>
        </w:rPr>
        <w:footnoteReference w:id="336"/>
      </w:r>
      <w:r>
        <w:rPr>
          <w:rFonts w:ascii="Amiri" w:hAnsi="Amiri" w:eastAsia="Amiri" w:cs="Amiri"/>
          <w:color w:val="111111"/>
          <w:sz w:val="28"/>
          <w:sz w:val="28"/>
          <w:szCs w:val="28"/>
          <w:rtl w:val="true"/>
          <w:lang w:bidi="ar-SA"/>
        </w:rPr>
        <w:t>نفسِه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يَعرِفَ عينَ الفعلِ و بَينَ أن لا يَعرِفَه في أنّ وجهَ وجوبِ التوبةِ قد حَصَلَ له، و قد تَمكَّنَ مِن تَلافي 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القولُ في المَصالحِ‌؛ لأنّها إنّما</w:t>
      </w:r>
      <w:r>
        <w:rPr>
          <w:rStyle w:val="FootnoteAnchor"/>
          <w:rtl w:val="true"/>
        </w:rPr>
        <w:footnoteReference w:id="337"/>
      </w:r>
      <w:r>
        <w:rPr>
          <w:rFonts w:ascii="Amiri" w:hAnsi="Amiri" w:eastAsia="Amiri" w:cs="Amiri"/>
          <w:color w:val="111111"/>
          <w:sz w:val="28"/>
          <w:sz w:val="28"/>
          <w:szCs w:val="28"/>
          <w:rtl w:val="true"/>
          <w:lang w:bidi="ar-SA"/>
        </w:rPr>
        <w:t>تَجِبُ لِما تَتضمَّنُ‌</w:t>
      </w:r>
      <w:r>
        <w:rPr>
          <w:rStyle w:val="FootnoteAnchor"/>
          <w:rtl w:val="true"/>
        </w:rPr>
        <w:footnoteReference w:id="338"/>
      </w:r>
      <w:r>
        <w:rPr>
          <w:rFonts w:ascii="Amiri" w:hAnsi="Amiri" w:eastAsia="Amiri" w:cs="Amiri"/>
          <w:color w:val="111111"/>
          <w:sz w:val="28"/>
          <w:sz w:val="28"/>
          <w:szCs w:val="28"/>
          <w:rtl w:val="true"/>
          <w:lang w:bidi="ar-SA"/>
        </w:rPr>
        <w:t>مِن إزالةِ المَضرّةِ و اجتلابِ‌</w:t>
      </w:r>
      <w:r>
        <w:rPr>
          <w:rStyle w:val="FootnoteAnchor"/>
          <w:rtl w:val="true"/>
        </w:rPr>
        <w:footnoteReference w:id="339"/>
      </w:r>
      <w:r>
        <w:rPr>
          <w:rFonts w:ascii="Amiri" w:hAnsi="Amiri" w:eastAsia="Amiri" w:cs="Amiri"/>
          <w:color w:val="111111"/>
          <w:sz w:val="28"/>
          <w:sz w:val="28"/>
          <w:szCs w:val="28"/>
          <w:rtl w:val="true"/>
          <w:lang w:bidi="ar-SA"/>
        </w:rPr>
        <w:t>المَنفَعةِ‌، علىٰ ما بُيِّنَ‌</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6425_221602"/>
      <w:bookmarkStart w:id="230" w:name="pg16425_221602"/>
      <w:bookmarkEnd w:id="230"/>
    </w:p>
    <w:p>
      <w:pPr>
        <w:pStyle w:val="Heading3"/>
        <w:numPr>
          <w:ilvl w:val="2"/>
          <w:numId w:val="1"/>
        </w:numPr>
        <w:rPr/>
      </w:pPr>
      <w:bookmarkStart w:id="231" w:name="pg16425_221602"/>
      <w:bookmarkStart w:id="232" w:name="__RefHeading___Toc7830049_1280447820"/>
      <w:bookmarkStart w:id="233" w:name="_Toc73"/>
      <w:bookmarkEnd w:id="231"/>
      <w:bookmarkEnd w:id="232"/>
      <w:r>
        <w:rPr>
          <w:rtl w:val="true"/>
        </w:rPr>
        <w:t>(</w:t>
      </w:r>
      <w:r>
        <w:rPr/>
        <w:t>47</w:t>
      </w:r>
      <w:r>
        <w:rPr>
          <w:rtl w:val="true"/>
        </w:rPr>
        <w:t xml:space="preserve">) </w:t>
      </w:r>
      <w:r>
        <w:rPr>
          <w:rtl w:val="true"/>
        </w:rPr>
        <w:t>مسألةٌ في بَيانِ أحكامِ أهلِ الآخِرةِ‌</w:t>
      </w:r>
      <w:bookmarkEnd w:id="23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4" w:name="__RefHeading___Toc7830051_1280447820"/>
      <w:bookmarkStart w:id="235" w:name="_Toc74"/>
      <w:bookmarkEnd w:id="234"/>
      <w:r>
        <w:rPr>
          <w:rtl w:val="true"/>
        </w:rPr>
        <w:t>اشارة</w:t>
      </w:r>
      <w:bookmarkEnd w:id="23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6425_221604"/>
      <w:bookmarkStart w:id="237" w:name="pg16425_221604"/>
      <w:bookmarkEnd w:id="237"/>
    </w:p>
    <w:p>
      <w:pPr>
        <w:pStyle w:val="Heading4"/>
        <w:numPr>
          <w:ilvl w:val="3"/>
          <w:numId w:val="1"/>
        </w:numPr>
        <w:rPr/>
      </w:pPr>
      <w:bookmarkStart w:id="238" w:name="pg16425_221604"/>
      <w:bookmarkStart w:id="239" w:name="__RefHeading___Toc7830053_1280447820"/>
      <w:bookmarkStart w:id="240" w:name="_Toc75"/>
      <w:bookmarkEnd w:id="238"/>
      <w:bookmarkEnd w:id="239"/>
      <w:r>
        <w:rPr>
          <w:rtl w:val="true"/>
        </w:rPr>
        <w:t>مقدّمة التحقيق</w:t>
      </w:r>
      <w:bookmarkEnd w:id="240"/>
    </w:p>
    <w:p>
      <w:pPr>
        <w:pStyle w:val="Heading5"/>
        <w:numPr>
          <w:ilvl w:val="4"/>
          <w:numId w:val="1"/>
        </w:numPr>
        <w:rPr/>
      </w:pPr>
      <w:bookmarkStart w:id="241" w:name="__RefHeading___Toc7830055_1280447820"/>
      <w:bookmarkStart w:id="242" w:name="_Toc76"/>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من المسائل الكلاميّة التي أهتمّ المتكلّمون بها هي البحث عن أحوال أهل الآخرة، من حيث تكليفهم، و حقيقة معارفهم، و كونهم مُلجئين إلى أفعالهم أو مختارين لها</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7830057_1280447820"/>
      <w:bookmarkStart w:id="244" w:name="_Toc77"/>
      <w:bookmarkEnd w:id="243"/>
      <w:r>
        <w:rPr>
          <w:rtl w:val="true"/>
        </w:rPr>
        <w:t>محتوى الرسالة</w:t>
      </w:r>
      <w:bookmarkEnd w:id="244"/>
    </w:p>
    <w:p>
      <w:pPr>
        <w:pStyle w:val="BookText"/>
        <w:rPr/>
      </w:pPr>
      <w:r>
        <w:rPr>
          <w:rFonts w:ascii="Amiri" w:hAnsi="Amiri" w:eastAsia="Amiri" w:cs="Amiri"/>
          <w:color w:val="111111"/>
          <w:sz w:val="28"/>
          <w:sz w:val="28"/>
          <w:szCs w:val="28"/>
          <w:rtl w:val="true"/>
          <w:lang w:bidi="ar-SA"/>
        </w:rPr>
        <w:t>و قد ذكر الشريف المرتضى أن أهل الآخرة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الثواب، و أهل العقاب، و أهل الحساب و هم أهل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 هؤلاء الأصناف ثلاثة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التكليف عنهم، و كون معارفهم ضروريّة، و أنّهم مُلجؤون إلى الامتناع عن القبيح، رغم كونهم مختارين لأفعالهم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قسّم الشريف المرتضى البحث في هذه الرسالة إلى ثلاثة أقسام، وفقاً لأحكام أهل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التكليف عن أهل الثواب فلأنّ من شرط الثواب أن يكون خالصاً من المَشاقّ‌، و غير مشوب بشيء من المنغِّصات، بينما التكليف فيه كلفة تخرج الثواب عن كونه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سقوط التكليف عن أهل العقاب و الحساب فهو الإجماع على عدم اختلاف أحوال أهل الآخرة عن بعضهم البعض، فإذا سقط عن أهل الثواب سقط عن الباقين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البيان في نفي تكليف أهل الثواب بالدليل المتقدّم و الباقين بالإجماع أفضل ممّن استدلّ علىٰ نفي التكليف عن الجميع بأنّه يؤدّي إلى تغيير حال أهل الثواب إلى </w:t>
      </w:r>
    </w:p>
    <w:p>
      <w:pPr>
        <w:pStyle w:val="BookText"/>
        <w:rPr/>
      </w:pPr>
      <w:r>
        <w:rPr>
          <w:rFonts w:ascii="Amiri" w:hAnsi="Amiri" w:eastAsia="Amiri" w:cs="Amiri"/>
          <w:color w:val="111111"/>
          <w:sz w:val="28"/>
          <w:sz w:val="28"/>
          <w:szCs w:val="28"/>
          <w:rtl w:val="true"/>
          <w:lang w:bidi="ar-SA"/>
        </w:rPr>
        <w:t>العقاب فيما لو عَصَوا و بالعكس فيما لو أطاعوا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الأفضليّة أنّ العقل لا يمنع من ذلك أي من تغيير أحوالهم، فيمكن التسليم بذلك فيسقط الدليل، إلّاإذا تمّ إكماله بسمع أو إجماع يمنع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الدليل بحاجة للاستعانة بالسمع بينما دليلنا على نفي تكليف أهل الثواب لا حاجة به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العقل تكليف أهل الآخرة مع أنّه لا يجوز أن يكونوا متردّدين بين فعل الطاعة و المعصية؛ لزوال الشبهة عنهم بسبب ما شاهدوه من أهوال الآخرة، فهُم لا يختارون إلّاالطاعة، فلا يستحقّون الثواب؛ لأنّ شرط استحقاقه وجود داعي إلى الطاعة و آخر إلى المعصية، و هو غير موجود عند أهل الآخرة، و إذا لم يستحقّوا الثواب لم يكونوا 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دخول الشبهة علىٰ أهل الآخرة فيحصل عندهم داعي إلى الطاعة و آخر إلى المعصية فيصحّ تكليفهم، و يكون حالهم حال مَن شاهد المعجزات في جواز دخول الشبهةَ عليه و جواز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يتكوّن الدليل على ذلك من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معرفة اللّٰه تعالى و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أنّ المُثاب إذا لم يعرف اللّٰه تعالى، لم يَعرف أنّ الثواب الواصل إليه كان على الوجه الذي يستحقّه، أي أنّه حاصل له على سبيل الجزاء عمّا عمله من الطاعات، و أنّه دائم غير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هذه المعارف واجبة، فلا بدّ من معرفة اللّٰه تعالى؛ لأنّ ما لا يتمّ الواجب إلّابه فلا بدّ من حصوله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وجوب تلك المعارف هو أنّه إذا لم يَعرف أنّ الثواب الواصل إليه كان نتيجة لطاعات، لم يَعلم أنّه قد وُفّي حقّه على ما تحمّله من مَشاقّ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كون الثواب ثواباً متوقّف على العلم بقصد فاعله إلى التعظيم به، و العلم بالقصد يقتضي العلم بالقاصد، و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معرفة المُثاب باللّٰه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معرفة المُعاقَب به تعالى فهي واجبة أيضاً بدليل قريب من الدليل السابق، و هو أنّ المُعاقَب يجب أن يَعرف أنّ الآلام الواصلة إليه كانت على سبيل العقاب و الاستحقاق، و أنّ الذي يعقابه قاصد إلى عقابه لاستحقاقه له، و هذا لا يتمّ إلّابعد معرفته تعالى و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معرفة أهل الموقف و الحساب، فدليلها أنّ فائدة المحاسبة و المساءلة هي حصول السرور لأهل الثواب، و الألم لأهل العقاب، فلا بدّ أن يعرفوه تعالى ليعلموا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نشر الصحف و المحاسبة واقعة على وجه الحكمة، فلا بدّ أن يعرفوا اللّٰه تعالى حتّى يعرفوا ذلك، و إلّاجوّزوا أن يكون ذلك على 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وجوب معرفة أهل الآخرة باللّٰه تعالى، فلا تخلو حالهم من أن يكونوا مكتسبين لهذه المعرفة، أو مُلجئين إليها و إلى النظر المولّد لها، أو مضطرين إليها و إلى النظر المولّد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يكونوا مكتسبين لها علىٰ نحو الابتداء و مستدلّين عليها؛ لأنّ هذا يقتضي أن يكونوا مكلّفين بهذه المعرفة التي تقدّم قبل قليل أنّها واجبة، لكن تقدّم أيضاً أنّهم غير مكلّفين؛ إذن معرفتهم غير اكتسابية علىٰ نحو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هي ليست اكتسابيّة علىٰ نحو التذكّر؛ لأنّ هذا أيضاً يقتضي أن يكونوا مكلَّفين بهذه المعرفة بسبب وجود الشبهات التي يجب عليهم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 التذكّر خاصّ بالمؤمنين دون الملحدين، و لا يمكن أن تكون علوم بعض أهل الآخرة من 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البعض الآخرة من سنخ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الاكتساب الابتدائي أو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لقيام الإجماع علىٰ تساوي معارف أهل الآخرة في طريق تحصيلها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يجوز أن يكونوا مُلجئين إلى المعرفة و لا إلى النظر المولّد لها؛ لأنّ الإلجاء إلى أفعال القلوب لا يصحّ إلّامنه تعالى؛ لأنّه المطّلِع على القلوب، و لا يكون مُلجِأ لهم إلّابعد معرفتهم به تعالى و بأحواله؛ لأنّه عندما يُلجئهم إلى الفعل يُعلِمهم بأنّهم </w:t>
      </w:r>
    </w:p>
    <w:p>
      <w:pPr>
        <w:pStyle w:val="BookText"/>
        <w:rPr/>
      </w:pPr>
      <w:r>
        <w:rPr>
          <w:rFonts w:ascii="Amiri" w:hAnsi="Amiri" w:eastAsia="Amiri" w:cs="Amiri"/>
          <w:color w:val="111111"/>
          <w:sz w:val="28"/>
          <w:sz w:val="28"/>
          <w:szCs w:val="28"/>
          <w:rtl w:val="true"/>
          <w:lang w:bidi="ar-SA"/>
        </w:rPr>
        <w:t>متى حاولوا العدول عنه منعهم منه، و هو يقتضي معرفتهم به قبل الإلجاء إليها، فيكونون مستغنين بهذه المعرفة عن الإلجاء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لا يجوز أن يكونوا مضطرّين إلى النظر المولد للمعرفة؛ لأنّ هذا كالعبث، فإنّ الهدف هو تحصيل المعرفة، و الاضطرار إليها يغني عن الاضطرار إلى سببها و هو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النظر فيه مشقّة، و هو يتنافى مع ما عليه أهل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إلّاأن يكونوا مضطرّين إلى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 أن تكون معارف أهل الثواب اضطراريّة، وجب أن تكون معارف أهل العقاب و الحساب أيضاً كذلك؛ لأنّ طرقهم إلى المعرفة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ثبت أنّ معارف جميع أهل الآخرة 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اختياريّة الأفعال، و الإلجاء إلى ترك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أفعال أهل الآخرة تقع على وجه الاختيار و إن كانوا مُلجئين إلى ترك القبيح، خلافاً لأبي الهذيل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إلى أنّ أفعالهم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 في حقّ أهل الجنّة هو أنّهم كاملو العقول، فلا بدّ أن يكونوا ممّن يُخطر القبيحَ في قلبه و يتصوّره و يكون قادراً عليه، لكن لا يجوز أن يُخلّى بينهم و بين القبيح، فلا يخلو أن يكون منعُهم من القبيح بواسطة أمر و تكليف، أو اضطرار، أو 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التكليف فقد تقدّم أنّهم غير مكلّفين، و أمّا الاضطرار فلا يمكن أن يكونوا مضطرّين؛ لأنّ المضطرّ غير خالٍ من تنغيص و تكدير، فلم يبق إلّاأن يكونوا مُلجئين إلى 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الاختيار لا تكون فيه مشقّة لأهل الجنّة؛ لأنّهم إنّما هم ينالون ما يشتهون بلا كلفة و لا مشقّة، و يكون اختيارهم أكمل للّذّة و أقوى للمنفعة، هذا بالنسبة لأفعال أهل الجنّة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أهل النار فإنّ كونهم مختارين أشدّ تأثيراً في إيلامهم و الإضرار بهم؛ لأنّهم إذا </w:t>
      </w:r>
      <w:bookmarkStart w:id="245" w:name="pg16425_221608"/>
    </w:p>
    <w:p>
      <w:pPr>
        <w:pStyle w:val="BookText"/>
        <w:rPr/>
      </w:pPr>
      <w:bookmarkEnd w:id="245"/>
      <w:r>
        <w:rPr>
          <w:rFonts w:ascii="Amiri" w:hAnsi="Amiri" w:eastAsia="Amiri" w:cs="Amiri"/>
          <w:color w:val="111111"/>
          <w:sz w:val="28"/>
          <w:sz w:val="28"/>
          <w:szCs w:val="28"/>
          <w:rtl w:val="true"/>
          <w:lang w:bidi="ar-SA"/>
        </w:rPr>
        <w:t>لم يتمكّنوا من دفع الضررعن أنفسهم مع كونهم مختارين، يكون ذلك أشدّ إيلاماً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الموقف فقد دلّ الإجماع على أنّ أفعالهم كأفعال أهل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الإلجاء إلى ترك القبيح لا ينافي كون الأفعال اختياريّة، لأنّ الإلجاء يتوجّه هنا إلى عدم الفعل، بينما الاختيار يكون في الفعل؛ فإنّهم يتخيّرون بين الأفعال و الأحوال المختلفة بعد أن لا يكون في أفعالهم شيء من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أن يكون المكلّف مُلجأ من جهة، و مُخيّراً من جهة أُخرى، فهو مثل مَن ألجأه السبع إلى ترك أحد الطرق المعيّنة، فيكون مخيّراً في نفس الوقت في اختيار طرق و جهات أُخرى للهرب، فيكون مختاراً لبعض الطرق و إن كان مُلجأ إلى ترك إحداها</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7830059_1280447820"/>
      <w:bookmarkStart w:id="247" w:name="_Toc78"/>
      <w:bookmarkEnd w:id="246"/>
      <w:r>
        <w:rPr>
          <w:rtl w:val="true"/>
        </w:rPr>
        <w:t>نسبة الرسالة</w:t>
      </w:r>
      <w:bookmarkEnd w:id="247"/>
    </w:p>
    <w:p>
      <w:pPr>
        <w:pStyle w:val="BookText"/>
        <w:rPr/>
      </w:pPr>
      <w:r>
        <w:rPr>
          <w:rFonts w:ascii="Amiri" w:hAnsi="Amiri" w:eastAsia="Amiri" w:cs="Amiri"/>
          <w:color w:val="111111"/>
          <w:sz w:val="28"/>
          <w:sz w:val="28"/>
          <w:szCs w:val="28"/>
          <w:rtl w:val="true"/>
          <w:lang w:bidi="ar-SA"/>
        </w:rPr>
        <w:t>لم ينسب أحد من أصحاب الفهارس المتقدّمين رسالة بهذا العنوان إلى الشريف المرتضى على الرغم من أهمّيتها، كما لا توجد قرائن داخليّة على تصحيح نسبتها إليه، سوى مطابقتها الكبيرة لآرائه المذكورة في كتبه الأُخرى</w:t>
      </w:r>
      <w:r>
        <w:rPr>
          <w:rStyle w:val="FootnoteAnchor"/>
          <w:rtl w:val="true"/>
        </w:rPr>
        <w:footnoteReference w:id="340"/>
      </w:r>
      <w:r>
        <w:rPr>
          <w:rFonts w:ascii="Amiri" w:hAnsi="Amiri" w:eastAsia="Amiri" w:cs="Amiri"/>
          <w:color w:val="111111"/>
          <w:sz w:val="28"/>
          <w:sz w:val="28"/>
          <w:szCs w:val="28"/>
          <w:rtl w:val="true"/>
          <w:lang w:bidi="ar-SA"/>
        </w:rPr>
        <w:t>، إضافة إلى نسبتها إليه في النسخ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أنّه جاء في آخر إحدىٰ النسخ المعتمدة في هذا التحقيق أنّها قد استنسخت علىٰ نسخة عتيقة جدّاً، و هو يدلّ علىٰ قِدَم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هذه الرسالة قد طبعت في طهران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ضمن كلمات المحقّقين، 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كما طبعت علىٰ هامش حاشية الرسائل للآخوند الخراساني، و طبعت أيضاً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ضمن مجموعة رسائل الشريف المرتضى، المجموعة الأولى،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بتحقيق السيّد أحمد الحسيني، و طبعت في 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ضمن 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248" w:name="pg16425_221609"/>
    </w:p>
    <w:p>
      <w:pPr>
        <w:pStyle w:val="Heading5"/>
        <w:numPr>
          <w:ilvl w:val="4"/>
          <w:numId w:val="1"/>
        </w:numPr>
        <w:rPr/>
      </w:pPr>
      <w:bookmarkStart w:id="249" w:name="__RefHeading___Toc7830061_1280447820"/>
      <w:bookmarkStart w:id="250" w:name="_Toc79"/>
      <w:bookmarkEnd w:id="248"/>
      <w:bookmarkEnd w:id="249"/>
      <w:r>
        <w:rPr>
          <w:rtl w:val="true"/>
        </w:rPr>
        <w:t>مخطوطات الرسالة</w:t>
      </w:r>
      <w:bookmarkEnd w:id="250"/>
    </w:p>
    <w:p>
      <w:pPr>
        <w:pStyle w:val="Heading6"/>
        <w:numPr>
          <w:ilvl w:val="5"/>
          <w:numId w:val="1"/>
        </w:numPr>
        <w:rPr/>
      </w:pPr>
      <w:bookmarkStart w:id="251" w:name="__RefHeading___Toc7830063_1280447820"/>
      <w:bookmarkStart w:id="252" w:name="_Toc80"/>
      <w:bookmarkEnd w:id="251"/>
      <w:r>
        <w:rPr>
          <w:rtl w:val="true"/>
        </w:rPr>
        <w:t>ألف</w:t>
      </w:r>
      <w:r>
        <w:rPr>
          <w:rtl w:val="true"/>
        </w:rPr>
        <w:t xml:space="preserve">) </w:t>
      </w:r>
      <w:r>
        <w:rPr>
          <w:rtl w:val="true"/>
        </w:rPr>
        <w:t>النسخ المعتمدة</w:t>
      </w:r>
      <w:r>
        <w:rPr>
          <w:rtl w:val="true"/>
        </w:rPr>
        <w:t>:</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و 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المسألة كانت مكتوبة في آخر النسخة المنقول منها بخطّ عتيق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و هي ناقصة من أواخر الرسالة بصفحات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7830065_1280447820"/>
      <w:bookmarkStart w:id="254" w:name="_Toc81"/>
      <w:bookmarkEnd w:id="253"/>
      <w:r>
        <w:rPr>
          <w:rtl w:val="true"/>
        </w:rPr>
        <w:t>ب</w:t>
      </w:r>
      <w:r>
        <w:rPr>
          <w:rtl w:val="true"/>
        </w:rPr>
        <w:t xml:space="preserve">) </w:t>
      </w:r>
      <w:r>
        <w:rPr>
          <w:rtl w:val="true"/>
        </w:rPr>
        <w:t>سائر النسخ</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432/5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587/1</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1631/5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504/5</w:t>
      </w:r>
      <w:r>
        <w:rPr>
          <w:rFonts w:ascii="Amiri" w:hAnsi="Amiri" w:eastAsia="Amiri" w:cs="Amiri"/>
          <w:color w:val="111111"/>
          <w:sz w:val="28"/>
          <w:sz w:val="28"/>
          <w:szCs w:val="28"/>
          <w:rtl w:val="true"/>
          <w:lang w:bidi="ar-SA"/>
        </w:rPr>
        <w:t xml:space="preserve">؛ نُسخت في القرن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 لم يعلم اسم ناسخها، 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6425_221612"/>
      <w:bookmarkStart w:id="256" w:name="pg16425_221612"/>
      <w:bookmarkEnd w:id="256"/>
    </w:p>
    <w:p>
      <w:pPr>
        <w:pStyle w:val="Heading4"/>
        <w:numPr>
          <w:ilvl w:val="3"/>
          <w:numId w:val="1"/>
        </w:numPr>
        <w:rPr/>
      </w:pPr>
      <w:bookmarkStart w:id="257" w:name="pg16425_221612"/>
      <w:bookmarkStart w:id="258" w:name="__RefHeading___Toc7830067_1280447820"/>
      <w:bookmarkStart w:id="259" w:name="_Toc82"/>
      <w:bookmarkEnd w:id="257"/>
      <w:bookmarkEnd w:id="258"/>
      <w:r>
        <w:rPr>
          <w:rtl w:val="true"/>
        </w:rPr>
        <w:t>مسألةٌ في بَيانِ‌ أحكامِ أهلِ الآخِرةِ‌</w:t>
      </w:r>
      <w:bookmarkEnd w:id="259"/>
    </w:p>
    <w:p>
      <w:pPr>
        <w:pStyle w:val="Heading5"/>
        <w:numPr>
          <w:ilvl w:val="4"/>
          <w:numId w:val="1"/>
        </w:numPr>
        <w:rPr/>
      </w:pPr>
      <w:bookmarkStart w:id="260" w:name="__RefHeading___Toc7830069_1280447820"/>
      <w:bookmarkStart w:id="261" w:name="_Toc83"/>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مسألةٌ في بَيانِ‌</w:t>
      </w:r>
      <w:r>
        <w:rPr>
          <w:rStyle w:val="FootnoteAnchor"/>
          <w:rtl w:val="true"/>
        </w:rPr>
        <w:footnoteReference w:id="341"/>
      </w:r>
      <w:r>
        <w:rPr>
          <w:rFonts w:ascii="Amiri" w:hAnsi="Amiri" w:eastAsia="Amiri" w:cs="Amiri"/>
          <w:color w:val="111111"/>
          <w:sz w:val="28"/>
          <w:sz w:val="28"/>
          <w:szCs w:val="28"/>
          <w:rtl w:val="true"/>
          <w:lang w:bidi="ar-SA"/>
        </w:rPr>
        <w:t>أحكامِ أهلِ الآخِرةِ‌</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بيانَ أحكامِ أهلِ الآخِرةِ في مَعارِفِهم و أحوالِهم</w:t>
      </w:r>
      <w:r>
        <w:rPr>
          <w:rStyle w:val="FootnoteAnchor"/>
          <w:rtl w:val="true"/>
        </w:rPr>
        <w:footnoteReference w:id="344"/>
      </w:r>
      <w:r>
        <w:rPr>
          <w:rFonts w:ascii="Amiri" w:hAnsi="Amiri" w:eastAsia="Amiri" w:cs="Amiri"/>
          <w:color w:val="111111"/>
          <w:sz w:val="28"/>
          <w:sz w:val="28"/>
          <w:szCs w:val="28"/>
          <w:rtl w:val="true"/>
          <w:lang w:bidi="ar-SA"/>
        </w:rPr>
        <w:t>و أفعالِهم</w:t>
      </w:r>
      <w:r>
        <w:rPr>
          <w:rStyle w:val="FootnoteAnchor"/>
          <w:rtl w:val="true"/>
        </w:rPr>
        <w:footnoteReference w:id="345"/>
      </w:r>
      <w:r>
        <w:rPr>
          <w:rFonts w:ascii="Amiri" w:hAnsi="Amiri" w:eastAsia="Amiri" w:cs="Amiri"/>
          <w:color w:val="111111"/>
          <w:sz w:val="28"/>
          <w:sz w:val="28"/>
          <w:szCs w:val="28"/>
          <w:rtl w:val="true"/>
          <w:lang w:bidi="ar-SA"/>
        </w:rPr>
        <w:t>، و أنا ذاكرٌ مِن ذلكَ جُملةً 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لِأهلِ الآخِرةِ ثَلاثَ‌</w:t>
      </w:r>
      <w:r>
        <w:rPr>
          <w:rStyle w:val="FootnoteAnchor"/>
          <w:rtl w:val="true"/>
        </w:rPr>
        <w:footnoteReference w:id="346"/>
      </w:r>
      <w:r>
        <w:rPr>
          <w:rFonts w:ascii="Amiri" w:hAnsi="Amiri" w:eastAsia="Amiri" w:cs="Amiri"/>
          <w:color w:val="111111"/>
          <w:sz w:val="28"/>
          <w:sz w:val="28"/>
          <w:szCs w:val="28"/>
          <w:rtl w:val="true"/>
          <w:lang w:bidi="ar-SA"/>
        </w:rPr>
        <w:t>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ثَوابٍ‌، و حالُ عِقابٍ‌، و حالٌ أُخرىٰ للمُحاسَبةِ‌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يَعُمُّهم</w:t>
      </w:r>
      <w:r>
        <w:rPr>
          <w:rStyle w:val="FootnoteAnchor"/>
          <w:rtl w:val="true"/>
        </w:rPr>
        <w:footnoteReference w:id="347"/>
      </w:r>
      <w:r>
        <w:rPr>
          <w:rFonts w:ascii="Amiri" w:hAnsi="Amiri" w:eastAsia="Amiri" w:cs="Amiri"/>
          <w:color w:val="111111"/>
          <w:sz w:val="28"/>
          <w:sz w:val="28"/>
          <w:szCs w:val="28"/>
          <w:rtl w:val="true"/>
          <w:lang w:bidi="ar-SA"/>
        </w:rPr>
        <w:t>في هذه الأحوالِ الثلاثِ‌</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التكليفِ عنهم، و أنّ مَعارِفَهم ضَروريّةٌ‌، و أنّهم مُلجَؤونَ إلَى الِامتناعِ مِن القَبيحِ و إن كانوا مُختارينَ لأفعالِهم مؤثِرينَ لها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الصحيحُ‌، دونَ ما ذَهَبَ إليه مَن خالَفَ في</w:t>
      </w:r>
      <w:r>
        <w:rPr>
          <w:rStyle w:val="FootnoteAnchor"/>
          <w:rtl w:val="true"/>
        </w:rPr>
        <w:footnoteReference w:id="349"/>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bookmarkStart w:id="262" w:name="pg16425_221613"/>
    </w:p>
    <w:p>
      <w:pPr>
        <w:pStyle w:val="BookText"/>
        <w:rPr/>
      </w:pPr>
      <w:bookmarkEnd w:id="262"/>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 w:name="__RefHeading___Toc7830071_1280447820"/>
      <w:bookmarkStart w:id="264" w:name="_Toc84"/>
      <w:bookmarkEnd w:id="263"/>
      <w:r>
        <w:rPr>
          <w:rtl w:val="true"/>
        </w:rPr>
        <w:t>في بيان سقوط التكليف عن أهل الآخرة</w:t>
      </w:r>
      <w:bookmarkEnd w:id="264"/>
    </w:p>
    <w:p>
      <w:pPr>
        <w:pStyle w:val="BookText"/>
        <w:rPr/>
      </w:pPr>
      <w:r>
        <w:rPr>
          <w:rFonts w:ascii="Amiri" w:hAnsi="Amiri" w:eastAsia="Amiri" w:cs="Amiri"/>
          <w:color w:val="111111"/>
          <w:sz w:val="28"/>
          <w:sz w:val="28"/>
          <w:szCs w:val="28"/>
          <w:rtl w:val="true"/>
          <w:lang w:bidi="ar-SA"/>
        </w:rPr>
        <w:t>و الذي يَدُلُّ علىٰ سُقوطِ التكليفِ عن أهلِ الثوابِ منهم، فهو أنّ الثوابَ مِن</w:t>
      </w:r>
      <w:r>
        <w:rPr>
          <w:rStyle w:val="FootnoteAnchor"/>
          <w:rtl w:val="true"/>
        </w:rPr>
        <w:footnoteReference w:id="350"/>
      </w:r>
      <w:r>
        <w:rPr>
          <w:rFonts w:ascii="Amiri" w:hAnsi="Amiri" w:eastAsia="Amiri" w:cs="Amiri"/>
          <w:color w:val="111111"/>
          <w:sz w:val="28"/>
          <w:sz w:val="28"/>
          <w:szCs w:val="28"/>
          <w:rtl w:val="true"/>
          <w:lang w:bidi="ar-SA"/>
        </w:rPr>
        <w:t>شَرطِه و حقِّه أن يَكونَ خالصاً غيرَ مَشوبٍ و لا مُنغَّصٍ‌</w:t>
      </w:r>
      <w:r>
        <w:rPr>
          <w:rStyle w:val="FootnoteAnchor"/>
          <w:rtl w:val="true"/>
        </w:rPr>
        <w:footnoteReference w:id="351"/>
      </w:r>
      <w:r>
        <w:rPr>
          <w:rFonts w:ascii="Amiri" w:hAnsi="Amiri" w:eastAsia="Amiri" w:cs="Amiri"/>
          <w:color w:val="111111"/>
          <w:sz w:val="28"/>
          <w:sz w:val="28"/>
          <w:szCs w:val="28"/>
          <w:rtl w:val="true"/>
          <w:lang w:bidi="ar-SA"/>
        </w:rPr>
        <w:t>، و مُقارَنةُ التكليفِ للمُثابِ تُخرِجُه</w:t>
      </w:r>
      <w:r>
        <w:rPr>
          <w:rStyle w:val="FootnoteAnchor"/>
          <w:rtl w:val="true"/>
        </w:rPr>
        <w:footnoteReference w:id="352"/>
      </w:r>
      <w:r>
        <w:rPr>
          <w:rFonts w:ascii="Amiri" w:hAnsi="Amiri" w:eastAsia="Amiri" w:cs="Amiri"/>
          <w:color w:val="111111"/>
          <w:sz w:val="28"/>
          <w:sz w:val="28"/>
          <w:szCs w:val="28"/>
          <w:rtl w:val="true"/>
          <w:lang w:bidi="ar-SA"/>
        </w:rPr>
        <w:t>عن صفتِه التي لا بُدَّ أن يَكونَ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فهَبوا أنّ هذا يَتِمُّ في أهلِ الجَنّةِ الذينَ هم مُثابونَ‌؛ فمِن أينَ زَوالُ التكليفِ عن أهلِ النارِ أو عن أهلِ المَوقِفِ؟</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الصحيحُ عن هذا السؤالِ أنّا إذا عَلِمنا زوالَ التكليفِ عن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زوالَه عن أهلِ العِقابِ و أهلِ المَوقِفِ بالإجماعِ‌؛ لأنّ أحَداً مِن الأُمّةِ لا يَفصِلُ بَينَ أحوالِ أهلِ الآخِرةِ في كَيفيّةِ المَعارِفِ و زَوالِ التكليفِ‌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أَولىٰ ممّا يَمضي في الكُتُبِ‌،</w:t>
      </w:r>
      <w:r>
        <w:rPr>
          <w:rStyle w:val="FootnoteAnchor"/>
          <w:rtl w:val="true"/>
        </w:rPr>
        <w:footnoteReference w:id="353"/>
      </w:r>
      <w:r>
        <w:rPr>
          <w:rFonts w:ascii="Amiri" w:hAnsi="Amiri" w:eastAsia="Amiri" w:cs="Amiri"/>
          <w:color w:val="111111"/>
          <w:sz w:val="28"/>
          <w:sz w:val="28"/>
          <w:szCs w:val="28"/>
          <w:rtl w:val="true"/>
          <w:lang w:bidi="ar-SA"/>
        </w:rPr>
        <w:t>مِن أنّ‌</w:t>
      </w:r>
      <w:r>
        <w:rPr>
          <w:rStyle w:val="FootnoteAnchor"/>
          <w:rtl w:val="true"/>
        </w:rPr>
        <w:footnoteReference w:id="354"/>
      </w:r>
      <w:r>
        <w:rPr>
          <w:rFonts w:ascii="Amiri" w:hAnsi="Amiri" w:eastAsia="Amiri" w:cs="Amiri"/>
          <w:color w:val="111111"/>
          <w:sz w:val="28"/>
          <w:sz w:val="28"/>
          <w:szCs w:val="28"/>
          <w:rtl w:val="true"/>
          <w:lang w:bidi="ar-SA"/>
        </w:rPr>
        <w:t>أهلَ الآخِرةِ بَينَ مُثابٍ أو مُعاقَبٍ أو مُساءَلٍ يُحاسَبُ‌، و لَو كانوا مُكلَّفينَ لَجازَ أن تَتغيَّرَ</w:t>
      </w:r>
      <w:r>
        <w:rPr>
          <w:rStyle w:val="FootnoteAnchor"/>
          <w:rtl w:val="true"/>
        </w:rPr>
        <w:footnoteReference w:id="355"/>
      </w:r>
      <w:r>
        <w:rPr>
          <w:rFonts w:ascii="Amiri" w:hAnsi="Amiri" w:eastAsia="Amiri" w:cs="Amiri"/>
          <w:color w:val="111111"/>
          <w:sz w:val="28"/>
          <w:sz w:val="28"/>
          <w:szCs w:val="28"/>
          <w:rtl w:val="true"/>
          <w:lang w:bidi="ar-SA"/>
        </w:rPr>
        <w:t>أحوالُ أهلِ العِقابِ إلَى الثوابِ‌، و أحوالُ أهلِ الثوابِ إلَى العِقابِ‌، و أن يَصيرَ أَدوَنُ‌</w:t>
      </w:r>
      <w:r>
        <w:rPr>
          <w:rStyle w:val="FootnoteAnchor"/>
          <w:rtl w:val="true"/>
        </w:rPr>
        <w:footnoteReference w:id="356"/>
      </w:r>
      <w:r>
        <w:rPr>
          <w:rFonts w:ascii="Amiri" w:hAnsi="Amiri" w:eastAsia="Amiri" w:cs="Amiri"/>
          <w:color w:val="111111"/>
          <w:sz w:val="28"/>
          <w:sz w:val="28"/>
          <w:szCs w:val="28"/>
          <w:rtl w:val="true"/>
          <w:lang w:bidi="ar-SA"/>
        </w:rPr>
        <w:t xml:space="preserve">المؤمِنينَ حالاً في </w:t>
      </w:r>
      <w:bookmarkStart w:id="265" w:name="pg16425_221614"/>
    </w:p>
    <w:p>
      <w:pPr>
        <w:pStyle w:val="BookText"/>
        <w:rPr/>
      </w:pPr>
      <w:bookmarkEnd w:id="265"/>
      <w:r>
        <w:rPr>
          <w:rFonts w:ascii="Amiri" w:hAnsi="Amiri" w:eastAsia="Amiri" w:cs="Amiri"/>
          <w:color w:val="111111"/>
          <w:sz w:val="28"/>
          <w:sz w:val="28"/>
          <w:szCs w:val="28"/>
          <w:rtl w:val="true"/>
          <w:lang w:bidi="ar-SA"/>
        </w:rPr>
        <w:t>الثوابِ بمَنزِلةِ النبيِّ صَلَّى اللّٰهُ عليهِ و آلهِ و سَلَّمَ في مَنازِلِ‌</w:t>
      </w:r>
      <w:r>
        <w:rPr>
          <w:rStyle w:val="FootnoteAnchor"/>
          <w:rtl w:val="true"/>
        </w:rPr>
        <w:footnoteReference w:id="357"/>
      </w:r>
      <w:r>
        <w:rPr>
          <w:rFonts w:ascii="Amiri" w:hAnsi="Amiri" w:eastAsia="Amiri" w:cs="Amiri"/>
          <w:color w:val="111111"/>
          <w:sz w:val="28"/>
          <w:sz w:val="28"/>
          <w:szCs w:val="28"/>
          <w:rtl w:val="true"/>
          <w:lang w:bidi="ar-SA"/>
        </w:rPr>
        <w:t>ثوابِه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أَولىٰ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العقلَ لا يَمنَعُ ممّا ذَكروه مِن تَغيُّرِ 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في الثوابِ و العِقابِ‌، و إن مَنَعَ مِن</w:t>
      </w:r>
      <w:r>
        <w:rPr>
          <w:rStyle w:val="FootnoteAnchor"/>
          <w:rtl w:val="true"/>
        </w:rPr>
        <w:footnoteReference w:id="359"/>
      </w:r>
      <w:r>
        <w:rPr>
          <w:rFonts w:ascii="Amiri" w:hAnsi="Amiri" w:eastAsia="Amiri" w:cs="Amiri"/>
          <w:color w:val="111111"/>
          <w:sz w:val="28"/>
          <w:sz w:val="28"/>
          <w:szCs w:val="28"/>
          <w:rtl w:val="true"/>
          <w:lang w:bidi="ar-SA"/>
        </w:rPr>
        <w:t>ذلكَ سَمعٌ أو إجماعٌ عُوِّلَ عليه في المَنعِ منه، و إلّافقَد كانَ مُجوَّزاً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w:t>
      </w:r>
      <w:r>
        <w:rPr>
          <w:rStyle w:val="FootnoteAnchor"/>
          <w:rtl w:val="true"/>
        </w:rPr>
        <w:footnoteReference w:id="361"/>
      </w:r>
      <w:r>
        <w:rPr>
          <w:rFonts w:ascii="Amiri" w:hAnsi="Amiri" w:eastAsia="Amiri" w:cs="Amiri"/>
          <w:color w:val="111111"/>
          <w:sz w:val="28"/>
          <w:sz w:val="28"/>
          <w:szCs w:val="28"/>
          <w:rtl w:val="true"/>
          <w:lang w:bidi="ar-SA"/>
        </w:rPr>
        <w:t>أهلُ الآخِرةِ مُكلَّفينَ و لَيسَ لَهُم دَواعٍ مُتردِّدةٌ‌، و الشُّبهةُ لا تَدخُلُ‌</w:t>
      </w:r>
      <w:r>
        <w:rPr>
          <w:rStyle w:val="FootnoteAnchor"/>
          <w:rtl w:val="true"/>
        </w:rPr>
        <w:footnoteReference w:id="362"/>
      </w:r>
      <w:r>
        <w:rPr>
          <w:rFonts w:ascii="Amiri" w:hAnsi="Amiri" w:eastAsia="Amiri" w:cs="Amiri"/>
          <w:color w:val="111111"/>
          <w:sz w:val="28"/>
          <w:sz w:val="28"/>
          <w:szCs w:val="28"/>
          <w:rtl w:val="true"/>
          <w:lang w:bidi="ar-SA"/>
        </w:rPr>
        <w:t>عليهم‌؟ و التكليفُ إنّما يَحسُنُ تعريضاً للثوابِ‌، و الثوابُ لا يُستَحَقُّ مع تَوفُّرِ الدواعي</w:t>
      </w:r>
      <w:r>
        <w:rPr>
          <w:rStyle w:val="FootnoteAnchor"/>
          <w:rtl w:val="true"/>
        </w:rPr>
        <w:footnoteReference w:id="363"/>
      </w:r>
      <w:r>
        <w:rPr>
          <w:rFonts w:ascii="Amiri" w:hAnsi="Amiri" w:eastAsia="Amiri" w:cs="Amiri"/>
          <w:color w:val="111111"/>
          <w:sz w:val="28"/>
          <w:sz w:val="28"/>
          <w:szCs w:val="28"/>
          <w:rtl w:val="true"/>
          <w:lang w:bidi="ar-SA"/>
        </w:rPr>
        <w:t>و امتناعِ دخولِ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مُمتَنِعٍ دخولُ الشُّبهةِ علىٰ أهلِ الآخِرةِ‌، فيَصِحُّ أن يُكلَّفوا؛ لأنّهم في مُعايَنتِهم تلكَ الأهوالَ‌</w:t>
      </w:r>
      <w:r>
        <w:rPr>
          <w:rStyle w:val="FootnoteAnchor"/>
          <w:rtl w:val="true"/>
        </w:rPr>
        <w:footnoteReference w:id="364"/>
      </w:r>
      <w:r>
        <w:rPr>
          <w:rFonts w:ascii="Amiri" w:hAnsi="Amiri" w:eastAsia="Amiri" w:cs="Amiri"/>
          <w:color w:val="111111"/>
          <w:sz w:val="28"/>
          <w:sz w:val="28"/>
          <w:szCs w:val="28"/>
          <w:rtl w:val="true"/>
          <w:lang w:bidi="ar-SA"/>
        </w:rPr>
        <w:t>و الآياتِ‌</w:t>
      </w:r>
      <w:r>
        <w:rPr>
          <w:rStyle w:val="FootnoteAnchor"/>
          <w:rtl w:val="true"/>
        </w:rPr>
        <w:footnoteReference w:id="365"/>
      </w:r>
      <w:r>
        <w:rPr>
          <w:rFonts w:ascii="Amiri" w:hAnsi="Amiri" w:eastAsia="Amiri" w:cs="Amiri"/>
          <w:color w:val="111111"/>
          <w:sz w:val="28"/>
          <w:sz w:val="28"/>
          <w:szCs w:val="28"/>
          <w:rtl w:val="true"/>
          <w:lang w:bidi="ar-SA"/>
        </w:rPr>
        <w:t>يَجرونَ‌</w:t>
      </w:r>
      <w:r>
        <w:rPr>
          <w:rStyle w:val="FootnoteAnchor"/>
          <w:rtl w:val="true"/>
        </w:rPr>
        <w:footnoteReference w:id="366"/>
      </w:r>
      <w:r>
        <w:rPr>
          <w:rFonts w:ascii="Amiri" w:hAnsi="Amiri" w:eastAsia="Amiri" w:cs="Amiri"/>
          <w:color w:val="111111"/>
          <w:sz w:val="28"/>
          <w:sz w:val="28"/>
          <w:szCs w:val="28"/>
          <w:rtl w:val="true"/>
          <w:lang w:bidi="ar-SA"/>
        </w:rPr>
        <w:t>مَجرىٰ مَن شاهَدَ المُعجِزاتِ العظيمةَ للأنبياءِ عليهم السلامُ في أنّه مُكلَّفٌ‌، و يَجوزُ دخولُ الشُّبهةِ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7830073_1280447820"/>
      <w:bookmarkStart w:id="267" w:name="_Toc85"/>
      <w:bookmarkEnd w:id="266"/>
      <w:r>
        <w:rPr>
          <w:rtl w:val="true"/>
        </w:rPr>
        <w:t>في بيان أنّ معارف أهل الآخرة ضروريّة</w:t>
      </w:r>
      <w:bookmarkEnd w:id="26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w:t>
      </w:r>
      <w:r>
        <w:rPr>
          <w:rStyle w:val="FootnoteAnchor"/>
          <w:rtl w:val="true"/>
        </w:rPr>
        <w:footnoteReference w:id="367"/>
      </w:r>
      <w:r>
        <w:rPr>
          <w:rFonts w:ascii="Amiri" w:hAnsi="Amiri" w:eastAsia="Amiri" w:cs="Amiri"/>
          <w:color w:val="111111"/>
          <w:sz w:val="28"/>
          <w:sz w:val="28"/>
          <w:szCs w:val="28"/>
          <w:rtl w:val="true"/>
          <w:lang w:bidi="ar-SA"/>
        </w:rPr>
        <w:t xml:space="preserve">الذي يَدُلُّ علىٰ أنّ أهلَ الآخِرةِ لا بُدَّ أن يَكونوا عارفينَ باللّٰهِ تَعالىٰ و أحوالِه، </w:t>
      </w:r>
    </w:p>
    <w:p>
      <w:pPr>
        <w:pStyle w:val="BookText"/>
        <w:rPr/>
      </w:pPr>
      <w:r>
        <w:rPr>
          <w:rFonts w:ascii="Amiri" w:hAnsi="Amiri" w:eastAsia="Amiri" w:cs="Amiri"/>
          <w:color w:val="111111"/>
          <w:sz w:val="28"/>
          <w:sz w:val="28"/>
          <w:szCs w:val="28"/>
          <w:rtl w:val="true"/>
          <w:lang w:bidi="ar-SA"/>
        </w:rPr>
        <w:t>فهو أنّ المُثابَ متىٰ لَم يَعرِفْه تَعالىٰ لَم يَصِحَّ منه مَعرفةُ كَونِ الثوابِ ثَواباً واصِلاً</w:t>
      </w:r>
      <w:r>
        <w:rPr>
          <w:rStyle w:val="FootnoteAnchor"/>
          <w:rtl w:val="true"/>
        </w:rPr>
        <w:footnoteReference w:id="368"/>
      </w:r>
      <w:r>
        <w:rPr>
          <w:rFonts w:ascii="Amiri" w:hAnsi="Amiri" w:eastAsia="Amiri" w:cs="Amiri"/>
          <w:color w:val="111111"/>
          <w:sz w:val="28"/>
          <w:sz w:val="28"/>
          <w:szCs w:val="28"/>
          <w:rtl w:val="true"/>
          <w:lang w:bidi="ar-SA"/>
        </w:rPr>
        <w:t>إليه علَى الوجهِ الذي استَحَقَّه</w:t>
      </w:r>
      <w:r>
        <w:rPr>
          <w:rStyle w:val="FootnoteAnchor"/>
          <w:rtl w:val="true"/>
        </w:rPr>
        <w:footnoteReference w:id="369"/>
      </w:r>
      <w:r>
        <w:rPr>
          <w:rFonts w:ascii="Amiri" w:hAnsi="Amiri" w:eastAsia="Amiri" w:cs="Amiri"/>
          <w:color w:val="111111"/>
          <w:sz w:val="28"/>
          <w:sz w:val="28"/>
          <w:szCs w:val="28"/>
          <w:rtl w:val="true"/>
          <w:lang w:bidi="ar-SA"/>
        </w:rPr>
        <w:t>، و أنّه دائمٌ غيرُ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هذه المَعارفُ واجبةً‌، فما لا تَتِمُّ‌</w:t>
      </w:r>
      <w:r>
        <w:rPr>
          <w:rStyle w:val="FootnoteAnchor"/>
          <w:rtl w:val="true"/>
        </w:rPr>
        <w:footnoteReference w:id="370"/>
      </w:r>
      <w:r>
        <w:rPr>
          <w:rFonts w:ascii="Amiri" w:hAnsi="Amiri" w:eastAsia="Amiri" w:cs="Amiri"/>
          <w:color w:val="111111"/>
          <w:sz w:val="28"/>
          <w:sz w:val="28"/>
          <w:szCs w:val="28"/>
          <w:rtl w:val="true"/>
          <w:lang w:bidi="ar-SA"/>
        </w:rPr>
        <w:t xml:space="preserve">هذه المعرفةُ إلّابه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مَعرِفةِ اللّٰهِ تَعالىٰ‌، و إكمالِ العقلِ و غيرِه</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 بوجوبِ حصولِ هذه المَعارفِ لأنّ المُثابَ متىٰ لَم يَعرِفْ أنّ الثوابَ واصلٌ إليه علىٰ سَبيلِ الجَزاءِ عمّا فَعَلَه مِن الطاعاتِ‌، لَم يَعلَمْ أنّه قد وُفِّيَ حقَّه و وُفِيَ‌</w:t>
      </w:r>
      <w:r>
        <w:rPr>
          <w:rStyle w:val="FootnoteAnchor"/>
          <w:rtl w:val="true"/>
        </w:rPr>
        <w:footnoteReference w:id="372"/>
      </w:r>
      <w:r>
        <w:rPr>
          <w:rFonts w:ascii="IRNazanin" w:hAnsi="IRNazanin" w:eastAsia="IRNazanin"/>
          <w:color w:val="111111"/>
          <w:sz w:val="28"/>
          <w:sz w:val="28"/>
          <w:szCs w:val="28"/>
          <w:rtl w:val="true"/>
          <w:lang w:bidi="fa-IR"/>
        </w:rPr>
        <w:t>له</w:t>
      </w:r>
      <w:r>
        <w:rPr>
          <w:rStyle w:val="FootnoteAnchor"/>
          <w:rtl w:val="true"/>
        </w:rPr>
        <w:footnoteReference w:id="373"/>
      </w:r>
      <w:r>
        <w:rPr>
          <w:rFonts w:ascii="Amiri" w:hAnsi="Amiri" w:eastAsia="Amiri" w:cs="Amiri"/>
          <w:color w:val="111111"/>
          <w:sz w:val="28"/>
          <w:sz w:val="28"/>
          <w:szCs w:val="28"/>
          <w:rtl w:val="true"/>
          <w:lang w:bidi="ar-SA"/>
        </w:rPr>
        <w:t>بما عُرِّضَ له مِن التكليفِ الشاقِّ‌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كَونَ الثوابِ ثَواباً مُفتَقِرٌ إلَى العِلمِ بقَصدِ فاعلِه إلَى التعظيمِ به، و العِلمُ بالقَصدِ يَقتَضي العِلمَ بالقاصدِ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بدَوامِ الثوابِ أيضاً زائدٌ في لَذّةِ المُثابِ و نافٍ للتكديرِ و التنغيصِ بجَوازِ انقطاعِه، و معلومٌ أنّه لا يَتِمُّ العِلمُ بدَوامِه إلّابَعدَ المَعرفةِ باللّٰهِ تَعالىٰ‌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في المُعاقَبِ يَقرُبُ مِن القولِ في المُثابِ‌؛ لأنّه يَجِبُ أن يَعرِفَ أنّ الآلامَ الواصلةَ إليه</w:t>
      </w:r>
      <w:r>
        <w:rPr>
          <w:rStyle w:val="FootnoteAnchor"/>
          <w:rtl w:val="true"/>
        </w:rPr>
        <w:footnoteReference w:id="374"/>
      </w:r>
      <w:r>
        <w:rPr>
          <w:rFonts w:ascii="Amiri" w:hAnsi="Amiri" w:eastAsia="Amiri" w:cs="Amiri"/>
          <w:color w:val="111111"/>
          <w:sz w:val="28"/>
          <w:sz w:val="28"/>
          <w:szCs w:val="28"/>
          <w:rtl w:val="true"/>
          <w:lang w:bidi="ar-SA"/>
        </w:rPr>
        <w:t>علىٰ سَبيلِ العِقابِ‌، فيَعلَمَ أنّها مُستحَقّةٌ و واقعةٌ علىٰ وجهِ الحُسنِ‌، و يَعلَمَ قَصْدَ القاصدِ إلَى الِاستخفافِ‌</w:t>
      </w:r>
      <w:r>
        <w:rPr>
          <w:rStyle w:val="FootnoteAnchor"/>
          <w:rtl w:val="true"/>
        </w:rPr>
        <w:footnoteReference w:id="375"/>
      </w:r>
      <w:r>
        <w:rPr>
          <w:rFonts w:ascii="Amiri" w:hAnsi="Amiri" w:eastAsia="Amiri" w:cs="Amiri"/>
          <w:color w:val="111111"/>
          <w:sz w:val="28"/>
          <w:sz w:val="28"/>
          <w:szCs w:val="28"/>
          <w:rtl w:val="true"/>
          <w:lang w:bidi="ar-SA"/>
        </w:rPr>
        <w:t>بها، كما قُلناه في بابِ الثوابِ و القَصدِ إلَى التعظيمِ به، و يَعلَمَ أيضاً دوامَه، فيَكونَ ذلكَ زائداً في إيلامِه و الإضرارِ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p>
    <w:p>
      <w:pPr>
        <w:pStyle w:val="BookText"/>
        <w:rPr/>
      </w:pPr>
      <w:r>
        <w:rPr>
          <w:rFonts w:ascii="Amiri" w:hAnsi="Amiri" w:eastAsia="Amiri" w:cs="Amiri"/>
          <w:color w:val="111111"/>
          <w:sz w:val="28"/>
          <w:sz w:val="28"/>
          <w:szCs w:val="28"/>
          <w:rtl w:val="true"/>
          <w:lang w:bidi="ar-SA"/>
        </w:rPr>
        <w:t>كُلُّه لا يَتِمُّ إلّابالمَعرِفةِ‌</w:t>
      </w:r>
      <w:r>
        <w:rPr>
          <w:rStyle w:val="FootnoteAnchor"/>
          <w:rtl w:val="true"/>
        </w:rPr>
        <w:footnoteReference w:id="376"/>
      </w:r>
      <w:r>
        <w:rPr>
          <w:rFonts w:ascii="Amiri" w:hAnsi="Amiri" w:eastAsia="Amiri" w:cs="Amiri"/>
          <w:color w:val="111111"/>
          <w:sz w:val="28"/>
          <w:sz w:val="28"/>
          <w:szCs w:val="28"/>
          <w:rtl w:val="true"/>
          <w:lang w:bidi="ar-SA"/>
        </w:rPr>
        <w:t>باللّٰهِ تَعالىٰ و أحوالِه، فيَجِبُ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w:t>
      </w:r>
      <w:r>
        <w:rPr>
          <w:rStyle w:val="FootnoteAnchor"/>
          <w:rtl w:val="true"/>
        </w:rPr>
        <w:footnoteReference w:id="377"/>
      </w:r>
      <w:r>
        <w:rPr>
          <w:rFonts w:ascii="Amiri" w:hAnsi="Amiri" w:eastAsia="Amiri" w:cs="Amiri"/>
          <w:color w:val="111111"/>
          <w:sz w:val="28"/>
          <w:sz w:val="28"/>
          <w:szCs w:val="28"/>
          <w:rtl w:val="true"/>
          <w:lang w:bidi="ar-SA"/>
        </w:rPr>
        <w:t>أنّ أهلَ المَوقِفِ يَجِبُ أن يَكونوا عارفينَ باللّٰهِ تَعالىٰ‌، و لَيسَ يَتِمُّ فيهم ما ذَكرتموه في أهلِ الثوابِ و العِقابِ‌</w:t>
      </w:r>
      <w:r>
        <w:rPr>
          <w:rStyle w:val="FootnoteAnchor"/>
          <w:rtl w:val="true"/>
        </w:rPr>
        <w:footnoteReference w:id="3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المَوقِفِ يَجرونَ مَجرىٰ أهلِ الثوابِ و العِقابِ‌</w:t>
      </w:r>
      <w:r>
        <w:rPr>
          <w:rStyle w:val="FootnoteAnchor"/>
          <w:rtl w:val="true"/>
        </w:rPr>
        <w:footnoteReference w:id="379"/>
      </w:r>
      <w:r>
        <w:rPr>
          <w:rFonts w:ascii="Amiri" w:hAnsi="Amiri" w:eastAsia="Amiri" w:cs="Amiri"/>
          <w:color w:val="111111"/>
          <w:sz w:val="28"/>
          <w:sz w:val="28"/>
          <w:szCs w:val="28"/>
          <w:rtl w:val="true"/>
          <w:lang w:bidi="ar-SA"/>
        </w:rPr>
        <w:t xml:space="preserve">في وجوبِ المَعرِفةِ باللّٰهِ تَعالىٰ‌؛ لأنّ الفائدةَ في المُحاسَبةِ و المُساءَلةِ و المُواقَفةِ هي حُصولُ السُّرورِ و اللَّذّةِ لأهلِ الثوابِ‌، و الألَمِ و الحَسرةِ لأهلِ العِقابِ‌، فلا بُدَّ مِن أن يَعرِفوا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لِيَعلَموا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نَشْرَ الصُّحُفِ و المُحاسَبةَ و المُساءَلةَ أفعالٌ واقعةٌ علىٰ وجهِ الحِكمةِ‌، و لا يَجوزُ أن يَعرِفوا وقوعَها علىٰ هذا الوجهِ مِن الحُسنِ و الحِكمةِ إلّابَعدَ مَعرِفتِهم باللّٰهِ تَعالىٰ و أحوالِه، و مَتىٰ لَم يَعرِفوه جَوَّزوا فيها خِلافَ ما بُنيَ عليه مِن وجهِ‌</w:t>
      </w:r>
      <w:r>
        <w:rPr>
          <w:rStyle w:val="FootnoteAnchor"/>
          <w:rtl w:val="true"/>
        </w:rPr>
        <w:footnoteReference w:id="380"/>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وَجَبَ‌</w:t>
      </w:r>
      <w:r>
        <w:rPr>
          <w:rStyle w:val="FootnoteAnchor"/>
          <w:rtl w:val="true"/>
        </w:rPr>
        <w:footnoteReference w:id="381"/>
      </w:r>
      <w:r>
        <w:rPr>
          <w:rFonts w:ascii="Amiri" w:hAnsi="Amiri" w:eastAsia="Amiri" w:cs="Amiri"/>
          <w:color w:val="111111"/>
          <w:sz w:val="28"/>
          <w:sz w:val="28"/>
          <w:szCs w:val="28"/>
          <w:rtl w:val="true"/>
          <w:lang w:bidi="ar-SA"/>
        </w:rPr>
        <w:t>في أهلِ الآخِرةِ أن يَكونوا عارِفينَ باللّٰهِ تَعالىٰ‌، لَم تَخلُ‌</w:t>
      </w:r>
      <w:r>
        <w:rPr>
          <w:rStyle w:val="FootnoteAnchor"/>
          <w:rtl w:val="true"/>
        </w:rPr>
        <w:footnoteReference w:id="382"/>
      </w:r>
      <w:r>
        <w:rPr>
          <w:rFonts w:ascii="Amiri" w:hAnsi="Amiri" w:eastAsia="Amiri" w:cs="Amiri"/>
          <w:color w:val="111111"/>
          <w:sz w:val="28"/>
          <w:sz w:val="28"/>
          <w:szCs w:val="28"/>
          <w:rtl w:val="true"/>
          <w:lang w:bidi="ar-SA"/>
        </w:rPr>
        <w:t>حالُهم في هذه المعرفةِ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يَكونوا مُكتَسِبينَ لها و مُستَدِلّينَ عليها، أو يَكونوا مُلجَئينَ إليها و إلَى النظَرِ الموَلِّدِ لها، أو يَكونوا مُضطَرّينَ إليها أو</w:t>
      </w:r>
      <w:r>
        <w:rPr>
          <w:rStyle w:val="FootnoteAnchor"/>
          <w:rtl w:val="true"/>
        </w:rPr>
        <w:footnoteReference w:id="383"/>
      </w:r>
      <w:r>
        <w:rPr>
          <w:rFonts w:ascii="Amiri" w:hAnsi="Amiri" w:eastAsia="Amiri" w:cs="Amiri"/>
          <w:color w:val="111111"/>
          <w:sz w:val="28"/>
          <w:sz w:val="28"/>
          <w:szCs w:val="28"/>
          <w:rtl w:val="true"/>
          <w:lang w:bidi="ar-SA"/>
        </w:rPr>
        <w:t>إلَى النظَرِ الموَلِّدِ لها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يَكونوا</w:t>
      </w:r>
      <w:r>
        <w:rPr>
          <w:rStyle w:val="FootnoteAnchor"/>
          <w:rtl w:val="true"/>
        </w:rPr>
        <w:footnoteReference w:id="384"/>
      </w:r>
      <w:r>
        <w:rPr>
          <w:rFonts w:ascii="Amiri" w:hAnsi="Amiri" w:eastAsia="Amiri" w:cs="Amiri"/>
          <w:color w:val="111111"/>
          <w:sz w:val="28"/>
          <w:sz w:val="28"/>
          <w:szCs w:val="28"/>
          <w:rtl w:val="true"/>
          <w:lang w:bidi="ar-SA"/>
        </w:rPr>
        <w:t>مُكتَسِبينَ لهذه المَعرِفةِ‌؛ لأنّ ذلكَ يَقتَضي كَونَهم مُكلَّفينَ‌، و قد بيّنّا أنّهم غيرُ مُكلَّفينَ‌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يَجوزُ أن يَكونوا مُكتَسِبينَ‌</w:t>
      </w:r>
      <w:r>
        <w:rPr>
          <w:rStyle w:val="FootnoteAnchor"/>
          <w:rtl w:val="true"/>
        </w:rPr>
        <w:footnoteReference w:id="385"/>
      </w:r>
      <w:r>
        <w:rPr>
          <w:rFonts w:ascii="Amiri" w:hAnsi="Amiri" w:eastAsia="Amiri" w:cs="Amiri"/>
          <w:color w:val="111111"/>
          <w:sz w:val="28"/>
          <w:sz w:val="28"/>
          <w:szCs w:val="28"/>
          <w:rtl w:val="true"/>
          <w:lang w:bidi="ar-SA"/>
        </w:rPr>
        <w:t>لها علىٰ سَبيلِ التذكُّرِ</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يَفعَلُه المُنتبِهُ مِن</w:t>
      </w:r>
      <w:r>
        <w:rPr>
          <w:rStyle w:val="FootnoteAnchor"/>
          <w:rtl w:val="true"/>
        </w:rPr>
        <w:footnoteReference w:id="387"/>
      </w:r>
      <w:r>
        <w:rPr>
          <w:rFonts w:ascii="Amiri" w:hAnsi="Amiri" w:eastAsia="Amiri" w:cs="Amiri"/>
          <w:color w:val="111111"/>
          <w:sz w:val="28"/>
          <w:sz w:val="28"/>
          <w:szCs w:val="28"/>
          <w:rtl w:val="true"/>
          <w:lang w:bidi="ar-SA"/>
        </w:rPr>
        <w:t>نَومِه عندَ انتباهِه، في أنّه يَفعَلُ اعتقاداً لِما كانَ عالِماً به</w:t>
      </w:r>
      <w:r>
        <w:rPr>
          <w:rStyle w:val="FootnoteAnchor"/>
          <w:rtl w:val="true"/>
        </w:rPr>
        <w:footnoteReference w:id="388"/>
      </w:r>
      <w:r>
        <w:rPr>
          <w:rFonts w:ascii="Amiri" w:hAnsi="Amiri" w:eastAsia="Amiri" w:cs="Amiri"/>
          <w:color w:val="111111"/>
          <w:sz w:val="28"/>
          <w:sz w:val="28"/>
          <w:szCs w:val="28"/>
          <w:rtl w:val="true"/>
          <w:lang w:bidi="ar-SA"/>
        </w:rPr>
        <w:t>، فيَكونُ‌</w:t>
      </w:r>
      <w:r>
        <w:rPr>
          <w:rStyle w:val="FootnoteAnchor"/>
          <w:rtl w:val="true"/>
        </w:rPr>
        <w:footnoteReference w:id="389"/>
      </w:r>
      <w:r>
        <w:rPr>
          <w:rFonts w:ascii="Amiri" w:hAnsi="Amiri" w:eastAsia="Amiri" w:cs="Amiri"/>
          <w:color w:val="111111"/>
          <w:sz w:val="28"/>
          <w:sz w:val="28"/>
          <w:szCs w:val="28"/>
          <w:rtl w:val="true"/>
          <w:lang w:bidi="ar-SA"/>
        </w:rPr>
        <w:t>عُلوماً لأجلِ التذَكُّرِ</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هذا</w:t>
      </w:r>
      <w:r>
        <w:rPr>
          <w:rStyle w:val="FootnoteAnchor"/>
          <w:rtl w:val="true"/>
        </w:rPr>
        <w:footnoteReference w:id="391"/>
      </w:r>
      <w:r>
        <w:rPr>
          <w:rFonts w:ascii="Amiri" w:hAnsi="Amiri" w:eastAsia="Amiri" w:cs="Amiri"/>
          <w:color w:val="111111"/>
          <w:sz w:val="28"/>
          <w:sz w:val="28"/>
          <w:szCs w:val="28"/>
          <w:rtl w:val="true"/>
          <w:lang w:bidi="ar-SA"/>
        </w:rPr>
        <w:t>الوجهَ لا يَخرُجونَ معه مِن جُملةِ التكليفِ‌؛ لأنّهم و إن كانوا عندَ التذكُّرِ لا بُدَّ أن يَفعَلوا الاعتقاداتِ التي تَصيرُ علوماً، و الشُّبَهُ مُتطرِّقةٌ عليهم، و يَجوزُ دخولُها فيما عَلِموه، فلا بُدَّ أن يُكلَّفوا دَفْعَها و التخَلُّصَ منها؛ فالتكليفُ ثابتٌ أيضاً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الوجهَ إنّما يَتطرَّقُ فيمَن كانَ عارفاً باللّٰهِ تَعالىٰ في دارِ الدُّنيا؛ فأمّا</w:t>
      </w:r>
      <w:r>
        <w:rPr>
          <w:rStyle w:val="FootnoteAnchor"/>
          <w:rtl w:val="true"/>
        </w:rPr>
        <w:footnoteReference w:id="392"/>
      </w:r>
      <w:r>
        <w:rPr>
          <w:rFonts w:ascii="Amiri" w:hAnsi="Amiri" w:eastAsia="Amiri" w:cs="Amiri"/>
          <w:color w:val="111111"/>
          <w:sz w:val="28"/>
          <w:sz w:val="28"/>
          <w:szCs w:val="28"/>
          <w:rtl w:val="true"/>
          <w:lang w:bidi="ar-SA"/>
        </w:rPr>
        <w:t>مَن لَم يَكُن عارفاً</w:t>
      </w:r>
      <w:r>
        <w:rPr>
          <w:rStyle w:val="FootnoteAnchor"/>
          <w:rtl w:val="true"/>
        </w:rPr>
        <w:footnoteReference w:id="393"/>
      </w:r>
      <w:r>
        <w:rPr>
          <w:rFonts w:ascii="Amiri" w:hAnsi="Amiri" w:eastAsia="Amiri" w:cs="Amiri"/>
          <w:color w:val="111111"/>
          <w:sz w:val="28"/>
          <w:sz w:val="28"/>
          <w:szCs w:val="28"/>
          <w:rtl w:val="true"/>
          <w:lang w:bidi="ar-SA"/>
        </w:rPr>
        <w:t>فلا يَتأتّىٰ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كانوا في الدُّنيا لا يَعرِفونَ اللّٰهَ تَعالىٰ يَعرِفونَه في الآخِرةِ ضَرورةً‌</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نَعلَمُ ضَرورةً أنّ مَعارِفَ أهلِ الآخِرةِ مُتَساويةٌ في طريقِها غيرُ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يَجوزُ أن يَكونوا مُلجَئينَ إلَى المَعرِفةِ‌، و لا إلَى النظَرِ الموَلِّدِ للمَعرِفةِ‌؛ لأنّ الإلجاءَ إلىٰ أفعالِ القُلوبِ لا يَصِحُّ إلّامنه تَعالىٰ‌؛ لأنّه المُطَّلِعُ علَى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أن يَكونَ تَعالىٰ مُلجِئاً لهم إلّامع تَقدُّمِ مَعرِفتِهم به و بأحوالِه؛ لأنّه إنّما يُلجِئُهم إلَى الفِعلِ‌</w:t>
      </w:r>
      <w:r>
        <w:rPr>
          <w:rStyle w:val="FootnoteAnchor"/>
          <w:rtl w:val="true"/>
        </w:rPr>
        <w:footnoteReference w:id="395"/>
      </w:r>
      <w:r>
        <w:rPr>
          <w:rFonts w:ascii="Amiri" w:hAnsi="Amiri" w:eastAsia="Amiri" w:cs="Amiri"/>
          <w:color w:val="111111"/>
          <w:sz w:val="28"/>
          <w:sz w:val="28"/>
          <w:szCs w:val="28"/>
          <w:rtl w:val="true"/>
          <w:lang w:bidi="ar-SA"/>
        </w:rPr>
        <w:t>بأن يُعلِمَهم بأنّهم مَتىٰ حاوَلوا العُدولَ عنه مَنَعَهم منه،</w:t>
      </w:r>
      <w:r>
        <w:rPr>
          <w:rStyle w:val="FootnoteAnchor"/>
          <w:rtl w:val="true"/>
        </w:rPr>
        <w:footnoteReference w:id="396"/>
      </w:r>
      <w:r>
        <w:rPr>
          <w:rFonts w:ascii="Amiri" w:hAnsi="Amiri" w:eastAsia="Amiri" w:cs="Amiri"/>
          <w:color w:val="111111"/>
          <w:sz w:val="28"/>
          <w:sz w:val="28"/>
          <w:szCs w:val="28"/>
          <w:rtl w:val="true"/>
          <w:lang w:bidi="ar-SA"/>
        </w:rPr>
        <w:t>و ذلكَ يَقتَضي كَونَهم عارفينَ به تَعالىٰ و بصفاتِه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علىٰ أنّ الإلجاءَ إلَى المَعرفةِ أيضاً لا يَصِحُّ‌؛ لأنّه إنّما يُلجِئُ إلَى الِاعتقاداتِ المخصوصةِ‌؛ بأن</w:t>
      </w:r>
      <w:r>
        <w:rPr>
          <w:rStyle w:val="FootnoteAnchor"/>
          <w:rtl w:val="true"/>
        </w:rPr>
        <w:footnoteReference w:id="398"/>
      </w:r>
      <w:r>
        <w:rPr>
          <w:rFonts w:ascii="Amiri" w:hAnsi="Amiri" w:eastAsia="Amiri" w:cs="Amiri"/>
          <w:color w:val="111111"/>
          <w:sz w:val="28"/>
          <w:sz w:val="28"/>
          <w:szCs w:val="28"/>
          <w:rtl w:val="true"/>
          <w:lang w:bidi="ar-SA"/>
        </w:rPr>
        <w:t>يُعلِمَ المُلجَأَ أنّه يَمنَعُه متىٰ رامَ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في ذلكَ أن يَقَعَ مِن هذا المُلجَإِ تلكَ الاعتقاداتُ‌، فما الذي يَقتَضي كَونَها عُلوماً و مَعارِفَ؟ و لا وجهَ يَقتَضي</w:t>
      </w:r>
      <w:r>
        <w:rPr>
          <w:rStyle w:val="FootnoteAnchor"/>
          <w:rtl w:val="true"/>
        </w:rPr>
        <w:footnoteReference w:id="399"/>
      </w:r>
      <w:r>
        <w:rPr>
          <w:rFonts w:ascii="Amiri" w:hAnsi="Amiri" w:eastAsia="Amiri" w:cs="Amiri"/>
          <w:color w:val="111111"/>
          <w:sz w:val="28"/>
          <w:sz w:val="28"/>
          <w:szCs w:val="28"/>
          <w:rtl w:val="true"/>
          <w:lang w:bidi="ar-SA"/>
        </w:rPr>
        <w:t>ذلكَ مِن الوجوهِ المذكورةِ التي يَصيرُ الاعتقادُ لها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تَعالىٰ مُضطَرّاً لهم إلَى النظَرِ المُولِّدِ للمَعرِفةِ‌؛ لأنّ ذلكَ جارٍ مَجرَى العَبَثِ الذي لا فائدةَ فيه؛ لأنّ الغرضَ هو المَعرِفةُ‌، و الِاضطرارُ إليها يُغني عن الاضطرارِ إلىٰ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في النظرِ مَشَقّةً و كُلفةً‌، و ذلكَ يُنافي</w:t>
      </w:r>
      <w:r>
        <w:rPr>
          <w:rStyle w:val="FootnoteAnchor"/>
          <w:rtl w:val="true"/>
        </w:rPr>
        <w:footnoteReference w:id="400"/>
      </w:r>
      <w:r>
        <w:rPr>
          <w:rFonts w:ascii="Amiri" w:hAnsi="Amiri" w:eastAsia="Amiri" w:cs="Amiri"/>
          <w:color w:val="111111"/>
          <w:sz w:val="28"/>
          <w:sz w:val="28"/>
          <w:szCs w:val="28"/>
          <w:rtl w:val="true"/>
          <w:lang w:bidi="ar-SA"/>
        </w:rPr>
        <w:t>صفةَ أهلِ الثوابِ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وَجَبَ في مَعرِفةِ أهلِ الثوابِ منهم الاضطرارُ، وَجَبَ ذلكَ في مَعارِفِ الجَميعِ‌؛ مِن الوجهِ الذي بيّنّاه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علىٰ أنّ في</w:t>
      </w:r>
      <w:r>
        <w:rPr>
          <w:rStyle w:val="FootnoteAnchor"/>
          <w:rtl w:val="true"/>
        </w:rPr>
        <w:footnoteReference w:id="401"/>
      </w:r>
      <w:r>
        <w:rPr>
          <w:rFonts w:ascii="Amiri" w:hAnsi="Amiri" w:eastAsia="Amiri" w:cs="Amiri"/>
          <w:color w:val="111111"/>
          <w:sz w:val="28"/>
          <w:sz w:val="28"/>
          <w:szCs w:val="28"/>
          <w:rtl w:val="true"/>
          <w:lang w:bidi="ar-SA"/>
        </w:rPr>
        <w:t>مقدورِه تَعالىٰ عِلماً يَفعَلُه في غيرِه، فيَكونُ ذلكَ الغَيرُ به عالِماً؛ فإنّ كلامَكم مَبنيٌّ علىٰ أنّ ذلكَ مقدورٌ غيرُ مَمتَنِعٍ‌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كَونِ ذلكَ في مقدوراتِه تَعالىٰ‌؛ لأنّه لَو لَم يَكُن له مقدوراً</w:t>
      </w:r>
      <w:r>
        <w:rPr>
          <w:rStyle w:val="FootnoteAnchor"/>
          <w:rtl w:val="true"/>
        </w:rPr>
        <w:footnoteReference w:id="402"/>
      </w:r>
      <w:r>
        <w:rPr>
          <w:rFonts w:ascii="Amiri" w:hAnsi="Amiri" w:eastAsia="Amiri" w:cs="Amiri"/>
          <w:color w:val="111111"/>
          <w:sz w:val="28"/>
          <w:sz w:val="28"/>
          <w:szCs w:val="28"/>
          <w:rtl w:val="true"/>
          <w:lang w:bidi="ar-SA"/>
        </w:rPr>
        <w:t>لَوجبَ في أجناسِ الاعتقاداتِ علَى اختلافِها أن تَكونَ خارجةً مِن مقدورِ اللّٰهِ تَعالىٰ‌؛ لأنّه لا يوصَفُ تَعالىٰ بالقُدرةِ علىٰ عِلمٍ يَكونُ به هو تَعالىٰ‌</w:t>
      </w:r>
      <w:r>
        <w:rPr>
          <w:rStyle w:val="FootnoteAnchor"/>
          <w:rtl w:val="true"/>
        </w:rPr>
        <w:footnoteReference w:id="403"/>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لا يوصَفُ بالقُدرةِ علىٰ عِلمٍ يَكونُ غيرُه به عالِماً</w:t>
      </w:r>
      <w:r>
        <w:rPr>
          <w:rStyle w:val="FootnoteAnchor"/>
          <w:rtl w:val="true"/>
        </w:rPr>
        <w:footnoteReference w:id="404"/>
      </w:r>
      <w:r>
        <w:rPr>
          <w:rFonts w:ascii="Amiri" w:hAnsi="Amiri" w:eastAsia="Amiri" w:cs="Amiri"/>
          <w:color w:val="111111"/>
          <w:sz w:val="28"/>
          <w:sz w:val="28"/>
          <w:szCs w:val="28"/>
          <w:rtl w:val="true"/>
          <w:lang w:bidi="ar-SA"/>
        </w:rPr>
        <w:t>، فيَجِبُ أن يَكونَ جنسُ العلومِ‌</w:t>
      </w:r>
      <w:r>
        <w:rPr>
          <w:rStyle w:val="FootnoteAnchor"/>
          <w:rtl w:val="true"/>
        </w:rPr>
        <w:footnoteReference w:id="405"/>
      </w:r>
      <w:r>
        <w:rPr>
          <w:rFonts w:ascii="Amiri" w:hAnsi="Amiri" w:eastAsia="Amiri" w:cs="Amiri"/>
          <w:color w:val="111111"/>
          <w:sz w:val="28"/>
          <w:sz w:val="28"/>
          <w:szCs w:val="28"/>
          <w:rtl w:val="true"/>
          <w:lang w:bidi="ar-SA"/>
        </w:rPr>
        <w:t>مِن الاعتقاداتِ خارجاً عن مقدورِه، و هذا يَقتَضي أن يَكونَ غيرُه مِن المُحدَثينَ أقدَرَ منه و أكمَلَ حالاً في القُدرةِ‌؛ لأنّا نَقدِرُ علىٰ هذه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أنّه تَعالىٰ أقدَرُ مِنّا و أنّه لا يَجوزُ أن نَقدِرَ علىٰ جنسٍ لا يَقدِرُ هو تَعالىٰ عليه، ثَبَتَ أنّه لا بُدَّ أن يَكونَ قادراً علىٰ جنسِ العلومِ‌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كُفِّرَ أبو القاسِمِ البَلخيُّ‌</w:t>
      </w:r>
      <w:r>
        <w:rPr>
          <w:rStyle w:val="FootnoteAnchor"/>
          <w:rtl w:val="true"/>
        </w:rPr>
        <w:footnoteReference w:id="407"/>
      </w:r>
      <w:r>
        <w:rPr>
          <w:rFonts w:ascii="Amiri" w:hAnsi="Amiri" w:eastAsia="Amiri" w:cs="Amiri"/>
          <w:color w:val="111111"/>
          <w:sz w:val="28"/>
          <w:sz w:val="28"/>
          <w:szCs w:val="28"/>
          <w:rtl w:val="true"/>
          <w:lang w:bidi="ar-SA"/>
        </w:rPr>
        <w:t>في هذه المَسألةِ‌،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w:t>
      </w:r>
      <w:r>
        <w:rPr>
          <w:rStyle w:val="FootnoteAnchor"/>
          <w:rtl w:val="true"/>
        </w:rPr>
        <w:footnoteReference w:id="408"/>
      </w:r>
      <w:r>
        <w:rPr>
          <w:rFonts w:ascii="Amiri" w:hAnsi="Amiri" w:eastAsia="Amiri" w:cs="Amiri"/>
          <w:color w:val="111111"/>
          <w:sz w:val="28"/>
          <w:sz w:val="28"/>
          <w:szCs w:val="28"/>
          <w:rtl w:val="true"/>
          <w:lang w:bidi="ar-SA"/>
        </w:rPr>
        <w:t>مُصرِّحٌ بأنّا أقدَرُ منه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يَلزَمُ علىٰ هذا ما نَقولُه كُلُّنا، مِن أنّه لا يوصَفُ بالقُدرةِ علَى الجَمعِ بَينَ‌ </w:t>
      </w:r>
    </w:p>
    <w:p>
      <w:pPr>
        <w:pStyle w:val="BookText"/>
        <w:rPr/>
      </w:pPr>
      <w:r>
        <w:rPr>
          <w:rFonts w:ascii="Amiri" w:hAnsi="Amiri" w:eastAsia="Amiri" w:cs="Amiri"/>
          <w:color w:val="111111"/>
          <w:sz w:val="28"/>
          <w:sz w:val="28"/>
          <w:szCs w:val="28"/>
          <w:rtl w:val="true"/>
          <w:lang w:bidi="ar-SA"/>
        </w:rPr>
        <w:t>الضدَّينِ‌، و أن يَفعَلَ في نفسِه حركةً‌</w:t>
      </w:r>
      <w:r>
        <w:rPr>
          <w:rStyle w:val="FootnoteAnchor"/>
          <w:rtl w:val="true"/>
        </w:rPr>
        <w:footnoteReference w:id="409"/>
      </w:r>
      <w:r>
        <w:rPr>
          <w:rFonts w:ascii="Amiri" w:hAnsi="Amiri" w:eastAsia="Amiri" w:cs="Amiri"/>
          <w:color w:val="111111"/>
          <w:sz w:val="28"/>
          <w:sz w:val="28"/>
          <w:szCs w:val="28"/>
          <w:rtl w:val="true"/>
          <w:lang w:bidi="ar-SA"/>
        </w:rPr>
        <w:t>، و ما أشبَهَ ذلكَ‌؛ لأنّ هذا كُلَّه غيرُ مقدورٍ في نفسِه، مِن حَيثُ لا يَقدِرُ عليه مِن القادرِينَ أحَدٌ، و لَيسَ كذلكَ قَبيلُ الاعتقاداتِ‌؛ لأنّه مقدورٌ في نفسِه لِمَن هو أنقَصُ حالاً مِن القَديمِ تَعالىٰ في بابِ القُدرةِ‌، فأَولىٰ و أَحرىٰ أن يَكونَ تَعالىٰ قادراً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التكليفُ زائلاً عنهم، فكَيفَ أمَرَهم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اللفظَ و إن كانَ صيغتُه</w:t>
      </w:r>
      <w:r>
        <w:rPr>
          <w:rStyle w:val="FootnoteAnchor"/>
          <w:rtl w:val="true"/>
        </w:rPr>
        <w:footnoteReference w:id="411"/>
      </w:r>
      <w:r>
        <w:rPr>
          <w:rFonts w:ascii="Amiri" w:hAnsi="Amiri" w:eastAsia="Amiri" w:cs="Amiri"/>
          <w:color w:val="111111"/>
          <w:sz w:val="28"/>
          <w:sz w:val="28"/>
          <w:szCs w:val="28"/>
          <w:rtl w:val="true"/>
          <w:lang w:bidi="ar-SA"/>
        </w:rPr>
        <w:t>الأمرَ فلَيسَ بأمرٍ علَى الحقيقةِ‌؛ بَل يَجري مَجرَى الإباحةِ‌، و الإباحةُ لها صورةُ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Style w:val="FootnoteAnchor"/>
          <w:rtl w:val="true"/>
        </w:rPr>
        <w:footnoteReference w:id="41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و إنّه تَعالىٰ أرادَ مِن أهلِ الجَنّةِ الأكلَ و الشُّربَ علىٰ سَبيلِ الزيادةِ في مَلاذِّهم و سُرورِهم، لا علىٰ سَبيلِ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تَقولونَ في شُكرِ أهلِ الجَنّةِ لنِعَمِ اللّٰهِ تَعالىٰ‌، أوَ لَيسَ هو بِلازمٍ‌</w:t>
      </w:r>
      <w:r>
        <w:rPr>
          <w:rStyle w:val="FootnoteAnchor"/>
          <w:rtl w:val="true"/>
        </w:rPr>
        <w:footnoteReference w:id="413"/>
      </w:r>
      <w:r>
        <w:rPr>
          <w:rFonts w:ascii="IRNazanin" w:hAnsi="IRNazanin" w:eastAsia="IRNazanin"/>
          <w:color w:val="111111"/>
          <w:sz w:val="28"/>
          <w:sz w:val="28"/>
          <w:szCs w:val="28"/>
          <w:rtl w:val="true"/>
          <w:lang w:bidi="fa-IR"/>
        </w:rPr>
        <w:t>لهم‌؟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w:t>
      </w:r>
      <w:r>
        <w:rPr>
          <w:rStyle w:val="FootnoteAnchor"/>
          <w:rtl w:val="true"/>
        </w:rPr>
        <w:footnoteReference w:id="414"/>
      </w:r>
      <w:r>
        <w:rPr>
          <w:rFonts w:ascii="Amiri" w:hAnsi="Amiri" w:eastAsia="Amiri" w:cs="Amiri"/>
          <w:color w:val="111111"/>
          <w:sz w:val="28"/>
          <w:sz w:val="28"/>
          <w:szCs w:val="28"/>
          <w:rtl w:val="true"/>
          <w:lang w:bidi="ar-SA"/>
        </w:rPr>
        <w:t>يَرجِعُ إلَى القَلبِ مِن الشُّكرِ، فهو يَحصُلُ في قُلوبِهم ضَرورةً‌؛ لأنّه يَرجِعُ إلَى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يَرجِعُ إلَى اللسانِ منه فلا كُلفةَ فيه، و رُبَّما كانَ في مِثلِه</w:t>
      </w:r>
      <w:r>
        <w:rPr>
          <w:rStyle w:val="FootnoteAnchor"/>
          <w:rtl w:val="true"/>
        </w:rPr>
        <w:footnoteReference w:id="415"/>
      </w:r>
      <w:bookmarkStart w:id="268" w:name="pg16425_221621"/>
    </w:p>
    <w:p>
      <w:pPr>
        <w:pStyle w:val="BookText"/>
        <w:rPr/>
      </w:pPr>
      <w:bookmarkEnd w:id="268"/>
      <w:r>
        <w:rPr>
          <w:rFonts w:ascii="Amiri" w:hAnsi="Amiri" w:eastAsia="Amiri" w:cs="Amiri"/>
          <w:color w:val="111111"/>
          <w:sz w:val="28"/>
          <w:sz w:val="28"/>
          <w:szCs w:val="28"/>
          <w:rtl w:val="true"/>
          <w:lang w:bidi="ar-SA"/>
        </w:rPr>
        <w:t>اللذّةُ‌؛ لأنّ أحَدَنا يَلتَذُّ و يُسَرُّ بالتحَدُّثِ بنِعَمِ اللّٰهِ تَعالىٰ عليه، لا سِيَّما إذا كانَ وصولُها إليه بَعدَ شِدّةٍ و مَدىً طويلٍ مِن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7830075_1280447820"/>
      <w:bookmarkStart w:id="270" w:name="_Toc86"/>
      <w:bookmarkEnd w:id="269"/>
      <w:r>
        <w:rPr>
          <w:rtl w:val="true"/>
        </w:rPr>
        <w:t>أفعال أهل الآخرة</w:t>
      </w:r>
      <w:bookmarkEnd w:id="270"/>
    </w:p>
    <w:p>
      <w:pPr>
        <w:pStyle w:val="BookText"/>
        <w:rPr/>
      </w:pPr>
      <w:r>
        <w:rPr>
          <w:rFonts w:ascii="Amiri" w:hAnsi="Amiri" w:eastAsia="Amiri" w:cs="Amiri"/>
          <w:color w:val="111111"/>
          <w:sz w:val="28"/>
          <w:sz w:val="28"/>
          <w:szCs w:val="28"/>
          <w:rtl w:val="true"/>
          <w:lang w:bidi="ar-SA"/>
        </w:rPr>
        <w:t>و أمّا أفعالُ أهلِ الجَنّةِ‌، فالصحيحُ أنّها واقعةٌ منهم علىٰ سَبيلِ الِاختيارِ، و إن كانوا مُلجَئينَ إلَى الِامتناعِ مِن القَبيحِ‌</w:t>
      </w:r>
      <w:r>
        <w:rPr>
          <w:rStyle w:val="FootnoteAnchor"/>
          <w:rtl w:val="true"/>
        </w:rPr>
        <w:footnoteReference w:id="416"/>
      </w:r>
      <w:r>
        <w:rPr>
          <w:rFonts w:ascii="Amiri" w:hAnsi="Amiri" w:eastAsia="Amiri" w:cs="Amiri"/>
          <w:color w:val="111111"/>
          <w:sz w:val="28"/>
          <w:sz w:val="28"/>
          <w:szCs w:val="28"/>
          <w:rtl w:val="true"/>
          <w:lang w:bidi="ar-SA"/>
        </w:rPr>
        <w:t>، بخِلافِ ما قالَه أبو الهُذَيلِ‌</w:t>
      </w:r>
      <w:r>
        <w:rPr>
          <w:rStyle w:val="FootnoteAnchor"/>
          <w:rtl w:val="true"/>
        </w:rPr>
        <w:footnoteReference w:id="417"/>
      </w:r>
      <w:r>
        <w:rPr>
          <w:rFonts w:ascii="Amiri" w:hAnsi="Amiri" w:eastAsia="Amiri" w:cs="Amiri"/>
          <w:color w:val="111111"/>
          <w:sz w:val="28"/>
          <w:sz w:val="28"/>
          <w:szCs w:val="28"/>
          <w:rtl w:val="true"/>
          <w:lang w:bidi="ar-SA"/>
        </w:rPr>
        <w:t>فإنّه كانَ يَذهَبُ إلىٰ أنّ أفعالَهم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صحّةِ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يَكونوا مع كمالِ عقولِهم و مَعرِفتِهم بالأُمورِ ممّن يُخطِرُ</w:t>
      </w:r>
      <w:r>
        <w:rPr>
          <w:rStyle w:val="FootnoteAnchor"/>
          <w:rtl w:val="true"/>
        </w:rPr>
        <w:footnoteReference w:id="418"/>
      </w:r>
      <w:r>
        <w:rPr>
          <w:rFonts w:ascii="Amiri" w:hAnsi="Amiri" w:eastAsia="Amiri" w:cs="Amiri"/>
          <w:color w:val="111111"/>
          <w:sz w:val="28"/>
          <w:sz w:val="28"/>
          <w:szCs w:val="28"/>
          <w:rtl w:val="true"/>
          <w:lang w:bidi="ar-SA"/>
        </w:rPr>
        <w:t>القَبيحَ بقَلبِه و يَتصوَّرُه، و هُم قادرونَ عليه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يُخَلّىٰ بَينَهم و بَينَ فِعلِه، فلا يَخلُونَ مِن أن يُمنَعوا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 فِعلِه</w:t>
      </w:r>
      <w:r>
        <w:rPr>
          <w:rStyle w:val="FootnoteAnchor"/>
          <w:rtl w:val="true"/>
        </w:rPr>
        <w:footnoteReference w:id="419"/>
      </w:r>
      <w:r>
        <w:rPr>
          <w:rFonts w:ascii="Amiri" w:hAnsi="Amiri" w:eastAsia="Amiri" w:cs="Amiri"/>
          <w:color w:val="111111"/>
          <w:sz w:val="28"/>
          <w:sz w:val="28"/>
          <w:szCs w:val="28"/>
          <w:rtl w:val="true"/>
          <w:lang w:bidi="ar-SA"/>
        </w:rPr>
        <w:t>بأمرٍ و تكليفٍ أو بإلجاءٍ علىٰ ما اختَرناه، أو بأن يُضطَرّوا إلىٰ خِلافِه علىٰ ما قالَه أبو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يَكونوا مُكلَّفينَ‌؛ لِما تَقدَّمَ ذِكرُه، و لا 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أبو الهُذَيلِ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المُضطَرَّ مُتنغِّصُ‌</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تَنَغَّصَت عيشَتُه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اللَّذّةِ غيرُ خالٍ مِن تنغيصٍ‌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تكديرٍ؛ لِكَونِه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التصَرُّفَ علَى اختيارِه فيما يَتناوَلُ ما يَشتَهيهِ و يَنقُلُه مِن حالٍ إلىٰ حالٍ باختيارِه أَزيَدُ في لَذّاتِه و أَدخَلُ في تَمتُّعِه و سُرورِه، و إنّما يُرغِّبُ اللّٰهُ تَعالىٰ في اللَّذّاتِ الواصلةِ في الجَنّةِ علَى الوجهِ المُعتادِ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بَعدَ ذلكَ إلّاأنّهم مُلجَؤونَ‌</w:t>
      </w:r>
      <w:r>
        <w:rPr>
          <w:rStyle w:val="FootnoteAnchor"/>
          <w:rtl w:val="true"/>
        </w:rPr>
        <w:footnoteReference w:id="421"/>
      </w:r>
      <w:r>
        <w:rPr>
          <w:rFonts w:ascii="Amiri" w:hAnsi="Amiri" w:eastAsia="Amiri" w:cs="Amiri"/>
          <w:color w:val="111111"/>
          <w:sz w:val="28"/>
          <w:sz w:val="28"/>
          <w:szCs w:val="28"/>
          <w:rtl w:val="true"/>
          <w:lang w:bidi="ar-SA"/>
        </w:rPr>
        <w:t>إلَى الِامتناعِ مِن القَبيحِ‌، و إلّاجازَ وقوعُه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422"/>
      </w:r>
      <w:r>
        <w:rPr>
          <w:rFonts w:ascii="Amiri" w:hAnsi="Amiri" w:eastAsia="Amiri" w:cs="Amiri"/>
          <w:color w:val="111111"/>
          <w:sz w:val="28"/>
          <w:sz w:val="28"/>
          <w:szCs w:val="28"/>
          <w:rtl w:val="true"/>
          <w:lang w:bidi="ar-SA"/>
        </w:rPr>
        <w:t>ما ظَنَّ أبو الهُذَيلِ‌ أنّهم متىٰ لَم يَكونوا مُضطَرّينَ إلى أفعالِهم كانَت عليهم فيها مَشَقّةٌ و هَمٌّ مِن حَيثُ تَكلَّفوا الأفعالَ‌، و قَدَّرَ</w:t>
      </w:r>
      <w:r>
        <w:rPr>
          <w:rStyle w:val="FootnoteAnchor"/>
          <w:rtl w:val="true"/>
        </w:rPr>
        <w:footnoteReference w:id="423"/>
      </w:r>
      <w:r>
        <w:rPr>
          <w:rFonts w:ascii="Amiri" w:hAnsi="Amiri" w:eastAsia="Amiri" w:cs="Amiri"/>
          <w:color w:val="111111"/>
          <w:sz w:val="28"/>
          <w:sz w:val="28"/>
          <w:szCs w:val="28"/>
          <w:rtl w:val="true"/>
          <w:lang w:bidi="ar-SA"/>
        </w:rPr>
        <w:t>أنّ قولَه بذلكَ أَدعىٰ إلىٰ تخليصِ الثوابِ مِن الشوائبِ‌؛ فقَد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يُنغِّصُ‌</w:t>
      </w:r>
      <w:r>
        <w:rPr>
          <w:rStyle w:val="FootnoteAnchor"/>
          <w:rtl w:val="true"/>
        </w:rPr>
        <w:footnoteReference w:id="424"/>
      </w:r>
      <w:r>
        <w:rPr>
          <w:rFonts w:ascii="Amiri" w:hAnsi="Amiri" w:eastAsia="Amiri" w:cs="Amiri"/>
          <w:color w:val="111111"/>
          <w:sz w:val="28"/>
          <w:sz w:val="28"/>
          <w:szCs w:val="28"/>
          <w:rtl w:val="true"/>
          <w:lang w:bidi="ar-SA"/>
        </w:rPr>
        <w:t>اللَّذّةَ هو كَونُهم مُضطَرّينَ لا مُختارينَ‌، و أنّ نَيلَ‌</w:t>
      </w:r>
      <w:r>
        <w:rPr>
          <w:rStyle w:val="FootnoteAnchor"/>
          <w:rtl w:val="true"/>
        </w:rPr>
        <w:footnoteReference w:id="425"/>
      </w:r>
      <w:r>
        <w:rPr>
          <w:rFonts w:ascii="Amiri" w:hAnsi="Amiri" w:eastAsia="Amiri" w:cs="Amiri"/>
          <w:color w:val="111111"/>
          <w:sz w:val="28"/>
          <w:sz w:val="28"/>
          <w:szCs w:val="28"/>
          <w:rtl w:val="true"/>
          <w:lang w:bidi="ar-SA"/>
        </w:rPr>
        <w:t>المُلتَذِّ ما يَنالُه مِن اللَّذّاتِ باختيارِه و إيثارِه أكمَلُ لِلَذّتِه و أقوىٰ لِمَنفَعتِه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الكُلفةُ في الأفعالِ‌، فهي مُرتَفِعةٌ عنهم؛ لأنّهم يَنالونَ ما يَشتَهونَ علىٰ وجهٍ لا كُلفةَ فيه، و لا تَعَبَ‌، و 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يُبيِّنُ كَونَ أهلِ الثوابِ غيرَ مُضطَرّينَ‌، فما تَقولونَ‌</w:t>
      </w:r>
      <w:r>
        <w:rPr>
          <w:rStyle w:val="FootnoteAnchor"/>
          <w:rtl w:val="true"/>
        </w:rPr>
        <w:footnoteReference w:id="426"/>
      </w:r>
      <w:r>
        <w:rPr>
          <w:rFonts w:ascii="Amiri" w:hAnsi="Amiri" w:eastAsia="Amiri" w:cs="Amiri"/>
          <w:color w:val="111111"/>
          <w:sz w:val="28"/>
          <w:sz w:val="28"/>
          <w:szCs w:val="28"/>
          <w:rtl w:val="true"/>
          <w:lang w:bidi="ar-SA"/>
        </w:rPr>
        <w:t>في أهلِ العِقابِ و أهلِ المَوقِفِ؟</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العِقابِ‌، فكَونُهم مُختارينَ لأفعالِهم أشَدُّ تأثيراً في إيلامِهم و الإضرارِ بهم؛ لأنّهم إذا لَم يَتمكَّنوا مع كونِهم مُختارينَ أن يَدفَعوا ما نَزَلَ بهم مِن الضرَرِ، كان ذلكَ أقوىٰ‌</w:t>
      </w:r>
      <w:r>
        <w:rPr>
          <w:rStyle w:val="FootnoteAnchor"/>
          <w:rtl w:val="true"/>
        </w:rPr>
        <w:footnoteReference w:id="427"/>
      </w:r>
      <w:r>
        <w:rPr>
          <w:rFonts w:ascii="Amiri" w:hAnsi="Amiri" w:eastAsia="Amiri" w:cs="Amiri"/>
          <w:color w:val="111111"/>
          <w:sz w:val="28"/>
          <w:sz w:val="28"/>
          <w:szCs w:val="28"/>
          <w:rtl w:val="true"/>
          <w:lang w:bidi="ar-SA"/>
        </w:rPr>
        <w:t>لحَسَراتِهم و أزيَدَ في غَمِّهم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أهلُ المَوقِفِ‌، فبالإجماعِ يُعلَمُ أنّ أفعالَهم كأفعالِ أهلِ الجَنّةِ و أهلِ النارِ؛ لأنّ أحَداً لَم يُفرِّق بَينَ‌</w:t>
      </w:r>
      <w:r>
        <w:rPr>
          <w:rStyle w:val="FootnoteAnchor"/>
          <w:rtl w:val="true"/>
        </w:rPr>
        <w:footnoteReference w:id="428"/>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قُلتم أنّهم مُلجَؤونَ إلىٰ أن لا يَفعَلوا القَبيحَ‌، فقَد ثَلَمَ‌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ذلكَ كَونَهم مُختارينَ لأفعالِهم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يُلجَؤونَ إلىٰ أن لا يَفعَلوا القَبيحَ خاصّةً‌، فالإلجاءُ إنّما يَكونُ فيما لا يَفعَلونَه، فأمّا ما يَفعَلونَه فهُم فيه مُخيَّرونَ‌؛ لأنّهم</w:t>
      </w:r>
      <w:r>
        <w:rPr>
          <w:rStyle w:val="FootnoteAnchor"/>
          <w:rtl w:val="true"/>
        </w:rPr>
        <w:footnoteReference w:id="429"/>
      </w:r>
      <w:r>
        <w:rPr>
          <w:rFonts w:ascii="Amiri" w:hAnsi="Amiri" w:eastAsia="Amiri" w:cs="Amiri"/>
          <w:color w:val="111111"/>
          <w:sz w:val="28"/>
          <w:sz w:val="28"/>
          <w:szCs w:val="28"/>
          <w:rtl w:val="true"/>
          <w:lang w:bidi="ar-SA"/>
        </w:rPr>
        <w:t>يؤثِرونَ فِعلاً علىٰ غيرِه، و يَنتَقِلونَ‌</w:t>
      </w:r>
      <w:r>
        <w:rPr>
          <w:rStyle w:val="FootnoteAnchor"/>
          <w:rtl w:val="true"/>
        </w:rPr>
        <w:footnoteReference w:id="430"/>
      </w:r>
      <w:r>
        <w:rPr>
          <w:rFonts w:ascii="Amiri" w:hAnsi="Amiri" w:eastAsia="Amiri" w:cs="Amiri"/>
          <w:color w:val="111111"/>
          <w:sz w:val="28"/>
          <w:sz w:val="28"/>
          <w:szCs w:val="28"/>
          <w:rtl w:val="true"/>
          <w:lang w:bidi="ar-SA"/>
        </w:rPr>
        <w:t>مِن حالٍ إلىٰ أُخرىٰ بَعدَ أن لا يَكونَ في أفعالِهم شَيءٌ مِن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يَمتَنِعُ أن يَكونَ المُلجَأُ مِن وجهٍ مُخيَّراً</w:t>
      </w:r>
      <w:r>
        <w:rPr>
          <w:rStyle w:val="FootnoteAnchor"/>
          <w:rtl w:val="true"/>
        </w:rPr>
        <w:footnoteReference w:id="431"/>
      </w:r>
      <w:r>
        <w:rPr>
          <w:rFonts w:ascii="Amiri" w:hAnsi="Amiri" w:eastAsia="Amiri" w:cs="Amiri"/>
          <w:color w:val="111111"/>
          <w:sz w:val="28"/>
          <w:sz w:val="28"/>
          <w:szCs w:val="28"/>
          <w:rtl w:val="true"/>
          <w:lang w:bidi="ar-SA"/>
        </w:rPr>
        <w:t>مِن آخَرَ، و علىٰ وجوهٍ أُخَرَ</w:t>
      </w:r>
      <w:r>
        <w:rPr>
          <w:rStyle w:val="FootnoteAnchor"/>
          <w:rtl w:val="true"/>
        </w:rPr>
        <w:footnoteReference w:id="432"/>
      </w:r>
      <w:r>
        <w:rPr>
          <w:rFonts w:ascii="Amiri" w:hAnsi="Amiri" w:eastAsia="Amiri" w:cs="Amiri"/>
          <w:color w:val="111111"/>
          <w:sz w:val="28"/>
          <w:sz w:val="28"/>
          <w:szCs w:val="28"/>
          <w:rtl w:val="true"/>
          <w:lang w:bidi="ar-SA"/>
        </w:rPr>
        <w:t>لأنّ‌</w:t>
      </w:r>
      <w:r>
        <w:rPr>
          <w:rStyle w:val="FootnoteAnchor"/>
          <w:rtl w:val="true"/>
        </w:rPr>
        <w:footnoteReference w:id="433"/>
      </w:r>
      <w:r>
        <w:rPr>
          <w:rFonts w:ascii="Amiri" w:hAnsi="Amiri" w:eastAsia="Amiri" w:cs="Amiri"/>
          <w:color w:val="111111"/>
          <w:sz w:val="28"/>
          <w:sz w:val="28"/>
          <w:szCs w:val="28"/>
          <w:rtl w:val="true"/>
          <w:lang w:bidi="ar-SA"/>
        </w:rPr>
        <w:t>مَن ألجَأَه السَّبُعُ إلىٰ مُفارَقةِ مكانٍ بعَينِه هو مُخيَّرٌ في الجِهاتِ المُختَلِفةِ و الطُّرُقِ المُتَغايِرةِ‌، فالتخَيُّرُ</w:t>
      </w:r>
      <w:r>
        <w:rPr>
          <w:rStyle w:val="FootnoteAnchor"/>
          <w:rtl w:val="true"/>
        </w:rPr>
        <w:footnoteReference w:id="434"/>
      </w:r>
      <w:r>
        <w:rPr>
          <w:rFonts w:ascii="Amiri" w:hAnsi="Amiri" w:eastAsia="Amiri" w:cs="Amiri"/>
          <w:color w:val="111111"/>
          <w:sz w:val="28"/>
          <w:sz w:val="28"/>
          <w:szCs w:val="28"/>
          <w:rtl w:val="true"/>
          <w:lang w:bidi="ar-SA"/>
        </w:rPr>
        <w:t>ثابتٌ و إن كانَ مُلجَأً مِن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يَجِبُ أن يَلحَقَهم غَمٌّ و لا حَسرةٌ مِن حَيثُ أُلجِئوا إلىٰ‌</w:t>
      </w:r>
      <w:r>
        <w:rPr>
          <w:rStyle w:val="FootnoteAnchor"/>
          <w:rtl w:val="true"/>
        </w:rPr>
        <w:footnoteReference w:id="435"/>
      </w:r>
      <w:r>
        <w:rPr>
          <w:rFonts w:ascii="Amiri" w:hAnsi="Amiri" w:eastAsia="Amiri" w:cs="Amiri"/>
          <w:color w:val="111111"/>
          <w:sz w:val="28"/>
          <w:sz w:val="28"/>
          <w:szCs w:val="28"/>
          <w:rtl w:val="true"/>
          <w:lang w:bidi="ar-SA"/>
        </w:rPr>
        <w:t>أن لا يَفعَلوا القَبيحَ‌؛ لأنّهم مُستَغنونَ عنه بالحَسَنِ‌، فلا غَمَّ و لا حَسرةَ في الإلجاءِ إلىٰ مُفارَقةِ القَبيحِ‌</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الجُملةُ‌</w:t>
      </w:r>
      <w:r>
        <w:rPr>
          <w:rStyle w:val="FootnoteAnchor"/>
          <w:rtl w:val="true"/>
        </w:rPr>
        <w:footnoteReference w:id="436"/>
      </w:r>
      <w:r>
        <w:rPr>
          <w:rFonts w:ascii="Amiri" w:hAnsi="Amiri" w:eastAsia="Amiri" w:cs="Amiri"/>
          <w:color w:val="111111"/>
          <w:sz w:val="28"/>
          <w:sz w:val="28"/>
          <w:szCs w:val="28"/>
          <w:rtl w:val="true"/>
          <w:lang w:bidi="ar-SA"/>
        </w:rPr>
        <w:t>كافيةٌ لِمَن اطَّلَعَ عليها، و اللّٰهُ المُوفِّقُ للصوابِ‌</w:t>
      </w:r>
      <w:r>
        <w:rPr>
          <w:rFonts w:eastAsia="Amiri" w:cs="Amiri" w:ascii="Amiri" w:hAnsi="Amiri"/>
          <w:color w:val="111111"/>
          <w:sz w:val="28"/>
          <w:szCs w:val="28"/>
          <w:rtl w:val="true"/>
          <w:lang w:bidi="ar-SA"/>
        </w:rPr>
        <w:t xml:space="preserve">. </w:t>
      </w:r>
      <w:bookmarkStart w:id="271" w:name="pg16425_221624"/>
    </w:p>
    <w:p>
      <w:pPr>
        <w:pStyle w:val="Heading3"/>
        <w:numPr>
          <w:ilvl w:val="2"/>
          <w:numId w:val="1"/>
        </w:numPr>
        <w:rPr/>
      </w:pPr>
      <w:bookmarkStart w:id="272" w:name="__RefHeading___Toc7830077_1280447820"/>
      <w:bookmarkStart w:id="273" w:name="_Toc87"/>
      <w:bookmarkEnd w:id="271"/>
      <w:bookmarkEnd w:id="272"/>
      <w:r>
        <w:rPr>
          <w:rtl w:val="true"/>
        </w:rPr>
        <w:t>(</w:t>
      </w:r>
      <w:r>
        <w:rPr/>
        <w:t>48</w:t>
      </w:r>
      <w:r>
        <w:rPr>
          <w:rtl w:val="true"/>
        </w:rPr>
        <w:t xml:space="preserve">) </w:t>
      </w:r>
      <w:r>
        <w:rPr>
          <w:rtl w:val="true"/>
        </w:rPr>
        <w:t>مُناظَرةُ أبي العَلاءِ المَعَرّيِّ مع الشريفِ المرتضى</w:t>
      </w:r>
      <w:bookmarkEnd w:id="27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4" w:name="__RefHeading___Toc7830079_1280447820"/>
      <w:bookmarkStart w:id="275" w:name="_Toc88"/>
      <w:bookmarkEnd w:id="274"/>
      <w:r>
        <w:rPr>
          <w:rtl w:val="true"/>
        </w:rPr>
        <w:t>اشارة</w:t>
      </w:r>
      <w:bookmarkEnd w:id="27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16425_221626"/>
      <w:bookmarkStart w:id="277" w:name="pg16425_221626"/>
      <w:bookmarkEnd w:id="277"/>
    </w:p>
    <w:p>
      <w:pPr>
        <w:pStyle w:val="Heading4"/>
        <w:numPr>
          <w:ilvl w:val="3"/>
          <w:numId w:val="1"/>
        </w:numPr>
        <w:rPr/>
      </w:pPr>
      <w:bookmarkStart w:id="278" w:name="pg16425_221626"/>
      <w:bookmarkStart w:id="279" w:name="__RefHeading___Toc7830081_1280447820"/>
      <w:bookmarkStart w:id="280" w:name="_Toc89"/>
      <w:bookmarkEnd w:id="278"/>
      <w:bookmarkEnd w:id="279"/>
      <w:r>
        <w:rPr>
          <w:rtl w:val="true"/>
        </w:rPr>
        <w:t>مقدّمة التحقيق</w:t>
      </w:r>
      <w:bookmarkEnd w:id="280"/>
    </w:p>
    <w:p>
      <w:pPr>
        <w:pStyle w:val="Heading5"/>
        <w:numPr>
          <w:ilvl w:val="4"/>
          <w:numId w:val="1"/>
        </w:numPr>
        <w:rPr/>
      </w:pPr>
      <w:bookmarkStart w:id="281" w:name="__RefHeading___Toc7830083_1280447820"/>
      <w:bookmarkStart w:id="282" w:name="_Toc90"/>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تعتبر هذه المناظرة من مناظرات الشريف المرتضى القليلة المنقولة بنصّها، فهو على خلاف شيخه المفيد الذي حفظ لنا التاريخ العديدَ من مناظراته، خاصّة تلك المنقولة في كتاب الفصول المختارة، لم يصل إلينا من مناظراته إلّاعدد يسير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يحضرنا الآن من مناظراته و مباحثاته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هذه التي بين 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مناظرة مع أحد المعتزلة حول نظريّة الصرفة المتعلّقة ببحث جهة إعجاز القرآن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مباحثة حول معنى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المرء خيرٌ من عمله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مناظرة مع أبي عليّ الحسين بن الخضر البخاري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تركنا صدقة</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الجدير بالذكر أنّ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المناظرة الأخيرة؛ لكنّه لم يجزم بها، فقد 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التضعيف، و المُلاحَظ أنّه لم ينقل شيئاً من كلام الشريف المرتضى في هذه المناظرة، و إنّما اكتفى بنقل كلام الخصم فقط</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انعقدت المناظرة محلّ البحث في مجلس الشريف المرتضى عندما دخل </w:t>
      </w:r>
      <w:bookmarkStart w:id="283" w:name="pg16425_221627"/>
    </w:p>
    <w:p>
      <w:pPr>
        <w:pStyle w:val="BookText"/>
        <w:rPr/>
      </w:pPr>
      <w:bookmarkEnd w:id="283"/>
      <w:r>
        <w:rPr>
          <w:rFonts w:ascii="Amiri" w:hAnsi="Amiri" w:eastAsia="Amiri" w:cs="Amiri"/>
          <w:color w:val="111111"/>
          <w:sz w:val="28"/>
          <w:sz w:val="28"/>
          <w:szCs w:val="28"/>
          <w:rtl w:val="true"/>
          <w:lang w:bidi="ar-SA"/>
        </w:rPr>
        <w:t xml:space="preserve">عليه أبو العلاء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سأله أسئلة رمزيّة، فأجاب الشريف المرتضى عليها بإجابات تشبهها في الرمزيّة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المناظرة أقربَ إلى الأحاجي و الألغاز منها إلى الوضوح و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أنّ الشريف المرتضى قام بإيضاح معاني تلك الألغاز بعد مغادرة المعرّي المجلسَ‌، لكُنّا نجهل مضمون المناظرة تماماً، أو كنّا نكتفي ببعض التخمينات و الاحتمالات التي لا تغني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فهذه المناظرة اللغزيّة الرمزيّة ليست كثيرة على الرجلَين المعروفَين بالذكاء و النباهة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تاريخ المناظرة، فيمكن تخمينه بالفترة الواقعة بين سنتي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فقد كان المعرّي مقيماً في بغداد ما بين هاتين السنتين؛ فإنّه دخلها سنة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مكث فيها سنة و ستّة أو تسعة أشهر، و رثى خلالها الشريف الطاهر أبا أحمد الموسوي والد الشريفين المرتضى و الرضي، و الذي توفّي في جمادى الأُولى من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441"/>
      </w:r>
      <w:r>
        <w:rPr>
          <w:rFonts w:ascii="Amiri" w:hAnsi="Amiri" w:eastAsia="Amiri" w:cs="Amiri"/>
          <w:color w:val="111111"/>
          <w:sz w:val="28"/>
          <w:sz w:val="28"/>
          <w:szCs w:val="28"/>
          <w:rtl w:val="true"/>
          <w:lang w:bidi="ar-SA"/>
        </w:rPr>
        <w:t>، و رحل منها في رمضان من نفس السنة</w:t>
      </w:r>
      <w:r>
        <w:rPr>
          <w:rStyle w:val="FootnoteAnchor"/>
          <w:rtl w:val="true"/>
        </w:rPr>
        <w:footnoteReference w:id="442"/>
      </w:r>
      <w:r>
        <w:rPr>
          <w:rFonts w:ascii="Amiri" w:hAnsi="Amiri" w:eastAsia="Amiri" w:cs="Amiri"/>
          <w:color w:val="111111"/>
          <w:sz w:val="28"/>
          <w:sz w:val="28"/>
          <w:szCs w:val="28"/>
          <w:rtl w:val="true"/>
          <w:lang w:bidi="ar-SA"/>
        </w:rPr>
        <w:t>، فتكون المناظرة قد انعقدت خلال هذه الفترة</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7830085_1280447820"/>
      <w:bookmarkStart w:id="285" w:name="_Toc91"/>
      <w:bookmarkEnd w:id="284"/>
      <w:r>
        <w:rPr>
          <w:rtl w:val="true"/>
        </w:rPr>
        <w:t>نسبتها إلى المؤلّف</w:t>
      </w:r>
      <w:bookmarkEnd w:id="285"/>
    </w:p>
    <w:p>
      <w:pPr>
        <w:pStyle w:val="BookText"/>
        <w:rPr/>
      </w:pPr>
      <w:r>
        <w:rPr>
          <w:rFonts w:ascii="Amiri" w:hAnsi="Amiri" w:eastAsia="Amiri" w:cs="Amiri"/>
          <w:color w:val="111111"/>
          <w:sz w:val="28"/>
          <w:sz w:val="28"/>
          <w:szCs w:val="28"/>
          <w:rtl w:val="true"/>
          <w:lang w:bidi="ar-SA"/>
        </w:rPr>
        <w:t>أمّا التوثيق التاريخي لهذه المناظرة، فيمكن الاطمئنان إلى وقوعها فعلاً بين الشريف المرتضى و المعرّي؛ فإنّ راويها هو الشيخ سليمان الصهرشتي كما جاء في بدايتها، و هو أحد تلامذة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أُسلوب نقله للمناظرة أنّه كان حاضراً فيها، أو أنّه نقلها ممّن يوثق به، فهو قد نقل المناظرة بصورة جازمة من دون أيّ 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هذا قرينة مهمّة جدّاً علىٰ وقوع المناظرة تاريخيّاً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لقد أُشير فيها إلى بعض الآراء التي يمكن التأكّد من إيمان </w:t>
      </w:r>
    </w:p>
    <w:p>
      <w:pPr>
        <w:pStyle w:val="BookText"/>
        <w:rPr/>
      </w:pPr>
      <w:r>
        <w:rPr>
          <w:rFonts w:ascii="Amiri" w:hAnsi="Amiri" w:eastAsia="Amiri" w:cs="Amiri"/>
          <w:color w:val="111111"/>
          <w:sz w:val="28"/>
          <w:sz w:val="28"/>
          <w:szCs w:val="28"/>
          <w:rtl w:val="true"/>
          <w:lang w:bidi="ar-SA"/>
        </w:rPr>
        <w:t>الشريف المرتضى و المعرّي بها، و ذلك من خلال مراجعة شعر المعرّي و مؤلّفات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نقوم فيما يلي باستعراض بعض آراء المعرّي المذكورة في المناظرة، و نقارنها مع ما يدلّ عليها من شعره، و لعلّ مَن يغوص في تراثه و شعره يتمكّن من الحصول على شواهد أكثر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في المناظرة إشارة إلى إيمان المعرّي بقِدَم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تأييد ذلك من خلال شعره، فهو كان يؤمن بقِدَم المادّة و عناصرها الأربعة،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نُرَدُّ إلى الأُصولِ و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الأربعِ القُدُمِ انتسابُ‌</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يعني بالأربع القُدُم العناصر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لا ينفكُّ جسمي في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يعودَ إلى قديمِ العنصرِ</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هذا يدلّ على إيمانه بقِدَم المادّة و العناصر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كان يؤمن بقِدَم الزمن،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زمناً تقادَمَ غيرَ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المهيمنِ ذي الكمالِ‌</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النجوم و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في المناظرة في أكثر من موضع إلى اهتمام المعرّي بالنجوم و الكواكب، كالشِّعرىٰ و زحل و تأثيره، و الكواكب و النجوم السبعة، و العناصر أو الطبائع الأربع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كان المعرّي في شعره، فقد كان يعظّم الكواكب، و يرى أنّ النجوم قديمة و خالدة، و أنّها مؤثّرة في العالم تأثيراً طبعيّاً، و أنّها مجرّدة من الحسّ و العقل </w:t>
      </w:r>
    </w:p>
    <w:p>
      <w:pPr>
        <w:pStyle w:val="BookText"/>
        <w:rPr/>
      </w:pPr>
      <w:r>
        <w:rPr>
          <w:rFonts w:ascii="IRNazanin" w:hAnsi="IRNazanin" w:eastAsia="IRNazanin"/>
          <w:color w:val="111111"/>
          <w:sz w:val="28"/>
          <w:sz w:val="28"/>
          <w:szCs w:val="28"/>
          <w:rtl w:val="true"/>
          <w:lang w:bidi="fa-IR"/>
        </w:rPr>
        <w:t>و النفس</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شُهْبُ‌، إنّكِ في السماءِ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أشرتِ للحُكماءِ كلَّ مُشارِ</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الشُّهْبُ عظّمها المليكُ و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فواجبٌ إعظامُها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أربعاً آزرت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نوازلُ في اثنَي عشر</w:t>
      </w:r>
    </w:p>
    <w:p>
      <w:pPr>
        <w:pStyle w:val="BookText"/>
        <w:rPr/>
      </w:pPr>
      <w:r>
        <w:rPr>
          <w:rFonts w:ascii="Amiri" w:hAnsi="Amiri" w:eastAsia="Amiri" w:cs="Amiri"/>
          <w:color w:val="111111"/>
          <w:sz w:val="28"/>
          <w:sz w:val="28"/>
          <w:szCs w:val="28"/>
          <w:rtl w:val="true"/>
          <w:lang w:bidi="ar-SA"/>
        </w:rPr>
        <w:t>فمراده بالأربع العناصر، و بالسبعة الكواكب أو النجوم السيّارة، و بالاثني عشر البروج</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إنّ معظم ما جاء في المناظرة يتناسب مع آراء المعرّي المعروفة عنه و المنتشرة في ثنايا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جاء فيها يتناسب أيضاً مع آراء الشريف المرتضى المعروفة عنه، فهو كان يؤمن بحدوث العالم</w:t>
      </w:r>
      <w:r>
        <w:rPr>
          <w:rStyle w:val="FootnoteAnchor"/>
          <w:rtl w:val="true"/>
        </w:rPr>
        <w:footnoteReference w:id="448"/>
      </w:r>
      <w:r>
        <w:rPr>
          <w:rFonts w:ascii="Amiri" w:hAnsi="Amiri" w:eastAsia="Amiri" w:cs="Amiri"/>
          <w:color w:val="111111"/>
          <w:sz w:val="28"/>
          <w:sz w:val="28"/>
          <w:szCs w:val="28"/>
          <w:rtl w:val="true"/>
          <w:lang w:bidi="ar-SA"/>
        </w:rPr>
        <w:t>، كما كان ينكر تأثير الكواكب و النجوم</w:t>
      </w:r>
      <w:r>
        <w:rPr>
          <w:rStyle w:val="FootnoteAnchor"/>
          <w:rtl w:val="true"/>
        </w:rPr>
        <w:footnoteReference w:id="449"/>
      </w:r>
      <w:r>
        <w:rPr>
          <w:rFonts w:ascii="Amiri" w:hAnsi="Amiri" w:eastAsia="Amiri" w:cs="Amiri"/>
          <w:color w:val="111111"/>
          <w:sz w:val="28"/>
          <w:sz w:val="28"/>
          <w:szCs w:val="28"/>
          <w:rtl w:val="true"/>
          <w:lang w:bidi="ar-SA"/>
        </w:rPr>
        <w:t>، و لا حاجة بنا إلى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التطابق الكبير بين ما نسب إلى الشريف المرتضى و المعرّي من آراء في هذه المناظرة، و بين ما هو معروف من آرائهما، يدعو إلى الاطمئنان بأنّ المناظرة ليست منحولة، و أنّها لا تخلو من صلة بالواقع و الحقيقة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المناظرة منقولة في مصدر متقدّم نسبيّاً، فهي منقولة في كتاب الاحتجاج للشيخ أبي منصور الطبرسي</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حيّاً في القرن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كانت تفصله عن تاريخ حصول المناظرة حوالي مائة سنة فقط، أو أكثر بقليل</w:t>
      </w:r>
      <w:r>
        <w:rPr>
          <w:rFonts w:eastAsia="Amiri" w:cs="Amiri" w:ascii="Amiri" w:hAnsi="Amiri"/>
          <w:color w:val="111111"/>
          <w:sz w:val="28"/>
          <w:szCs w:val="28"/>
          <w:rtl w:val="true"/>
          <w:lang w:bidi="ar-SA"/>
        </w:rPr>
        <w:t xml:space="preserve">. </w:t>
      </w:r>
      <w:bookmarkStart w:id="286" w:name="pg16425_221630"/>
    </w:p>
    <w:p>
      <w:pPr>
        <w:pStyle w:val="BookText"/>
        <w:rPr/>
      </w:pPr>
      <w:bookmarkEnd w:id="286"/>
      <w:r>
        <w:rPr>
          <w:rFonts w:ascii="Amiri" w:hAnsi="Amiri" w:eastAsia="Amiri" w:cs="Amiri"/>
          <w:color w:val="111111"/>
          <w:sz w:val="28"/>
          <w:sz w:val="28"/>
          <w:szCs w:val="28"/>
          <w:rtl w:val="true"/>
          <w:lang w:bidi="ar-SA"/>
        </w:rPr>
        <w:t>و نشير في الختام إلى أنّه جاء في نهاية المناظرة بيتان للمعرّي في مدح الشريف المرتضى، لكنّهما غير موجودين في ديوانه، حيث قال مؤلّف كتاب الجامع في أخبار أبي العلاء المعرّي بعد أنّ نقل المناظرة و البيتين من كتاب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هذان البيتان لم يُذكرا في ديوانيه، و لا رأيتهما في غير هذا المكان</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وجود البيتين بين أشعار المعرّي المعروفة، إن دلّ فرضاً على عدم صحّة نسبة البيتين إليه، لكنّه لا يدعو إلى التشكيك في صحّة نسبة أصل المناظرة، فلعلّ هذين البيتين قد أُضيفا فيما بعد إلى المناظرة، خاصّة و إنّ الطبرسي عند نقل البيتين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المعرّي لمّا خرج عن العراق، سُئل عن السيّد المرتضى،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البيتين</w:t>
      </w:r>
      <w:r>
        <w:rPr>
          <w:rStyle w:val="FootnoteAnchor"/>
          <w:rtl w:val="true"/>
        </w:rPr>
        <w:footnoteReference w:id="452"/>
      </w:r>
      <w:r>
        <w:rPr>
          <w:rFonts w:ascii="Amiri" w:hAnsi="Amiri" w:eastAsia="Amiri" w:cs="Amiri"/>
          <w:color w:val="111111"/>
          <w:sz w:val="28"/>
          <w:sz w:val="28"/>
          <w:szCs w:val="28"/>
          <w:rtl w:val="true"/>
          <w:lang w:bidi="ar-SA"/>
        </w:rPr>
        <w:t>، فهو عبّر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يدلّ على عدم اطمئنانه بصحّة نسبة البيتين، كما يدلّ على أنّهما أُضيفا فيما بعد إلى نصّ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لم تطبع هذه المناظرة في ضمن رسائل الشريف المرتضى المطبوعة في قم، و لا مسائل المرتضى المطبوعة في بيروت، ولكنّها طبعت في ضمن عدّة كتب، أهمّها كتاب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ثمّ كتاب بحار الأنوار،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مواقف 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الجامع في أخبار أبي العلاء المعرّي،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7830087_1280447820"/>
      <w:bookmarkStart w:id="288" w:name="_Toc92"/>
      <w:bookmarkEnd w:id="287"/>
      <w:r>
        <w:rPr>
          <w:rtl w:val="true"/>
        </w:rPr>
        <w:t>مخطوطات الرسالة</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المركزيّة بجامعة طهران، ميكروفيلم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هي ناقصة من الآخر بسطور،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الاحتجاج 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تقدّم أنّه نقل هذه المناظرة في كتابه، و لذلك قمنا بمقابلتها معه</w:t>
      </w:r>
      <w:r>
        <w:rPr>
          <w:rFonts w:eastAsia="Amiri" w:cs="Amiri" w:ascii="Amiri" w:hAnsi="Amiri"/>
          <w:color w:val="111111"/>
          <w:sz w:val="28"/>
          <w:szCs w:val="28"/>
          <w:rtl w:val="true"/>
          <w:lang w:bidi="ar-SA"/>
        </w:rPr>
        <w:t xml:space="preserve">. </w:t>
      </w:r>
      <w:bookmarkStart w:id="289" w:name="pg16425_221632"/>
    </w:p>
    <w:p>
      <w:pPr>
        <w:pStyle w:val="Heading4"/>
        <w:numPr>
          <w:ilvl w:val="3"/>
          <w:numId w:val="1"/>
        </w:numPr>
        <w:rPr/>
      </w:pPr>
      <w:bookmarkStart w:id="290" w:name="__RefHeading___Toc7830089_1280447820"/>
      <w:bookmarkStart w:id="291" w:name="_Toc93"/>
      <w:bookmarkEnd w:id="289"/>
      <w:bookmarkEnd w:id="290"/>
      <w:r>
        <w:rPr>
          <w:rtl w:val="true"/>
        </w:rPr>
        <w:t>مُناظَرةُ أبي العَلاءِ المَعَرّيِّ مع الشريفِ المرتضى</w:t>
      </w:r>
      <w:bookmarkEnd w:id="291"/>
    </w:p>
    <w:p>
      <w:pPr>
        <w:pStyle w:val="Heading5"/>
        <w:numPr>
          <w:ilvl w:val="4"/>
          <w:numId w:val="1"/>
        </w:numPr>
        <w:rPr/>
      </w:pPr>
      <w:bookmarkStart w:id="292" w:name="__RefHeading___Toc7830091_1280447820"/>
      <w:bookmarkStart w:id="293" w:name="_Toc94"/>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مُناظَرةُ أبي العَلاءِ المَعَرّيِّ مع الشريفِ المرتضى</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454"/>
      </w:r>
    </w:p>
    <w:p>
      <w:pPr>
        <w:pStyle w:val="Heading5"/>
        <w:numPr>
          <w:ilvl w:val="4"/>
          <w:numId w:val="1"/>
        </w:numPr>
        <w:rPr/>
      </w:pPr>
      <w:bookmarkStart w:id="294" w:name="__RefHeading___Toc7830093_1280447820"/>
      <w:bookmarkStart w:id="295" w:name="_Toc95"/>
      <w:bookmarkEnd w:id="294"/>
      <w:r>
        <w:rPr>
          <w:rtl w:val="true"/>
        </w:rPr>
        <w:t>نصّ المناظرة</w:t>
      </w:r>
      <w:bookmarkEnd w:id="295"/>
    </w:p>
    <w:p>
      <w:pPr>
        <w:pStyle w:val="BookText"/>
        <w:rPr/>
      </w:pPr>
      <w:r>
        <w:rPr>
          <w:rFonts w:ascii="Amiri" w:hAnsi="Amiri" w:eastAsia="Amiri" w:cs="Amiri"/>
          <w:color w:val="111111"/>
          <w:sz w:val="28"/>
          <w:sz w:val="28"/>
          <w:szCs w:val="28"/>
          <w:rtl w:val="true"/>
          <w:lang w:bidi="ar-SA"/>
        </w:rPr>
        <w:t>قالَ الشيخُ سُلَيمانُ الصَّهرَشتيُّ‌</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الشيخ الصهرشتي هو أبو الحسن سليمان بن حسن بن سليمان الصهرشتي المشتهر بنظام الدين،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تلامذة الشريف المرتضى، و الشيخ الطوسي، و أبي العبّاس النجاشي، و أبي الفرج المظفّر بن عليّ بن حمدان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منتجب الدين في فهرسته،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ثقة، وجه،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شيخنا الموفّق أبي جعفر الطوسي، و جلس في مجلس درس الشريف السيّد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النفيس، و كتاب التنبيه، و كتاب النوادر، و كتاب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الوالد عن والده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سائر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مصباح الشريعة، و عمدة الولي، و قبس المصباح، و نهج السالك في معرفة المناسك، و البداية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لمنتجب الدين،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أمل الآمل،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الذريعة إلى تصانيف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 الحجب و الأستار،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هديّة العارفين،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العَلاءِ المَعَرّيُّ علىٰ‌</w:t>
      </w:r>
    </w:p>
    <w:p>
      <w:pPr>
        <w:pStyle w:val="BookText"/>
        <w:rPr/>
      </w:pPr>
      <w:r>
        <w:rPr>
          <w:rFonts w:ascii="Amiri" w:hAnsi="Amiri" w:eastAsia="Amiri" w:cs="Amiri"/>
          <w:color w:val="111111"/>
          <w:sz w:val="28"/>
          <w:sz w:val="28"/>
          <w:szCs w:val="28"/>
          <w:rtl w:val="true"/>
          <w:lang w:bidi="ar-SA"/>
        </w:rPr>
        <w:t>سَيّدِنا</w:t>
      </w:r>
      <w:r>
        <w:rPr>
          <w:rStyle w:val="FootnoteAnchor"/>
          <w:rtl w:val="true"/>
        </w:rPr>
        <w:footnoteReference w:id="456"/>
      </w:r>
      <w:r>
        <w:rPr>
          <w:rFonts w:ascii="Amiri" w:hAnsi="Amiri" w:eastAsia="Amiri" w:cs="Amiri"/>
          <w:color w:val="111111"/>
          <w:sz w:val="28"/>
          <w:sz w:val="28"/>
          <w:szCs w:val="28"/>
          <w:rtl w:val="true"/>
          <w:lang w:bidi="ar-SA"/>
        </w:rPr>
        <w:t>المُرتَضىٰ عَلَمِ الهُدىٰ‌</w:t>
      </w:r>
      <w:r>
        <w:rPr>
          <w:rStyle w:val="FootnoteAnchor"/>
          <w:rtl w:val="true"/>
        </w:rPr>
        <w:footnoteReference w:id="457"/>
      </w:r>
      <w:r>
        <w:rPr>
          <w:rFonts w:ascii="Amiri" w:hAnsi="Amiri" w:eastAsia="Amiri" w:cs="Amiri"/>
          <w:color w:val="111111"/>
          <w:sz w:val="28"/>
          <w:sz w:val="28"/>
          <w:szCs w:val="28"/>
          <w:rtl w:val="true"/>
          <w:lang w:bidi="ar-SA"/>
        </w:rPr>
        <w:t>رَضِيَ اللّٰهُ عنه</w:t>
      </w:r>
      <w:r>
        <w:rPr>
          <w:rStyle w:val="FootnoteAnchor"/>
          <w:rtl w:val="true"/>
        </w:rPr>
        <w:footnoteReference w:id="45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Style w:val="FootnoteAnchor"/>
          <w:rtl w:val="true"/>
        </w:rPr>
        <w:footnoteReference w:id="459"/>
      </w:r>
      <w:r>
        <w:rPr>
          <w:rFonts w:ascii="Amiri" w:hAnsi="Amiri" w:eastAsia="Amiri" w:cs="Amiri"/>
          <w:color w:val="111111"/>
          <w:sz w:val="28"/>
          <w:sz w:val="28"/>
          <w:szCs w:val="28"/>
          <w:rtl w:val="true"/>
          <w:lang w:bidi="ar-SA"/>
        </w:rPr>
        <w:t>أيُّها السيِّدُ، ما قولُكَ في الكُلِّ؟</w:t>
      </w:r>
    </w:p>
    <w:p>
      <w:pPr>
        <w:pStyle w:val="BookText"/>
        <w:rPr/>
      </w:pPr>
      <w:r>
        <w:rPr>
          <w:rFonts w:ascii="Amiri" w:hAnsi="Amiri" w:eastAsia="Amiri" w:cs="Amiri"/>
          <w:color w:val="111111"/>
          <w:sz w:val="28"/>
          <w:sz w:val="28"/>
          <w:szCs w:val="28"/>
          <w:rtl w:val="true"/>
          <w:lang w:bidi="ar-SA"/>
        </w:rPr>
        <w:t>فقالَ‌</w:t>
      </w:r>
      <w:r>
        <w:rPr>
          <w:rStyle w:val="FootnoteAnchor"/>
          <w:rtl w:val="true"/>
        </w:rPr>
        <w:footnoteReference w:id="460"/>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الجُزءِ؟</w:t>
      </w:r>
    </w:p>
    <w:p>
      <w:pPr>
        <w:pStyle w:val="BookText"/>
        <w:rPr/>
      </w:pPr>
      <w:r>
        <w:rPr>
          <w:rFonts w:ascii="Amiri" w:hAnsi="Amiri" w:eastAsia="Amiri" w:cs="Amiri"/>
          <w:color w:val="111111"/>
          <w:sz w:val="28"/>
          <w:sz w:val="28"/>
          <w:szCs w:val="28"/>
          <w:rtl w:val="true"/>
          <w:lang w:bidi="ar-SA"/>
        </w:rPr>
        <w:t>فقالَ أبو العَلاءِ‌</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الشِّعرىٰ؟</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التَّدويرِ؟</w:t>
      </w:r>
    </w:p>
    <w:p>
      <w:pPr>
        <w:pStyle w:val="BookText"/>
        <w:rPr/>
      </w:pPr>
      <w:r>
        <w:rPr>
          <w:rFonts w:ascii="Amiri" w:hAnsi="Amiri" w:eastAsia="Amiri" w:cs="Amiri"/>
          <w:color w:val="111111"/>
          <w:sz w:val="28"/>
          <w:sz w:val="28"/>
          <w:szCs w:val="28"/>
          <w:rtl w:val="true"/>
          <w:lang w:bidi="ar-SA"/>
        </w:rPr>
        <w:t>فقالَ‌</w:t>
      </w:r>
      <w:r>
        <w:rPr>
          <w:rStyle w:val="FootnoteAnchor"/>
          <w:rtl w:val="true"/>
        </w:rPr>
        <w:footnoteReference w:id="462"/>
      </w:r>
      <w:r>
        <w:rPr>
          <w:rFonts w:ascii="Amiri" w:hAnsi="Amiri" w:eastAsia="Amiri" w:cs="Amiri"/>
          <w:color w:val="111111"/>
          <w:sz w:val="28"/>
          <w:sz w:val="28"/>
          <w:szCs w:val="28"/>
          <w:rtl w:val="true"/>
          <w:lang w:bidi="ar-SA"/>
        </w:rPr>
        <w:t>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عدمِ الانتهاءِ؟</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التحيُّزِ و الناعورةِ‌</w:t>
      </w:r>
      <w:r>
        <w:rPr>
          <w:rStyle w:val="FootnoteAnchor"/>
          <w:rtl w:val="true"/>
        </w:rPr>
        <w:footnoteReference w:id="4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السَّبعِ؟</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الزائدِ البَريءِ‌</w:t>
      </w:r>
      <w:r>
        <w:rPr>
          <w:rStyle w:val="FootnoteAnchor"/>
          <w:rtl w:val="true"/>
        </w:rPr>
        <w:footnoteReference w:id="464"/>
      </w:r>
      <w:r>
        <w:rPr>
          <w:rFonts w:ascii="Amiri" w:hAnsi="Amiri" w:eastAsia="Amiri" w:cs="Amiri"/>
          <w:color w:val="111111"/>
          <w:sz w:val="28"/>
          <w:sz w:val="28"/>
          <w:szCs w:val="28"/>
          <w:rtl w:val="true"/>
          <w:lang w:bidi="ar-SA"/>
        </w:rPr>
        <w:t>مِن</w:t>
      </w:r>
      <w:r>
        <w:rPr>
          <w:rStyle w:val="FootnoteAnchor"/>
          <w:rtl w:val="true"/>
        </w:rPr>
        <w:footnoteReference w:id="465"/>
      </w:r>
      <w:r>
        <w:rPr>
          <w:rFonts w:ascii="Amiri" w:hAnsi="Amiri" w:eastAsia="Amiri" w:cs="Amiri"/>
          <w:color w:val="111111"/>
          <w:sz w:val="28"/>
          <w:sz w:val="28"/>
          <w:szCs w:val="28"/>
          <w:rtl w:val="true"/>
          <w:lang w:bidi="ar-SA"/>
        </w:rPr>
        <w:t>السَّبعِ؟</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في الأربَعِ؟ </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الواحدةِ و الِاثنتَينِ‌</w:t>
      </w:r>
      <w:r>
        <w:rPr>
          <w:rStyle w:val="FootnoteAnchor"/>
          <w:rtl w:val="true"/>
        </w:rPr>
        <w:footnoteReference w:id="4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المؤثِّرِ؟</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المؤثِّراتِ‌</w:t>
      </w:r>
      <w:r>
        <w:rPr>
          <w:rStyle w:val="FootnoteAnchor"/>
          <w:rtl w:val="true"/>
        </w:rPr>
        <w:footnoteReference w:id="4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النَّحسَينِ؟</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السَّعدَينِ؟</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أبو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Style w:val="FootnoteAnchor"/>
          <w:rtl w:val="true"/>
        </w:rPr>
        <w:footnoteReference w:id="469"/>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مُلحِدٍ مُلهِدٌ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كِتابِ اللّٰهِ‌</w:t>
      </w:r>
      <w:r>
        <w:rPr>
          <w:rStyle w:val="FootnoteAnchor"/>
          <w:rtl w:val="true"/>
        </w:rPr>
        <w:footnoteReference w:id="471"/>
      </w:r>
      <w:r>
        <w:rPr>
          <w:rFonts w:ascii="Amiri" w:hAnsi="Amiri" w:eastAsia="Amiri" w:cs="Amiri"/>
          <w:color w:val="111111"/>
          <w:sz w:val="28"/>
          <w:sz w:val="28"/>
          <w:szCs w:val="28"/>
          <w:rtl w:val="true"/>
          <w:lang w:bidi="ar-SA"/>
        </w:rPr>
        <w:t>عَزَّ وَ جَلَّ‌</w:t>
      </w:r>
      <w:r>
        <w:rPr>
          <w:rStyle w:val="FootnoteAnchor"/>
          <w:rtl w:val="true"/>
        </w:rPr>
        <w:footnoteReference w:id="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قامَ و خَرَجَ‌</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المُرتَضىٰ‌</w:t>
      </w:r>
      <w:r>
        <w:rPr>
          <w:rStyle w:val="FootnoteAnchor"/>
          <w:rtl w:val="true"/>
        </w:rPr>
        <w:footnoteReference w:id="475"/>
      </w:r>
      <w:r>
        <w:rPr>
          <w:rFonts w:ascii="Amiri" w:hAnsi="Amiri" w:eastAsia="Amiri" w:cs="Amiri"/>
          <w:color w:val="111111"/>
          <w:sz w:val="28"/>
          <w:sz w:val="28"/>
          <w:szCs w:val="28"/>
          <w:rtl w:val="true"/>
          <w:lang w:bidi="ar-SA"/>
        </w:rPr>
        <w:t>رَضِيَ اللّٰهُ عنه</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عَنّا الرَّجُلُ‌، و بَعدَ هذا لا يَرانا</w:t>
      </w:r>
      <w:r>
        <w:rPr>
          <w:rFonts w:eastAsia="Amiri" w:cs="Amiri" w:ascii="Amiri" w:hAnsi="Amiri"/>
          <w:color w:val="111111"/>
          <w:sz w:val="28"/>
          <w:szCs w:val="28"/>
          <w:rtl w:val="true"/>
          <w:lang w:bidi="ar-SA"/>
        </w:rPr>
        <w:t xml:space="preserve">. </w:t>
      </w:r>
      <w:bookmarkStart w:id="296" w:name="pg16425_221635"/>
    </w:p>
    <w:p>
      <w:pPr>
        <w:pStyle w:val="BookText"/>
        <w:rPr/>
      </w:pPr>
      <w:bookmarkEnd w:id="296"/>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7830095_1280447820"/>
      <w:bookmarkStart w:id="298" w:name="_Toc96"/>
      <w:bookmarkEnd w:id="297"/>
      <w:r>
        <w:rPr>
          <w:rtl w:val="true"/>
        </w:rPr>
        <w:t>شرح الشريف المرتضى للمناظرة</w:t>
      </w:r>
      <w:bookmarkEnd w:id="298"/>
    </w:p>
    <w:p>
      <w:pPr>
        <w:pStyle w:val="BookText"/>
        <w:rPr/>
      </w:pPr>
      <w:r>
        <w:rPr>
          <w:rFonts w:ascii="Amiri" w:hAnsi="Amiri" w:eastAsia="Amiri" w:cs="Amiri"/>
          <w:color w:val="111111"/>
          <w:sz w:val="28"/>
          <w:sz w:val="28"/>
          <w:szCs w:val="28"/>
          <w:rtl w:val="true"/>
          <w:lang w:bidi="ar-SA"/>
        </w:rPr>
        <w:t>فسُئلَ المُرتَضىٰ‌</w:t>
      </w:r>
      <w:r>
        <w:rPr>
          <w:rStyle w:val="FootnoteAnchor"/>
          <w:rtl w:val="true"/>
        </w:rPr>
        <w:footnoteReference w:id="477"/>
      </w:r>
      <w:r>
        <w:rPr>
          <w:rFonts w:ascii="Amiri" w:hAnsi="Amiri" w:eastAsia="Amiri" w:cs="Amiri"/>
          <w:color w:val="111111"/>
          <w:sz w:val="28"/>
          <w:sz w:val="28"/>
          <w:szCs w:val="28"/>
          <w:rtl w:val="true"/>
          <w:lang w:bidi="ar-SA"/>
        </w:rPr>
        <w:t>رَضِيَ اللّٰهُ عنه</w:t>
      </w:r>
      <w:r>
        <w:rPr>
          <w:rStyle w:val="FootnoteAnchor"/>
          <w:rtl w:val="true"/>
        </w:rPr>
        <w:footnoteReference w:id="478"/>
      </w:r>
      <w:r>
        <w:rPr>
          <w:rFonts w:ascii="IRNazanin" w:hAnsi="IRNazanin" w:eastAsia="IRNazanin"/>
          <w:color w:val="111111"/>
          <w:sz w:val="28"/>
          <w:sz w:val="28"/>
          <w:szCs w:val="28"/>
          <w:rtl w:val="true"/>
          <w:lang w:bidi="fa-IR"/>
        </w:rPr>
        <w:t>عن هذه الوجوهِ‌</w:t>
      </w:r>
      <w:r>
        <w:rPr>
          <w:rStyle w:val="FootnoteAnchor"/>
          <w:rtl w:val="true"/>
        </w:rPr>
        <w:footnoteReference w:id="479"/>
      </w:r>
      <w:r>
        <w:rPr>
          <w:rFonts w:ascii="Amiri" w:hAnsi="Amiri" w:eastAsia="Amiri" w:cs="Amiri"/>
          <w:color w:val="111111"/>
          <w:sz w:val="28"/>
          <w:sz w:val="28"/>
          <w:szCs w:val="28"/>
          <w:rtl w:val="true"/>
          <w:lang w:bidi="ar-SA"/>
        </w:rPr>
        <w:t>و الرُّموزِ و الإشاراتِ‌،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عن الكُلِّ‌، و الكُلُّ عندَهم</w:t>
      </w:r>
      <w:r>
        <w:rPr>
          <w:rStyle w:val="FootnoteAnchor"/>
          <w:rtl w:val="true"/>
        </w:rPr>
        <w:footnoteReference w:id="480"/>
      </w:r>
      <w:r>
        <w:rPr>
          <w:rFonts w:ascii="Amiri" w:hAnsi="Amiri" w:eastAsia="Amiri" w:cs="Amiri"/>
          <w:color w:val="111111"/>
          <w:sz w:val="28"/>
          <w:sz w:val="28"/>
          <w:szCs w:val="28"/>
          <w:rtl w:val="true"/>
          <w:lang w:bidi="ar-SA"/>
        </w:rPr>
        <w:t>قَديمٌ‌، و يُشيرُ بذلكَ إلى عالَمٍ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w:t>
      </w:r>
      <w:r>
        <w:rPr>
          <w:rStyle w:val="FootnoteAnchor"/>
          <w:rtl w:val="true"/>
        </w:rPr>
        <w:footnoteReference w:id="481"/>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فيه‌؟ أرادَ أنّه قديمٌ‌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فأجَبتُه عن ذلكَ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الجُزءِ؟ لأنّ عندَهم الجُزءُ مُحدَثٌ‌، و هو مُتولِّدٌ عن العالَمِ الكَبيرِ، و هذا الجُزءُ هو</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Style w:val="FootnoteAnchor"/>
          <w:rtl w:val="true"/>
        </w:rPr>
        <w:footnoteReference w:id="485"/>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مُرادي بذلكَ أنّه</w:t>
      </w:r>
      <w:r>
        <w:rPr>
          <w:rStyle w:val="FootnoteAnchor"/>
          <w:rtl w:val="true"/>
        </w:rPr>
        <w:footnoteReference w:id="487"/>
      </w:r>
      <w:r>
        <w:rPr>
          <w:rFonts w:ascii="Amiri" w:hAnsi="Amiri" w:eastAsia="Amiri" w:cs="Amiri"/>
          <w:color w:val="111111"/>
          <w:sz w:val="28"/>
          <w:sz w:val="28"/>
          <w:szCs w:val="28"/>
          <w:rtl w:val="true"/>
          <w:lang w:bidi="ar-SA"/>
        </w:rPr>
        <w:t>إذا كانَ هذا الجُزءُ مُحدَثاً</w:t>
      </w:r>
      <w:r>
        <w:rPr>
          <w:rStyle w:val="FootnoteAnchor"/>
          <w:rtl w:val="true"/>
        </w:rPr>
        <w:footnoteReference w:id="488"/>
      </w:r>
      <w:r>
        <w:rPr>
          <w:rFonts w:ascii="Amiri" w:hAnsi="Amiri" w:eastAsia="Amiri" w:cs="Amiri"/>
          <w:color w:val="111111"/>
          <w:sz w:val="28"/>
          <w:sz w:val="28"/>
          <w:szCs w:val="28"/>
          <w:rtl w:val="true"/>
          <w:lang w:bidi="ar-SA"/>
        </w:rPr>
        <w:t xml:space="preserve">، فذلكَ الذي أشارَ إليه إن </w:t>
      </w:r>
    </w:p>
    <w:p>
      <w:pPr>
        <w:pStyle w:val="BookText"/>
        <w:rPr/>
      </w:pPr>
      <w:r>
        <w:rPr>
          <w:rFonts w:ascii="Amiri" w:hAnsi="Amiri" w:eastAsia="Amiri" w:cs="Amiri"/>
          <w:color w:val="111111"/>
          <w:sz w:val="28"/>
          <w:sz w:val="28"/>
          <w:szCs w:val="28"/>
          <w:rtl w:val="true"/>
          <w:lang w:bidi="ar-SA"/>
        </w:rPr>
        <w:t>صَحَّ فهو مُحدَثٌ مِثلُه</w:t>
      </w:r>
      <w:r>
        <w:rPr>
          <w:rStyle w:val="FootnoteAnchor"/>
          <w:rtl w:val="true"/>
        </w:rPr>
        <w:footnoteReference w:id="489"/>
      </w:r>
      <w:r>
        <w:rPr>
          <w:rFonts w:ascii="Amiri" w:hAnsi="Amiri" w:eastAsia="Amiri" w:cs="Amiri"/>
          <w:color w:val="111111"/>
          <w:sz w:val="28"/>
          <w:sz w:val="28"/>
          <w:szCs w:val="28"/>
          <w:rtl w:val="true"/>
          <w:lang w:bidi="ar-SA"/>
        </w:rPr>
        <w:t>لأنّ هذا مِن جنسِه علىٰ زَعمِه</w:t>
      </w:r>
      <w:r>
        <w:rPr>
          <w:rStyle w:val="FootnoteAnchor"/>
          <w:rtl w:val="true"/>
        </w:rPr>
        <w:footnoteReference w:id="490"/>
      </w:r>
      <w:r>
        <w:rPr>
          <w:rFonts w:ascii="Amiri" w:hAnsi="Amiri" w:eastAsia="Amiri" w:cs="Amiri"/>
          <w:color w:val="111111"/>
          <w:sz w:val="28"/>
          <w:sz w:val="28"/>
          <w:szCs w:val="28"/>
          <w:rtl w:val="true"/>
          <w:lang w:bidi="ar-SA"/>
        </w:rPr>
        <w:t>، و الشيءُ الواحدُ و الجنسُ الواحدُ</w:t>
      </w:r>
      <w:r>
        <w:rPr>
          <w:rStyle w:val="FootnoteAnchor"/>
          <w:rtl w:val="true"/>
        </w:rPr>
        <w:footnoteReference w:id="491"/>
      </w:r>
      <w:r>
        <w:rPr>
          <w:rFonts w:ascii="Amiri" w:hAnsi="Amiri" w:eastAsia="Amiri" w:cs="Amiri"/>
          <w:color w:val="111111"/>
          <w:sz w:val="28"/>
          <w:sz w:val="28"/>
          <w:szCs w:val="28"/>
          <w:rtl w:val="true"/>
          <w:lang w:bidi="ar-SA"/>
        </w:rPr>
        <w:t>لا يَكونُ بعضُه قَديماً و بعضُه مُحدَثاً</w:t>
      </w:r>
      <w:r>
        <w:rPr>
          <w:rStyle w:val="FootnoteAnchor"/>
          <w:rtl w:val="true"/>
        </w:rPr>
        <w:footnoteReference w:id="492"/>
      </w:r>
      <w:r>
        <w:rPr>
          <w:rFonts w:ascii="Amiri" w:hAnsi="Amiri" w:eastAsia="Amiri" w:cs="Amiri"/>
          <w:color w:val="111111"/>
          <w:sz w:val="28"/>
          <w:sz w:val="28"/>
          <w:szCs w:val="28"/>
          <w:rtl w:val="true"/>
          <w:lang w:bidi="ar-SA"/>
        </w:rPr>
        <w:t>، فسَكَتَ لمّا سَمِعَ ما</w:t>
      </w:r>
      <w:r>
        <w:rPr>
          <w:rStyle w:val="FootnoteAnchor"/>
          <w:rtl w:val="true"/>
        </w:rPr>
        <w:footnoteReference w:id="493"/>
      </w:r>
      <w:r>
        <w:rPr>
          <w:rFonts w:ascii="Amiri" w:hAnsi="Amiri" w:eastAsia="Amiri" w:cs="Amiri"/>
          <w:color w:val="111111"/>
          <w:sz w:val="28"/>
          <w:sz w:val="28"/>
          <w:szCs w:val="28"/>
          <w:rtl w:val="true"/>
          <w:lang w:bidi="ar-SA"/>
        </w:rPr>
        <w:t>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الشِّعرىٰ‌</w:t>
      </w:r>
      <w:r>
        <w:rPr>
          <w:rStyle w:val="FootnoteAnchor"/>
          <w:rtl w:val="true"/>
        </w:rPr>
        <w:footnoteReference w:id="494"/>
      </w:r>
      <w:r>
        <w:rPr>
          <w:rFonts w:ascii="Amiri" w:hAnsi="Amiri" w:eastAsia="Amiri" w:cs="Amiri"/>
          <w:color w:val="111111"/>
          <w:sz w:val="28"/>
          <w:sz w:val="28"/>
          <w:szCs w:val="28"/>
          <w:rtl w:val="true"/>
          <w:lang w:bidi="ar-SA"/>
        </w:rPr>
        <w:t>؟ أرادَ أ نَّهُ ليسَ‌</w:t>
      </w:r>
      <w:r>
        <w:rPr>
          <w:rStyle w:val="FootnoteAnchor"/>
          <w:rtl w:val="true"/>
        </w:rPr>
        <w:footnoteReference w:id="495"/>
      </w:r>
      <w:r>
        <w:rPr>
          <w:rFonts w:ascii="Amiri" w:hAnsi="Amiri" w:eastAsia="Amiri" w:cs="Amiri"/>
          <w:color w:val="111111"/>
          <w:sz w:val="28"/>
          <w:sz w:val="28"/>
          <w:szCs w:val="28"/>
          <w:rtl w:val="true"/>
          <w:lang w:bidi="ar-SA"/>
        </w:rPr>
        <w:t>مِن الكَواكبِ السيّارةِ‌</w:t>
      </w:r>
      <w:r>
        <w:rPr>
          <w:rStyle w:val="FootnoteAnchor"/>
          <w:rtl w:val="true"/>
        </w:rPr>
        <w:footnoteReference w:id="496"/>
      </w:r>
      <w:r>
        <w:rPr>
          <w:rFonts w:ascii="Amiri" w:hAnsi="Amiri" w:eastAsia="Amiri" w:cs="Amiri"/>
          <w:color w:val="111111"/>
          <w:sz w:val="28"/>
          <w:sz w:val="28"/>
          <w:szCs w:val="28"/>
          <w:rtl w:val="true"/>
          <w:lang w:bidi="ar-SA"/>
        </w:rPr>
        <w:t>لأنّهُ قَديمٌ‌</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التَّدويرِ؟ أردتُ بذلكَ‌</w:t>
      </w:r>
      <w:r>
        <w:rPr>
          <w:rStyle w:val="FootnoteAnchor"/>
          <w:rtl w:val="true"/>
        </w:rPr>
        <w:footnoteReference w:id="498"/>
      </w:r>
      <w:r>
        <w:rPr>
          <w:rFonts w:ascii="Amiri" w:hAnsi="Amiri" w:eastAsia="Amiri" w:cs="Amiri"/>
          <w:color w:val="111111"/>
          <w:sz w:val="28"/>
          <w:sz w:val="28"/>
          <w:szCs w:val="28"/>
          <w:rtl w:val="true"/>
          <w:lang w:bidi="ar-SA"/>
        </w:rPr>
        <w:t>أنّ الفَلَكَ في التَّدويرِ و الدَّوَرانِ‌، و الشِّعرىٰ لا تَقدَحُ في ذلكَ‌</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عدمِ الانتهاءِ‌</w:t>
      </w:r>
      <w:r>
        <w:rPr>
          <w:rStyle w:val="FootnoteAnchor"/>
          <w:rtl w:val="true"/>
        </w:rPr>
        <w:footnoteReference w:id="500"/>
      </w:r>
      <w:r>
        <w:rPr>
          <w:rFonts w:ascii="Amiri" w:hAnsi="Amiri" w:eastAsia="Amiri" w:cs="Amiri"/>
          <w:color w:val="111111"/>
          <w:sz w:val="28"/>
          <w:sz w:val="28"/>
          <w:szCs w:val="28"/>
          <w:rtl w:val="true"/>
          <w:lang w:bidi="ar-SA"/>
        </w:rPr>
        <w:t>؟ أرادَ به أنّ العالَمَ‌</w:t>
      </w:r>
      <w:r>
        <w:rPr>
          <w:rStyle w:val="FootnoteAnchor"/>
          <w:rtl w:val="true"/>
        </w:rPr>
        <w:footnoteReference w:id="501"/>
      </w:r>
      <w:r>
        <w:rPr>
          <w:rFonts w:ascii="Amiri" w:hAnsi="Amiri" w:eastAsia="Amiri" w:cs="Amiri"/>
          <w:color w:val="111111"/>
          <w:sz w:val="28"/>
          <w:sz w:val="28"/>
          <w:szCs w:val="28"/>
          <w:rtl w:val="true"/>
          <w:lang w:bidi="ar-SA"/>
        </w:rPr>
        <w:t>لا يَنتَهي؛ لأنّه قَديمٌ‌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عندي التحيُّزُ و التدويرُ</w:t>
      </w:r>
      <w:r>
        <w:rPr>
          <w:rStyle w:val="FootnoteAnchor"/>
          <w:rtl w:val="true"/>
        </w:rPr>
        <w:footnoteReference w:id="503"/>
      </w:r>
      <w:r>
        <w:rPr>
          <w:rFonts w:ascii="Amiri" w:hAnsi="Amiri" w:eastAsia="Amiri" w:cs="Amiri"/>
          <w:color w:val="111111"/>
          <w:sz w:val="28"/>
          <w:sz w:val="28"/>
          <w:szCs w:val="28"/>
          <w:rtl w:val="true"/>
          <w:lang w:bidi="ar-SA"/>
        </w:rPr>
        <w:t>، و كِلاهُما يَدُلّانِ علَى الانتهاءِ‌</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السَّبعِ‌</w:t>
      </w:r>
      <w:r>
        <w:rPr>
          <w:rStyle w:val="FootnoteAnchor"/>
          <w:rtl w:val="true"/>
        </w:rPr>
        <w:footnoteReference w:id="505"/>
      </w:r>
      <w:r>
        <w:rPr>
          <w:rFonts w:ascii="Amiri" w:hAnsi="Amiri" w:eastAsia="Amiri" w:cs="Amiri"/>
          <w:color w:val="111111"/>
          <w:sz w:val="28"/>
          <w:sz w:val="28"/>
          <w:szCs w:val="28"/>
          <w:rtl w:val="true"/>
          <w:lang w:bidi="ar-SA"/>
        </w:rPr>
        <w:t>؟ أرادَ بها</w:t>
      </w:r>
      <w:r>
        <w:rPr>
          <w:rStyle w:val="FootnoteAnchor"/>
          <w:rtl w:val="true"/>
        </w:rPr>
        <w:footnoteReference w:id="506"/>
      </w:r>
      <w:r>
        <w:rPr>
          <w:rFonts w:ascii="Amiri" w:hAnsi="Amiri" w:eastAsia="Amiri" w:cs="Amiri"/>
          <w:color w:val="111111"/>
          <w:sz w:val="28"/>
          <w:sz w:val="28"/>
          <w:szCs w:val="28"/>
          <w:rtl w:val="true"/>
          <w:lang w:bidi="ar-SA"/>
        </w:rPr>
        <w:t>النجومَ السيّارةَ التي هي عندَهم ذَواتُ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فأَجَبتُهُ عَن ذلكَ‌</w:t>
      </w:r>
      <w:r>
        <w:rPr>
          <w:rStyle w:val="FootnoteAnchor"/>
          <w:rtl w:val="true"/>
        </w:rPr>
        <w:footnoteReference w:id="507"/>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بالزائدِ</w:t>
      </w:r>
      <w:r>
        <w:rPr>
          <w:rStyle w:val="FootnoteAnchor"/>
          <w:rtl w:val="true"/>
        </w:rPr>
        <w:footnoteReference w:id="508"/>
      </w:r>
      <w:r>
        <w:rPr>
          <w:rFonts w:ascii="Amiri" w:hAnsi="Amiri" w:eastAsia="Amiri" w:cs="Amiri"/>
          <w:color w:val="111111"/>
          <w:sz w:val="28"/>
          <w:sz w:val="28"/>
          <w:szCs w:val="28"/>
          <w:rtl w:val="true"/>
          <w:lang w:bidi="ar-SA"/>
        </w:rPr>
        <w:t>البَريءِ‌</w:t>
      </w:r>
      <w:r>
        <w:rPr>
          <w:rStyle w:val="FootnoteAnchor"/>
          <w:rtl w:val="true"/>
        </w:rPr>
        <w:footnoteReference w:id="509"/>
      </w:r>
      <w:r>
        <w:rPr>
          <w:rFonts w:ascii="Amiri" w:hAnsi="Amiri" w:eastAsia="Amiri" w:cs="Amiri"/>
          <w:color w:val="111111"/>
          <w:sz w:val="28"/>
          <w:sz w:val="28"/>
          <w:szCs w:val="28"/>
          <w:rtl w:val="true"/>
          <w:lang w:bidi="ar-SA"/>
        </w:rPr>
        <w:t>الذي يُحكَمُ فيه</w:t>
      </w:r>
      <w:r>
        <w:rPr>
          <w:rStyle w:val="FootnoteAnchor"/>
          <w:rtl w:val="true"/>
        </w:rPr>
        <w:footnoteReference w:id="510"/>
      </w:r>
      <w:r>
        <w:rPr>
          <w:rFonts w:ascii="Amiri" w:hAnsi="Amiri" w:eastAsia="Amiri" w:cs="Amiri"/>
          <w:color w:val="111111"/>
          <w:sz w:val="28"/>
          <w:sz w:val="28"/>
          <w:szCs w:val="28"/>
          <w:rtl w:val="true"/>
          <w:lang w:bidi="ar-SA"/>
        </w:rPr>
        <w:t>بحُكمٍ لا يَكونُ ذلكَ الحُكمُ‌</w:t>
      </w:r>
      <w:r>
        <w:rPr>
          <w:rStyle w:val="FootnoteAnchor"/>
          <w:rtl w:val="true"/>
        </w:rPr>
        <w:footnoteReference w:id="511"/>
      </w:r>
      <w:r>
        <w:rPr>
          <w:rFonts w:ascii="Amiri" w:hAnsi="Amiri" w:eastAsia="Amiri" w:cs="Amiri"/>
          <w:color w:val="111111"/>
          <w:sz w:val="28"/>
          <w:sz w:val="28"/>
          <w:szCs w:val="28"/>
          <w:rtl w:val="true"/>
          <w:lang w:bidi="ar-SA"/>
        </w:rPr>
        <w:t>مَنوطاً بهذه النجومِ‌</w:t>
      </w:r>
      <w:r>
        <w:rPr>
          <w:rStyle w:val="FootnoteAnchor"/>
          <w:rtl w:val="true"/>
        </w:rPr>
        <w:footnoteReference w:id="512"/>
      </w:r>
      <w:r>
        <w:rPr>
          <w:rFonts w:ascii="Amiri" w:hAnsi="Amiri" w:eastAsia="Amiri" w:cs="Amiri"/>
          <w:color w:val="111111"/>
          <w:sz w:val="28"/>
          <w:sz w:val="28"/>
          <w:szCs w:val="28"/>
          <w:rtl w:val="true"/>
          <w:lang w:bidi="ar-SA"/>
        </w:rPr>
        <w:t>السيّارةِ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و المُشتَري، و المِرّيخُ‌، و عُطارِدُ، و الشمسُ‌، و القَمَرُ، و زُحَلُ‌</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الأربَعِ‌</w:t>
      </w:r>
      <w:r>
        <w:rPr>
          <w:rStyle w:val="FootnoteAnchor"/>
          <w:rtl w:val="true"/>
        </w:rPr>
        <w:footnoteReference w:id="514"/>
      </w:r>
      <w:r>
        <w:rPr>
          <w:rFonts w:ascii="Amiri" w:hAnsi="Amiri" w:eastAsia="Amiri" w:cs="Amiri"/>
          <w:color w:val="111111"/>
          <w:sz w:val="28"/>
          <w:sz w:val="28"/>
          <w:szCs w:val="28"/>
          <w:rtl w:val="true"/>
          <w:lang w:bidi="ar-SA"/>
        </w:rPr>
        <w:t>؟ أرادَ بِه</w:t>
      </w:r>
      <w:r>
        <w:rPr>
          <w:rStyle w:val="FootnoteAnchor"/>
          <w:rtl w:val="true"/>
        </w:rPr>
        <w:footnoteReference w:id="515"/>
      </w:r>
      <w:r>
        <w:rPr>
          <w:rFonts w:ascii="Amiri" w:hAnsi="Amiri" w:eastAsia="Amiri" w:cs="Amiri"/>
          <w:color w:val="111111"/>
          <w:sz w:val="28"/>
          <w:sz w:val="28"/>
          <w:szCs w:val="28"/>
          <w:rtl w:val="true"/>
          <w:lang w:bidi="ar-SA"/>
        </w:rPr>
        <w:t>الطَّبائِعَ‌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w:t>
      </w:r>
      <w:r>
        <w:rPr>
          <w:rStyle w:val="FootnoteAnchor"/>
          <w:rtl w:val="true"/>
        </w:rPr>
        <w:footnoteReference w:id="516"/>
      </w:r>
      <w:r>
        <w:rPr>
          <w:rFonts w:ascii="Amiri" w:hAnsi="Amiri" w:eastAsia="Amiri" w:cs="Amiri"/>
          <w:color w:val="111111"/>
          <w:sz w:val="28"/>
          <w:sz w:val="28"/>
          <w:szCs w:val="28"/>
          <w:rtl w:val="true"/>
          <w:lang w:bidi="ar-SA"/>
        </w:rPr>
        <w:t>في الطبيعةِ الواحدةِ الناريّةِ التي</w:t>
      </w:r>
      <w:r>
        <w:rPr>
          <w:rStyle w:val="FootnoteAnchor"/>
          <w:rtl w:val="true"/>
        </w:rPr>
        <w:footnoteReference w:id="517"/>
      </w:r>
      <w:r>
        <w:rPr>
          <w:rFonts w:ascii="Amiri" w:hAnsi="Amiri" w:eastAsia="Amiri" w:cs="Amiri"/>
          <w:color w:val="111111"/>
          <w:sz w:val="28"/>
          <w:sz w:val="28"/>
          <w:szCs w:val="28"/>
          <w:rtl w:val="true"/>
          <w:lang w:bidi="ar-SA"/>
        </w:rPr>
        <w:t>تَتولَّدُ</w:t>
      </w:r>
      <w:r>
        <w:rPr>
          <w:rStyle w:val="FootnoteAnchor"/>
          <w:rtl w:val="true"/>
        </w:rPr>
        <w:footnoteReference w:id="518"/>
      </w:r>
      <w:r>
        <w:rPr>
          <w:rFonts w:ascii="Amiri" w:hAnsi="Amiri" w:eastAsia="Amiri" w:cs="Amiri"/>
          <w:color w:val="111111"/>
          <w:sz w:val="28"/>
          <w:sz w:val="28"/>
          <w:szCs w:val="28"/>
          <w:rtl w:val="true"/>
          <w:lang w:bidi="ar-SA"/>
        </w:rPr>
        <w:t>منها دابّةٌ بجِلدِها تَمَسُّ الأيديَ‌</w:t>
      </w:r>
      <w:r>
        <w:rPr>
          <w:rStyle w:val="FootnoteAnchor"/>
          <w:rtl w:val="true"/>
        </w:rPr>
        <w:footnoteReference w:id="519"/>
      </w:r>
      <w:r>
        <w:rPr>
          <w:rFonts w:ascii="Amiri" w:hAnsi="Amiri" w:eastAsia="Amiri" w:cs="Amiri"/>
          <w:color w:val="111111"/>
          <w:sz w:val="28"/>
          <w:sz w:val="28"/>
          <w:szCs w:val="28"/>
          <w:rtl w:val="true"/>
          <w:lang w:bidi="ar-SA"/>
        </w:rPr>
        <w:t>، ثُمَّ يُطرَحُ‌</w:t>
      </w:r>
      <w:r>
        <w:rPr>
          <w:rStyle w:val="FootnoteAnchor"/>
          <w:rtl w:val="true"/>
        </w:rPr>
        <w:footnoteReference w:id="520"/>
      </w:r>
      <w:r>
        <w:rPr>
          <w:rFonts w:ascii="Amiri" w:hAnsi="Amiri" w:eastAsia="Amiri" w:cs="Amiri"/>
          <w:color w:val="111111"/>
          <w:sz w:val="28"/>
          <w:sz w:val="28"/>
          <w:szCs w:val="28"/>
          <w:rtl w:val="true"/>
          <w:lang w:bidi="ar-SA"/>
        </w:rPr>
        <w:t>ذلك</w:t>
      </w:r>
      <w:r>
        <w:rPr>
          <w:rStyle w:val="FootnoteAnchor"/>
          <w:rtl w:val="true"/>
        </w:rPr>
        <w:footnoteReference w:id="521"/>
      </w:r>
      <w:r>
        <w:rPr>
          <w:rFonts w:ascii="Amiri" w:hAnsi="Amiri" w:eastAsia="Amiri" w:cs="Amiri"/>
          <w:color w:val="111111"/>
          <w:sz w:val="28"/>
          <w:sz w:val="28"/>
          <w:szCs w:val="28"/>
          <w:rtl w:val="true"/>
          <w:lang w:bidi="ar-SA"/>
        </w:rPr>
        <w:t>الجِلدُ علَى النارِ فتُحرَقُ‌</w:t>
      </w:r>
      <w:r>
        <w:rPr>
          <w:rStyle w:val="FootnoteAnchor"/>
          <w:rtl w:val="true"/>
        </w:rPr>
        <w:footnoteReference w:id="522"/>
      </w:r>
      <w:r>
        <w:rPr>
          <w:rFonts w:ascii="Amiri" w:hAnsi="Amiri" w:eastAsia="Amiri" w:cs="Amiri"/>
          <w:color w:val="111111"/>
          <w:sz w:val="28"/>
          <w:sz w:val="28"/>
          <w:szCs w:val="28"/>
          <w:rtl w:val="true"/>
          <w:lang w:bidi="ar-SA"/>
        </w:rPr>
        <w:t>الزُّهوماتُ‌</w:t>
      </w:r>
      <w:r>
        <w:rPr>
          <w:rStyle w:val="FootnoteAnchor"/>
          <w:rtl w:val="true"/>
        </w:rPr>
        <w:footnoteReference w:id="523"/>
      </w:r>
      <w:r>
        <w:rPr>
          <w:rFonts w:ascii="Amiri" w:hAnsi="Amiri" w:eastAsia="Amiri" w:cs="Amiri"/>
          <w:color w:val="111111"/>
          <w:sz w:val="28"/>
          <w:sz w:val="28"/>
          <w:szCs w:val="28"/>
          <w:rtl w:val="true"/>
          <w:lang w:bidi="ar-SA"/>
        </w:rPr>
        <w:t>و يَبقَى الجِلدُ صَحيحاً؟ لأنّ الدابّةَ خَلَقَها اللّٰهُ تعالىٰ‌</w:t>
      </w:r>
      <w:r>
        <w:rPr>
          <w:rStyle w:val="FootnoteAnchor"/>
          <w:rtl w:val="true"/>
        </w:rPr>
        <w:footnoteReference w:id="524"/>
      </w:r>
      <w:r>
        <w:rPr>
          <w:rFonts w:ascii="Amiri" w:hAnsi="Amiri" w:eastAsia="Amiri" w:cs="Amiri"/>
          <w:color w:val="111111"/>
          <w:sz w:val="28"/>
          <w:sz w:val="28"/>
          <w:szCs w:val="28"/>
          <w:rtl w:val="true"/>
          <w:lang w:bidi="ar-SA"/>
        </w:rPr>
        <w:t>علىٰ طَبيعةِ‌</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النارِ، و النارُ لا تُحرِقُ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الثلجُ أيضاً علىٰ طَبيعةٍ واحدةٍ‌</w:t>
      </w:r>
      <w:r>
        <w:rPr>
          <w:rStyle w:val="FootnoteAnchor"/>
          <w:rtl w:val="true"/>
        </w:rPr>
        <w:footnoteReference w:id="526"/>
      </w:r>
      <w:r>
        <w:rPr>
          <w:rFonts w:ascii="Amiri" w:hAnsi="Amiri" w:eastAsia="Amiri" w:cs="Amiri"/>
          <w:color w:val="111111"/>
          <w:sz w:val="28"/>
          <w:sz w:val="28"/>
          <w:szCs w:val="28"/>
          <w:rtl w:val="true"/>
          <w:lang w:bidi="ar-SA"/>
        </w:rPr>
        <w:t>، تَتولَّدُ فيه</w:t>
      </w:r>
      <w:r>
        <w:rPr>
          <w:rStyle w:val="FootnoteAnchor"/>
          <w:rtl w:val="true"/>
        </w:rPr>
        <w:footnoteReference w:id="527"/>
      </w:r>
      <w:r>
        <w:rPr>
          <w:rFonts w:ascii="Amiri" w:hAnsi="Amiri" w:eastAsia="Amiri" w:cs="Amiri"/>
          <w:color w:val="111111"/>
          <w:sz w:val="28"/>
          <w:sz w:val="28"/>
          <w:szCs w:val="28"/>
          <w:rtl w:val="true"/>
          <w:lang w:bidi="ar-SA"/>
        </w:rPr>
        <w:t>الديدانُ‌</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في البَحرِ علىٰ طَبيعتَينِ‌، يَتولَّدُ منه</w:t>
      </w:r>
      <w:r>
        <w:rPr>
          <w:rStyle w:val="FootnoteAnchor"/>
          <w:rtl w:val="true"/>
        </w:rPr>
        <w:footnoteReference w:id="529"/>
      </w:r>
      <w:r>
        <w:rPr>
          <w:rFonts w:ascii="Amiri" w:hAnsi="Amiri" w:eastAsia="Amiri" w:cs="Amiri"/>
          <w:color w:val="111111"/>
          <w:sz w:val="28"/>
          <w:sz w:val="28"/>
          <w:szCs w:val="28"/>
          <w:rtl w:val="true"/>
          <w:lang w:bidi="ar-SA"/>
        </w:rPr>
        <w:t>السُّموكُ و الضَّفادعُ و الحَيّاتُ و السَّلاحِفُ‌</w:t>
      </w:r>
      <w:r>
        <w:rPr>
          <w:rStyle w:val="FootnoteAnchor"/>
          <w:rtl w:val="true"/>
        </w:rPr>
        <w:footnoteReference w:id="530"/>
      </w:r>
      <w:r>
        <w:rPr>
          <w:rFonts w:ascii="Amiri" w:hAnsi="Amiri" w:eastAsia="Amiri" w:cs="Amiri"/>
          <w:color w:val="111111"/>
          <w:sz w:val="28"/>
          <w:sz w:val="28"/>
          <w:szCs w:val="28"/>
          <w:rtl w:val="true"/>
          <w:lang w:bidi="ar-SA"/>
        </w:rPr>
        <w:t>و غيرُها</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w:t>
      </w:r>
      <w:r>
        <w:rPr>
          <w:rStyle w:val="FootnoteAnchor"/>
          <w:rtl w:val="true"/>
        </w:rPr>
        <w:footnoteReference w:id="532"/>
      </w:r>
      <w:r>
        <w:rPr>
          <w:rFonts w:ascii="Amiri" w:hAnsi="Amiri" w:eastAsia="Amiri" w:cs="Amiri"/>
          <w:color w:val="111111"/>
          <w:sz w:val="28"/>
          <w:sz w:val="28"/>
          <w:szCs w:val="28"/>
          <w:rtl w:val="true"/>
          <w:lang w:bidi="ar-SA"/>
        </w:rPr>
        <w:t>لا يَحصُلُ الحَيَوانُ إلّابالأربَعِ‌؛ فهذا مُناقَضٌ بهذا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المؤثِّر</w:t>
      </w:r>
      <w:r>
        <w:rPr>
          <w:rStyle w:val="FootnoteAnchor"/>
          <w:rtl w:val="true"/>
        </w:rPr>
        <w:footnoteReference w:id="534"/>
      </w:r>
      <w:r>
        <w:rPr>
          <w:rFonts w:ascii="Amiri" w:hAnsi="Amiri" w:eastAsia="Amiri" w:cs="Amiri"/>
          <w:color w:val="111111"/>
          <w:sz w:val="28"/>
          <w:sz w:val="28"/>
          <w:szCs w:val="28"/>
          <w:rtl w:val="true"/>
          <w:lang w:bidi="ar-SA"/>
        </w:rPr>
        <w:t>؟ أرادَ به الزُّحَلَ‌</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المؤثِّراتِ‌</w:t>
      </w:r>
      <w:r>
        <w:rPr>
          <w:rStyle w:val="FootnoteAnchor"/>
          <w:rtl w:val="true"/>
        </w:rPr>
        <w:footnoteReference w:id="536"/>
      </w:r>
      <w:r>
        <w:rPr>
          <w:rFonts w:ascii="Amiri" w:hAnsi="Amiri" w:eastAsia="Amiri" w:cs="Amiri"/>
          <w:color w:val="111111"/>
          <w:sz w:val="28"/>
          <w:sz w:val="28"/>
          <w:szCs w:val="28"/>
          <w:rtl w:val="true"/>
          <w:lang w:bidi="ar-SA"/>
        </w:rPr>
        <w:t>؟ أرَدتُ بذلكَ أنّ المؤثِّراتِ عندَك كُلُّهنَّ‌</w:t>
      </w:r>
      <w:r>
        <w:rPr>
          <w:rStyle w:val="FootnoteAnchor"/>
          <w:rtl w:val="true"/>
        </w:rPr>
        <w:footnoteReference w:id="537"/>
      </w:r>
      <w:r>
        <w:rPr>
          <w:rFonts w:ascii="Amiri" w:hAnsi="Amiri" w:eastAsia="Amiri" w:cs="Amiri"/>
          <w:color w:val="111111"/>
          <w:sz w:val="28"/>
          <w:sz w:val="28"/>
          <w:szCs w:val="28"/>
          <w:rtl w:val="true"/>
          <w:lang w:bidi="ar-SA"/>
        </w:rPr>
        <w:t>مؤثِّراتٌ‌، فالمؤثِّرُ القَديمُ كَيفَ يَكونُ مؤثِّراً؟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النَّحسَينِ؟</w:t>
      </w:r>
      <w:r>
        <w:rPr>
          <w:rStyle w:val="FootnoteAnchor"/>
          <w:rtl w:val="true"/>
        </w:rPr>
        <w:footnoteReference w:id="538"/>
      </w:r>
      <w:r>
        <w:rPr>
          <w:rFonts w:ascii="Amiri" w:hAnsi="Amiri" w:eastAsia="Amiri" w:cs="Amiri"/>
          <w:color w:val="111111"/>
          <w:sz w:val="28"/>
          <w:sz w:val="28"/>
          <w:szCs w:val="28"/>
          <w:rtl w:val="true"/>
          <w:lang w:bidi="ar-SA"/>
        </w:rPr>
        <w:t>أرادَ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النجومِ السيّارةِ‌، إذا اجتَمَعا يَخرُجُ‌</w:t>
      </w:r>
      <w:r>
        <w:rPr>
          <w:rStyle w:val="FootnoteAnchor"/>
          <w:rtl w:val="true"/>
        </w:rPr>
        <w:footnoteReference w:id="539"/>
      </w:r>
      <w:r>
        <w:rPr>
          <w:rFonts w:ascii="Amiri" w:hAnsi="Amiri" w:eastAsia="Amiri" w:cs="Amiri"/>
          <w:color w:val="111111"/>
          <w:sz w:val="28"/>
          <w:sz w:val="28"/>
          <w:szCs w:val="28"/>
          <w:rtl w:val="true"/>
          <w:lang w:bidi="ar-SA"/>
        </w:rPr>
        <w:t>مِن بَينِهما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السَّعدَينِ‌، إذا اجتَمَعا يَخرُجُ‌</w:t>
      </w:r>
      <w:r>
        <w:rPr>
          <w:rStyle w:val="FootnoteAnchor"/>
          <w:rtl w:val="true"/>
        </w:rPr>
        <w:footnoteReference w:id="540"/>
      </w:r>
      <w:r>
        <w:rPr>
          <w:rFonts w:ascii="Amiri" w:hAnsi="Amiri" w:eastAsia="Amiri" w:cs="Amiri"/>
          <w:color w:val="111111"/>
          <w:sz w:val="28"/>
          <w:sz w:val="28"/>
          <w:szCs w:val="28"/>
          <w:rtl w:val="true"/>
          <w:lang w:bidi="ar-SA"/>
        </w:rPr>
        <w:t>مِن بَينِهما نَحسٌ؟ فهذا</w:t>
      </w:r>
      <w:r>
        <w:rPr>
          <w:rStyle w:val="FootnoteAnchor"/>
          <w:rtl w:val="true"/>
        </w:rPr>
        <w:footnoteReference w:id="541"/>
      </w:r>
      <w:r>
        <w:rPr>
          <w:rFonts w:ascii="Amiri" w:hAnsi="Amiri" w:eastAsia="Amiri" w:cs="Amiri"/>
          <w:color w:val="111111"/>
          <w:sz w:val="28"/>
          <w:sz w:val="28"/>
          <w:szCs w:val="28"/>
          <w:rtl w:val="true"/>
          <w:lang w:bidi="ar-SA"/>
        </w:rPr>
        <w:t>حُكمٌ أبطَلَه اللّٰهُ تَعالىٰ ليُعلِمَ الناظرَ أنّ الأحكامَ لا تَتعلَّقُ بالمُسخَّراتِ‌؛ لأنّ الشاهدَ يَشهَدُ علىٰ أنّ العَسَلَ و السُّكَّرَ إذا اجتَمَعا لا يَحصُلُ منهما الحَنظَلُ و العَلقَمُ‌، و</w:t>
      </w:r>
      <w:r>
        <w:rPr>
          <w:rStyle w:val="FootnoteAnchor"/>
          <w:rtl w:val="true"/>
        </w:rPr>
        <w:footnoteReference w:id="542"/>
      </w:r>
      <w:r>
        <w:rPr>
          <w:rFonts w:ascii="Amiri" w:hAnsi="Amiri" w:eastAsia="Amiri" w:cs="Amiri"/>
          <w:color w:val="111111"/>
          <w:sz w:val="28"/>
          <w:sz w:val="28"/>
          <w:szCs w:val="28"/>
          <w:rtl w:val="true"/>
          <w:lang w:bidi="ar-SA"/>
        </w:rPr>
        <w:t>الحنظَلَ و العَلقَمَ إذا اجتَمَعا لا يَحصُلُ منهما</w:t>
      </w:r>
      <w:r>
        <w:rPr>
          <w:rStyle w:val="FootnoteAnchor"/>
          <w:rtl w:val="true"/>
        </w:rPr>
        <w:footnoteReference w:id="543"/>
      </w:r>
      <w:r>
        <w:rPr>
          <w:rFonts w:ascii="Amiri" w:hAnsi="Amiri" w:eastAsia="Amiri" w:cs="Amiri"/>
          <w:color w:val="111111"/>
          <w:sz w:val="28"/>
          <w:sz w:val="28"/>
          <w:szCs w:val="28"/>
          <w:rtl w:val="true"/>
          <w:lang w:bidi="ar-SA"/>
        </w:rPr>
        <w:t>الدِّبسُ و السُّكَّرُ</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545"/>
      </w:r>
      <w:r>
        <w:rPr>
          <w:rFonts w:ascii="Amiri" w:hAnsi="Amiri" w:eastAsia="Amiri" w:cs="Amiri"/>
          <w:color w:val="111111"/>
          <w:sz w:val="28"/>
          <w:sz w:val="28"/>
          <w:szCs w:val="28"/>
          <w:rtl w:val="true"/>
          <w:lang w:bidi="ar-SA"/>
        </w:rPr>
        <w:t>قَولي له</w:t>
      </w:r>
      <w:r>
        <w:rPr>
          <w:rStyle w:val="FootnoteAnchor"/>
          <w:rtl w:val="true"/>
        </w:rPr>
        <w:footnoteReference w:id="5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كُلُّ مُلحِدٍ مُلهِدٌ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أرَدتُ بذلكَ‌</w:t>
      </w:r>
      <w:r>
        <w:rPr>
          <w:rStyle w:val="FootnoteAnchor"/>
          <w:rtl w:val="true"/>
        </w:rPr>
        <w:footnoteReference w:id="547"/>
      </w:r>
      <w:r>
        <w:rPr>
          <w:rFonts w:ascii="Amiri" w:hAnsi="Amiri" w:eastAsia="Amiri" w:cs="Amiri"/>
          <w:color w:val="111111"/>
          <w:sz w:val="28"/>
          <w:sz w:val="28"/>
          <w:szCs w:val="28"/>
          <w:rtl w:val="true"/>
          <w:lang w:bidi="ar-SA"/>
        </w:rPr>
        <w:t>أنّ كُلَّ مُشرِكٍ ظالِمٌ‌؛ لأنّ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عن</w:t>
      </w:r>
      <w:r>
        <w:rPr>
          <w:rStyle w:val="FootnoteAnchor"/>
          <w:rtl w:val="true"/>
        </w:rPr>
        <w:footnoteReference w:id="548"/>
      </w:r>
      <w:r>
        <w:rPr>
          <w:rFonts w:ascii="Amiri" w:hAnsi="Amiri" w:eastAsia="Amiri" w:cs="Amiri"/>
          <w:color w:val="111111"/>
          <w:sz w:val="28"/>
          <w:sz w:val="28"/>
          <w:szCs w:val="28"/>
          <w:rtl w:val="true"/>
          <w:lang w:bidi="ar-SA"/>
        </w:rPr>
        <w:t>الدِّينِ‌؛</w:t>
      </w:r>
      <w:r>
        <w:rPr>
          <w:rStyle w:val="FootnoteAnchor"/>
          <w:rtl w:val="true"/>
        </w:rPr>
        <w:footnoteReference w:id="5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أَلهَدَ</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إذا ظَلَمَ‌</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أبو العَلاءِ ذلكَ‌، و</w:t>
      </w:r>
      <w:r>
        <w:rPr>
          <w:rStyle w:val="FootnoteAnchor"/>
          <w:rtl w:val="true"/>
        </w:rPr>
        <w:footnoteReference w:id="552"/>
      </w:r>
      <w:r>
        <w:rPr>
          <w:rFonts w:ascii="Amiri" w:hAnsi="Amiri" w:eastAsia="Amiri" w:cs="Amiri"/>
          <w:color w:val="111111"/>
          <w:sz w:val="28"/>
          <w:sz w:val="28"/>
          <w:szCs w:val="28"/>
          <w:rtl w:val="true"/>
          <w:lang w:bidi="ar-SA"/>
        </w:rPr>
        <w:t>أخبَرَني عن عِلمِه بذلكَ‌</w:t>
      </w:r>
      <w:r>
        <w:rPr>
          <w:rStyle w:val="FootnoteAnchor"/>
          <w:rtl w:val="true"/>
        </w:rPr>
        <w:footnoteReference w:id="553"/>
      </w:r>
      <w:r>
        <w:rPr>
          <w:rFonts w:ascii="IRNazanin" w:hAnsi="IRNazanin" w:eastAsia="IRNazanin"/>
          <w:color w:val="111111"/>
          <w:sz w:val="28"/>
          <w:sz w:val="28"/>
          <w:szCs w:val="28"/>
          <w:rtl w:val="true"/>
          <w:lang w:bidi="fa-IR"/>
        </w:rPr>
        <w:t>، فقرأ</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المَعَرّيَّ لمّا خَرَجَ عن العِراقِ سُئلَ عن السيّدِ المُرتضىٰ رَحِمَه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سائلي عنهُ لمّا جئتُ أسألُه ألا، هو الرجُلُ العاري مِنَ العارِ</w:t>
      </w:r>
    </w:p>
    <w:p>
      <w:pPr>
        <w:pStyle w:val="BookText"/>
        <w:rPr/>
      </w:pPr>
      <w:r>
        <w:rPr>
          <w:rFonts w:ascii="Amiri" w:hAnsi="Amiri" w:eastAsia="Amiri" w:cs="Amiri"/>
          <w:color w:val="111111"/>
          <w:sz w:val="28"/>
          <w:sz w:val="28"/>
          <w:szCs w:val="28"/>
          <w:rtl w:val="true"/>
          <w:lang w:bidi="ar-SA"/>
        </w:rPr>
        <w:t>لَو جئتَهُ لَرأَيتَ الناسَ في رجُلٍ و الدهرَ في ساعةٍ‌، و الأرضَ في دارِ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الخبرُ و شَرحُه، و الحمدُ للّٰهِ‌</w:t>
      </w:r>
      <w:r>
        <w:rPr>
          <w:rFonts w:eastAsia="Amiri" w:cs="Amiri" w:ascii="Amiri" w:hAnsi="Amiri"/>
          <w:color w:val="111111"/>
          <w:sz w:val="28"/>
          <w:szCs w:val="28"/>
          <w:rtl w:val="true"/>
          <w:lang w:bidi="ar-SA"/>
        </w:rPr>
        <w:t>.</w:t>
      </w:r>
      <w:r>
        <w:rPr>
          <w:rStyle w:val="FootnoteAnchor"/>
          <w:rtl w:val="true"/>
        </w:rPr>
        <w:footnoteReference w:id="55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6425_221642"/>
      <w:bookmarkStart w:id="300" w:name="pg16425_221642"/>
      <w:bookmarkEnd w:id="300"/>
    </w:p>
    <w:p>
      <w:pPr>
        <w:pStyle w:val="Heading3"/>
        <w:numPr>
          <w:ilvl w:val="2"/>
          <w:numId w:val="1"/>
        </w:numPr>
        <w:rPr/>
      </w:pPr>
      <w:bookmarkStart w:id="301" w:name="pg16425_221642"/>
      <w:bookmarkStart w:id="302" w:name="__RefHeading___Toc7830097_1280447820"/>
      <w:bookmarkStart w:id="303" w:name="_Toc97"/>
      <w:bookmarkEnd w:id="301"/>
      <w:bookmarkEnd w:id="302"/>
      <w:r>
        <w:rPr>
          <w:rtl w:val="true"/>
        </w:rPr>
        <w:t>(</w:t>
      </w:r>
      <w:r>
        <w:rPr/>
        <w:t>49</w:t>
      </w:r>
      <w:r>
        <w:rPr>
          <w:rtl w:val="true"/>
        </w:rPr>
        <w:t xml:space="preserve">) </w:t>
      </w:r>
      <w:r>
        <w:rPr>
          <w:rtl w:val="true"/>
        </w:rPr>
        <w:t>المسائِلُ المقدَّسيّاتُ‌</w:t>
      </w:r>
      <w:bookmarkEnd w:id="30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4" w:name="__RefHeading___Toc7830099_1280447820"/>
      <w:bookmarkStart w:id="305" w:name="_Toc98"/>
      <w:bookmarkEnd w:id="304"/>
      <w:r>
        <w:rPr>
          <w:rtl w:val="true"/>
        </w:rPr>
        <w:t>اشارة</w:t>
      </w:r>
      <w:bookmarkEnd w:id="30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6425_221644"/>
      <w:bookmarkStart w:id="307" w:name="pg16425_221644"/>
      <w:bookmarkEnd w:id="307"/>
    </w:p>
    <w:p>
      <w:pPr>
        <w:pStyle w:val="Heading4"/>
        <w:numPr>
          <w:ilvl w:val="3"/>
          <w:numId w:val="1"/>
        </w:numPr>
        <w:rPr/>
      </w:pPr>
      <w:bookmarkStart w:id="308" w:name="pg16425_221644"/>
      <w:bookmarkStart w:id="309" w:name="__RefHeading___Toc7830101_1280447820"/>
      <w:bookmarkStart w:id="310" w:name="_Toc99"/>
      <w:bookmarkEnd w:id="308"/>
      <w:bookmarkEnd w:id="309"/>
      <w:r>
        <w:rPr>
          <w:rtl w:val="true"/>
        </w:rPr>
        <w:t>مقدّمة التحقيق</w:t>
      </w:r>
      <w:bookmarkEnd w:id="310"/>
    </w:p>
    <w:p>
      <w:pPr>
        <w:pStyle w:val="Heading5"/>
        <w:numPr>
          <w:ilvl w:val="4"/>
          <w:numId w:val="1"/>
        </w:numPr>
        <w:rPr/>
      </w:pPr>
      <w:bookmarkStart w:id="311" w:name="__RefHeading___Toc7830103_1280447820"/>
      <w:bookmarkStart w:id="312" w:name="_Toc100"/>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عُثر في ضمن مخطوطات رسائل الشريف المرتضى على أربعة نصوص قصيرة، سمّيت في بعض النسخ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المقدّسات، و في أُخرى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المقدّسيات؛ و لكن لم يَنسب أحدٌ مسائلَ بهذا الاسم إلى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أحد هذه النصوص يكوّن في الحقيقة جزءاً من إحدى رسائل الشريف المرتضى المنشورة،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الحسن و القبح العقلي؛</w:t>
      </w:r>
      <w:r>
        <w:rPr>
          <w:rStyle w:val="FootnoteAnchor"/>
          <w:rtl w:val="true"/>
        </w:rPr>
        <w:footnoteReference w:id="557"/>
      </w:r>
      <w:r>
        <w:rPr>
          <w:rFonts w:ascii="Amiri" w:hAnsi="Amiri" w:eastAsia="Amiri" w:cs="Amiri"/>
          <w:color w:val="111111"/>
          <w:sz w:val="28"/>
          <w:sz w:val="28"/>
          <w:szCs w:val="28"/>
          <w:rtl w:val="true"/>
          <w:lang w:bidi="ar-SA"/>
        </w:rPr>
        <w:t>و أمّا النصوص الأُخرى، فلا نعلم هل أنّها أجزاء من رسائل أُخرى مفقودة، أو لا؟</w:t>
      </w:r>
    </w:p>
    <w:p>
      <w:pPr>
        <w:pStyle w:val="BookText"/>
        <w:rPr/>
      </w:pPr>
      <w:r>
        <w:rPr>
          <w:rFonts w:ascii="Amiri" w:hAnsi="Amiri" w:eastAsia="Amiri" w:cs="Amiri"/>
          <w:color w:val="111111"/>
          <w:sz w:val="28"/>
          <w:sz w:val="28"/>
          <w:szCs w:val="28"/>
          <w:rtl w:val="true"/>
          <w:lang w:bidi="ar-SA"/>
        </w:rPr>
        <w:t>و على أيّ حال، نحاول فيما يلي أن نتحدّث عن النصوص الثلاثة المتبقّية، و ذلك بعد ترك الكلام عن النصّ الموجود في ضمن رسالة الحسن و القبح العقلي المُشار إليها آنفاً؛ فإنّ الحديث عنه يقع في ضمن مقدّمة تلك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هذا النصّ عن أنّ الشريف المرتضى كان يتعرّض للمتنبّي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يضع من شعره، و أنّه ذكر بيتاً استنقص معناه، و اعتبر من غير الجدير بمثل المتنبّي أن يتلفّظ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هنا التعليق على هذا النصّ من خلال ما يلي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ألّف الشريف المرتضى كتاباً دافع فيه عن المتنبّي، و ردّ فيه على ابن </w:t>
      </w:r>
    </w:p>
    <w:p>
      <w:pPr>
        <w:pStyle w:val="BookText"/>
        <w:rPr/>
      </w:pPr>
      <w:r>
        <w:rPr>
          <w:rFonts w:ascii="Amiri" w:hAnsi="Amiri" w:eastAsia="Amiri" w:cs="Amiri"/>
          <w:color w:val="111111"/>
          <w:sz w:val="28"/>
          <w:sz w:val="28"/>
          <w:szCs w:val="28"/>
          <w:rtl w:val="true"/>
          <w:lang w:bidi="ar-SA"/>
        </w:rPr>
        <w:t xml:space="preserve">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تتبع الأبيات التي تكلّم عليها ابن جنّي في إثبات المعاني للمتنبّي</w:t>
      </w:r>
      <w:r>
        <w:rPr>
          <w:rStyle w:val="FootnoteAnchor"/>
          <w:rtl w:val="true"/>
        </w:rPr>
        <w:footnoteReference w:id="558"/>
      </w:r>
      <w:r>
        <w:rPr>
          <w:rFonts w:ascii="Amiri" w:hAnsi="Amiri" w:eastAsia="Amiri" w:cs="Amiri"/>
          <w:color w:val="111111"/>
          <w:sz w:val="28"/>
          <w:sz w:val="28"/>
          <w:szCs w:val="28"/>
          <w:rtl w:val="true"/>
          <w:lang w:bidi="ar-SA"/>
        </w:rPr>
        <w:t>، و قد كان ابن جنّي يقع في المعاني التي يحتوي عليها شعر المتنبّي، قال أبو الحسن الواحدي بهذا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رأيتُ أشعاراً منها شعر أبي الطيّب المتنبّي، على أنّه كان صاحب معانٍ مخترعة بديعة، و لطائف أبكار لم يُسبق إليها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خفيت معانيه على أكثر مَن رَوى شعره من أكابر الفضلاء، كالقاضي أبي الحسن عليّ بن عبد العزيز الجرجاني صاحب كتاب الوساطة، و أبي الفتح عثمان بن جنّي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جنّي، فإنّه كان من الكبار في صنعة الإعراب و التصريف، غير أنّه إذا تكلّم في المعاني تبلّد حماره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انتهى به الكلام إلى بيان المعاني عاد طويلُ كلامه قصيراً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تأليف الشريف المرتضى كتاباً للردّ على ابن جنّي و الدفاع عن معاني شعر المتنبّي يدلّ على أنّه لم يكن يختلف مع المعاني التي تحتوي عليها أشعار المتنبّي دائماً؛ بل كان يدافع عنها، و يؤلّف الكتب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يخالف ما جاء في هذه الرسالة، إلّاأن يكون ما جاء فيها مورداً استثنائياً، حيث جاء فيها أنّه كان يتعرّض أحياناً بالمتنبّي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تدلّ على بغض الشريف المرتضى للمتنبّي، و تعصّبه عليه، و هي تؤيّد ما جاء في النصّ المبحوث عنه هنا، و الحكاية كالتالي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العلاء يتعصّب للمتنبّي، و يزعم أنّه أشعر المحدَثين، و يفضّله على بشّار و مَن بعده مثل أبي نؤاس و أبي تمام، و كان المرتضى يبغض المتنبّي و يتعصّب </w:t>
      </w:r>
    </w:p>
    <w:p>
      <w:pPr>
        <w:pStyle w:val="BookText"/>
        <w:rPr/>
      </w:pPr>
      <w:r>
        <w:rPr>
          <w:rFonts w:ascii="Amiri" w:hAnsi="Amiri" w:eastAsia="Amiri" w:cs="Amiri"/>
          <w:color w:val="111111"/>
          <w:sz w:val="28"/>
          <w:sz w:val="28"/>
          <w:szCs w:val="28"/>
          <w:rtl w:val="true"/>
          <w:lang w:bidi="ar-SA"/>
        </w:rPr>
        <w:t>عليه، فجرى يوماً بحضرته ذكرُ المتنبّي، فتنقّصه المرتضى، و جعل يتتبّع عيوبه، فقال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للمتنبّي من الشعر إلّاقوله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منازل في القلوب 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لكفاه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المرتضى، و أمر فسُحب برجله، و أُخرج من مجلسه، و قال لمن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أراد بذكر هذه القصيدة؛ فإنّ للمتنبّي ما هو أجود منها لم يذكرها؟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النقيب السيّد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قوله في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أتتك مذمّتي من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الشهادة لي بأنّي كامل</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الحكاية تؤيّد نصّنا المبحوث عنه في هذه الرسالة؛ و لكن لا يمكن في الحقيقة التأكّد من صحّتها، فإنّ هناك غموضاً يلفّها، و قد أشار السيّد حسن الأمين إلى ذلك في مقال مقتضب، كتبه في مجلّة العرفان، حيث نبّه على عدم إمكان قبول هذه الحكاية؛ فإنّ أبا العلاء المعرّي كان قد غادر بغداد في شهر رمضان من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قبلها قد رثى الشريف أبا أحمد الموسوي والد الشريفين المرتضى و الرضي، الذي توفّي في جمادى الأُولى من هذه السنة؛ فمتى وقع هذا الحادث الذي تدّعي الحكاية أنّه وقع بين الشريف المرتضى و أبي العلاء؛ هل وقع بعد وفاة الشريف أبي أحمد؟ و على هذا، هل يُعقل أن يُهين المرتضى مَن رثى أباه بقصيدة رائعة و مدحه فيها هو و أخاه الرضي،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أبقيتَ فينا كوكبَين سناهما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الصُبح و الظلماء ليس بخافِ‌</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الحادث قد وقع قبل وفاة الشريف‌؟ و على هذا، هل يعقل أن يَمدح المعرّي شخصاً أهانه هذه الإهانة قبل مدّة قصيرة</w:t>
      </w:r>
      <w:r>
        <w:rPr>
          <w:rStyle w:val="FootnoteAnchor"/>
          <w:rtl w:val="true"/>
        </w:rPr>
        <w:footnoteReference w:id="561"/>
      </w:r>
      <w:r>
        <w:rPr>
          <w:rFonts w:ascii="Amiri" w:hAnsi="Amiri" w:eastAsia="Amiri" w:cs="Amiri"/>
          <w:color w:val="111111"/>
          <w:sz w:val="28"/>
          <w:sz w:val="28"/>
          <w:szCs w:val="28"/>
          <w:rtl w:val="true"/>
          <w:lang w:bidi="ar-SA"/>
        </w:rPr>
        <w:t>، خاصّة و إنّ إقامة المعرّي في بغداد لم تدم طويلاً، فقد أقام فيها سنة و ستّة أو تسعة أشهر فقط</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قام العلّامة الكبير المرحوم السيّد عبد الستّار الحسني رحمه اللّٰه مؤخّراً بردّ هذه الحكاية أيضاً، و ذلك في مقال له</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إذن لا يمكن تقبّل هذه الحكاية كما هي، و بذلك لا يمكن اعتبارها مؤيّداً للنصّ المبحوث عنه هنا، و الدالّ على تنقص الشريف المرتضى لشعر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ذكر هذه الملاحظات، نترك الحكم للقارئ ليحكم على النصّ المبحوث عنه بالصحّة أو الخطأ أو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عبارة عن بيان لمعنى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أشير فيه إلىٰ أنّ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موضع العين؛ فإنّ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زيدت الألف فصارت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نصّ كلاميّ‌، تعرّض فيه الشريف المرتضى إلى موقف أهل النار، و عرض بحثه على تلاميذه من خلال سؤال طرحه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في هذا النصّ إلى أنّ أهل النار لا يكونون راضين و لا ساخطين على العقاب الذي يتعرّضون إليه؛ أمّا عدم كونهم راضين فواضح، و أمّا عدم كونهم ساخطين، فذلك لأنّ السخط على ما هو مستحَقّ و مطابق للعدل يكون قبيحاً، و أهل النار مُلجؤون إلى ترك القبائح، حالهم حال أهل الجنّة، فلا يكونون ساخطين على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النقطة أشار الشريف المرتضى إلى رأي له حول أهل الآخرة ذكره في كتبه و رسائله الأُخرى، و هو أنّهم مُلجؤون إلى ترك القبائح</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اعتبار هذا الرأي شاهداً على تصحيح نسبة النصّ الثالث اليه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الرسالة تطبع هنا لأوّل مرّة، و لم يَسبِق أن طبعت قبل هذا</w:t>
      </w:r>
      <w:r>
        <w:rPr>
          <w:rFonts w:eastAsia="Amiri" w:cs="Amiri" w:ascii="Amiri" w:hAnsi="Amiri"/>
          <w:color w:val="111111"/>
          <w:sz w:val="28"/>
          <w:szCs w:val="28"/>
          <w:rtl w:val="true"/>
          <w:lang w:bidi="ar-SA"/>
        </w:rPr>
        <w:t xml:space="preserve">. </w:t>
      </w:r>
      <w:bookmarkStart w:id="313" w:name="pg16425_221648"/>
    </w:p>
    <w:p>
      <w:pPr>
        <w:pStyle w:val="Heading5"/>
        <w:numPr>
          <w:ilvl w:val="4"/>
          <w:numId w:val="1"/>
        </w:numPr>
        <w:rPr/>
      </w:pPr>
      <w:bookmarkStart w:id="314" w:name="__RefHeading___Toc7830105_1280447820"/>
      <w:bookmarkStart w:id="315" w:name="_Toc101"/>
      <w:bookmarkEnd w:id="313"/>
      <w:bookmarkEnd w:id="314"/>
      <w:r>
        <w:rPr>
          <w:rtl w:val="true"/>
        </w:rPr>
        <w:t>مخطوطات الرسالة</w:t>
      </w:r>
      <w:bookmarkEnd w:id="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مخطوطة مكتبة آية اللّٰه الگلپايگاني رحمه اللّٰه بقمّ‌، المرقّمة </w:t>
      </w:r>
      <w:r>
        <w:rPr>
          <w:rFonts w:eastAsia="IRNazanin" w:cs="IRNazanin"/>
          <w:color w:val="111111"/>
          <w:sz w:val="28"/>
          <w:szCs w:val="28"/>
          <w:lang w:bidi="fa-IR"/>
        </w:rPr>
        <w:t>5787</w:t>
      </w:r>
      <w:r>
        <w:rPr>
          <w:rFonts w:ascii="IRNazanin" w:hAnsi="IRNazanin" w:eastAsia="IRNazanin"/>
          <w:color w:val="111111"/>
          <w:sz w:val="28"/>
          <w:sz w:val="28"/>
          <w:szCs w:val="28"/>
          <w:rtl w:val="true"/>
          <w:lang w:bidi="fa-IR"/>
        </w:rPr>
        <w:t xml:space="preserve">؛ تقع في الصفحات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المجموعة، 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6425_221650"/>
      <w:bookmarkStart w:id="317" w:name="pg16425_221650"/>
      <w:bookmarkEnd w:id="317"/>
    </w:p>
    <w:p>
      <w:pPr>
        <w:pStyle w:val="Heading4"/>
        <w:numPr>
          <w:ilvl w:val="3"/>
          <w:numId w:val="1"/>
        </w:numPr>
        <w:rPr/>
      </w:pPr>
      <w:bookmarkStart w:id="318" w:name="pg16425_221650"/>
      <w:bookmarkStart w:id="319" w:name="__RefHeading___Toc7830107_1280447820"/>
      <w:bookmarkStart w:id="320" w:name="_Toc102"/>
      <w:bookmarkEnd w:id="318"/>
      <w:bookmarkEnd w:id="319"/>
      <w:r>
        <w:rPr>
          <w:rtl w:val="true"/>
        </w:rPr>
        <w:t>المسائِلُ المقدَّسيّاتُ‌</w:t>
      </w:r>
      <w:bookmarkEnd w:id="320"/>
    </w:p>
    <w:p>
      <w:pPr>
        <w:pStyle w:val="Heading5"/>
        <w:numPr>
          <w:ilvl w:val="4"/>
          <w:numId w:val="1"/>
        </w:numPr>
        <w:rPr/>
      </w:pPr>
      <w:bookmarkStart w:id="321" w:name="__RefHeading___Toc7830109_1280447820"/>
      <w:bookmarkStart w:id="322" w:name="_Toc103"/>
      <w:bookmarkEnd w:id="321"/>
      <w:r>
        <w:rPr>
          <w:rtl w:val="true"/>
        </w:rPr>
        <w:t>اشارة</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7830111_1280447820"/>
      <w:bookmarkStart w:id="324" w:name="_Toc104"/>
      <w:bookmarkEnd w:id="323"/>
      <w:r>
        <w:rPr>
          <w:rtl w:val="true"/>
        </w:rPr>
        <w:t>و مِن المَسائلِ المُقدَّسِيّاتِ‌</w:t>
      </w:r>
      <w:bookmarkEnd w:id="324"/>
    </w:p>
    <w:p>
      <w:pPr>
        <w:pStyle w:val="BookText"/>
        <w:rPr/>
      </w:pPr>
      <w:r>
        <w:rPr>
          <w:rFonts w:ascii="Amiri" w:hAnsi="Amiri" w:eastAsia="Amiri" w:cs="Amiri"/>
          <w:color w:val="111111"/>
          <w:sz w:val="28"/>
          <w:sz w:val="28"/>
          <w:szCs w:val="28"/>
          <w:rtl w:val="true"/>
          <w:lang w:bidi="ar-SA"/>
        </w:rPr>
        <w:t>و مِن المَسائلِ المُقدَّسِيّاتِ‌</w:t>
      </w:r>
      <w:r>
        <w:rPr>
          <w:rStyle w:val="FootnoteAnchor"/>
          <w:rtl w:val="true"/>
        </w:rPr>
        <w:footnoteReference w:id="5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رَضِيَ اللّٰهُ عنه عن</w:t>
      </w:r>
      <w:r>
        <w:rPr>
          <w:rStyle w:val="FootnoteAnchor"/>
          <w:rtl w:val="true"/>
        </w:rPr>
        <w:footnoteReference w:id="566"/>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رَكِبٰا فِي اَلسَّفِينَةِ خَرَقَهٰا</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لَقِيٰا غُلاٰماً فَقَتَلَهُ‌</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أَتَيٰا أَهْلَ قَرْيَةٍ اِسْتَطْعَمٰا أَهْلَهٰا</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فعَطَفَ القَتلَ علىٰ لِقاءِ الغُلامِ بالفاءِ‌، و لَم يُدخِلْ في خَرقِ السفينةِ علَى الرُّكوبِ حَرفَ‌</w:t>
      </w:r>
      <w:r>
        <w:rPr>
          <w:rStyle w:val="FootnoteAnchor"/>
          <w:rtl w:val="true"/>
        </w:rPr>
        <w:footnoteReference w:id="570"/>
      </w:r>
      <w:r>
        <w:rPr>
          <w:rFonts w:ascii="Amiri" w:hAnsi="Amiri" w:eastAsia="Amiri" w:cs="Amiri"/>
          <w:color w:val="111111"/>
          <w:sz w:val="28"/>
          <w:sz w:val="28"/>
          <w:szCs w:val="28"/>
          <w:rtl w:val="true"/>
          <w:lang w:bidi="ar-SA"/>
        </w:rPr>
        <w:t>العَطفِ‌، و لا في الِاستطعامِ علىٰ إتيانِ أهلِ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رَضِيَ اللّٰهُ عنه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دخولُ الفاءِ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لَقِيٰا غُلاٰماً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سُقوطُها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رَكِبٰا فِي اَلسَّفِينَةِ 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أَتَيٰا أَهْلَ‌ </w:t>
      </w:r>
    </w:p>
    <w:p>
      <w:pPr>
        <w:pStyle w:val="BookText"/>
        <w:rPr/>
      </w:pPr>
      <w:r>
        <w:rPr>
          <w:rFonts w:ascii="Amiri" w:hAnsi="Amiri" w:eastAsia="Amiri" w:cs="Amiri"/>
          <w:color w:val="111111"/>
          <w:sz w:val="28"/>
          <w:sz w:val="28"/>
          <w:szCs w:val="28"/>
          <w:rtl w:val="true"/>
          <w:lang w:bidi="ar-SA"/>
        </w:rPr>
        <w:t>قَرْيَةٍ اِسْتَطْعَمٰا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اللقاءَ لَمّا كانَ سبباً للقَتلِ‌، أُدخِلَت الفاءُ إشعاراً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يَكُن في السفينةِ الرُّكوبُ سبباً لخَرقِها، و لا إتيانُ القَريةِ سبباً لِلاستطعامِ‌، لَم تَدخُلِ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وَجهٌ صَحيحٌ‌</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المُرتَضىٰ رَضِيَ اللّٰهُ عنه رُبَّما يَتعرَّضُ‌</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أحياناً بالمُتَنبّي</w:t>
      </w:r>
      <w:r>
        <w:rPr>
          <w:rStyle w:val="FootnoteAnchor"/>
          <w:rtl w:val="true"/>
        </w:rPr>
        <w:footnoteReference w:id="572"/>
      </w:r>
      <w:r>
        <w:rPr>
          <w:rFonts w:ascii="Amiri" w:hAnsi="Amiri" w:eastAsia="Amiri" w:cs="Amiri"/>
          <w:color w:val="111111"/>
          <w:sz w:val="28"/>
          <w:sz w:val="28"/>
          <w:szCs w:val="28"/>
          <w:rtl w:val="true"/>
          <w:lang w:bidi="ar-SA"/>
        </w:rPr>
        <w:t>و يَضَعُ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جَرىٰ ذِكرُه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يَستَجيزُ</w:t>
      </w:r>
      <w:r>
        <w:rPr>
          <w:rStyle w:val="FootnoteAnchor"/>
          <w:rtl w:val="true"/>
        </w:rPr>
        <w:footnoteReference w:id="573"/>
      </w:r>
      <w:r>
        <w:rPr>
          <w:rFonts w:ascii="Amiri" w:hAnsi="Amiri" w:eastAsia="Amiri" w:cs="Amiri"/>
          <w:color w:val="111111"/>
          <w:sz w:val="28"/>
          <w:sz w:val="28"/>
          <w:szCs w:val="28"/>
          <w:rtl w:val="true"/>
          <w:lang w:bidi="ar-SA"/>
        </w:rPr>
        <w:t>أحَدٌ أن يَقولَ‌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تَرىٰ كُلَّ فَوقٍ عَينُهُ 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w:t>
      </w:r>
      <w:r>
        <w:rPr>
          <w:rStyle w:val="FootnoteAnchor"/>
          <w:rtl w:val="true"/>
        </w:rPr>
        <w:footnoteReference w:id="574"/>
      </w:r>
      <w:r>
        <w:rPr>
          <w:rFonts w:ascii="Amiri" w:hAnsi="Amiri" w:eastAsia="Amiri" w:cs="Amiri"/>
          <w:color w:val="111111"/>
          <w:sz w:val="28"/>
          <w:sz w:val="28"/>
          <w:szCs w:val="28"/>
          <w:rtl w:val="true"/>
          <w:lang w:bidi="ar-SA"/>
        </w:rPr>
        <w:t>لِلدَّهرِ إلّاجاءَ‌</w:t>
      </w:r>
      <w:r>
        <w:rPr>
          <w:rStyle w:val="FootnoteAnchor"/>
          <w:rtl w:val="true"/>
        </w:rPr>
        <w:footnoteReference w:id="575"/>
      </w:r>
      <w:r>
        <w:rPr>
          <w:rFonts w:ascii="Amiri" w:hAnsi="Amiri" w:eastAsia="Amiri" w:cs="Amiri"/>
          <w:color w:val="111111"/>
          <w:sz w:val="28"/>
          <w:sz w:val="28"/>
          <w:szCs w:val="28"/>
          <w:rtl w:val="true"/>
          <w:lang w:bidi="ar-SA"/>
        </w:rPr>
        <w:t>يَشكونا</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أيُّ‌</w:t>
      </w:r>
      <w:r>
        <w:rPr>
          <w:rStyle w:val="FootnoteAnchor"/>
          <w:rtl w:val="true"/>
        </w:rPr>
        <w:footnoteReference w:id="577"/>
      </w:r>
      <w:r>
        <w:rPr>
          <w:rFonts w:ascii="Amiri" w:hAnsi="Amiri" w:eastAsia="Amiri" w:cs="Amiri"/>
          <w:color w:val="111111"/>
          <w:sz w:val="28"/>
          <w:sz w:val="28"/>
          <w:szCs w:val="28"/>
          <w:rtl w:val="true"/>
          <w:lang w:bidi="ar-SA"/>
        </w:rPr>
        <w:t>معنىً لهذا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يَتلفَّظُ</w:t>
      </w:r>
      <w:r>
        <w:rPr>
          <w:rStyle w:val="FootnoteAnchor"/>
          <w:rtl w:val="true"/>
        </w:rPr>
        <w:footnoteReference w:id="578"/>
      </w:r>
      <w:r>
        <w:rPr>
          <w:rFonts w:ascii="Amiri" w:hAnsi="Amiri" w:eastAsia="Amiri" w:cs="Amiri"/>
          <w:color w:val="111111"/>
          <w:sz w:val="28"/>
          <w:sz w:val="28"/>
          <w:szCs w:val="28"/>
          <w:rtl w:val="true"/>
          <w:lang w:bidi="ar-SA"/>
        </w:rPr>
        <w:t>به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المَقلوبِ‌؛ لأنّ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رَضِيَ اللّٰهُ عنه يَوماً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تَقولونَ في أهلِ النارِ، أ هُم يَرضَونَ بِما يَجري عليهم مِن العِقابِ‌</w:t>
      </w:r>
      <w:r>
        <w:rPr>
          <w:rStyle w:val="FootnoteAnchor"/>
          <w:rtl w:val="true"/>
        </w:rPr>
        <w:footnoteReference w:id="580"/>
      </w:r>
      <w:r>
        <w:rPr>
          <w:rFonts w:ascii="Amiri" w:hAnsi="Amiri" w:eastAsia="Amiri" w:cs="Amiri"/>
          <w:color w:val="111111"/>
          <w:sz w:val="28"/>
          <w:sz w:val="28"/>
          <w:szCs w:val="28"/>
          <w:rtl w:val="true"/>
          <w:lang w:bidi="ar-SA"/>
        </w:rPr>
        <w:t>العَظيمِ‌، أم يَسخَطونَ؟</w:t>
      </w:r>
    </w:p>
    <w:p>
      <w:pPr>
        <w:pStyle w:val="BookText"/>
        <w:rPr/>
      </w:pPr>
      <w:r>
        <w:rPr>
          <w:rFonts w:ascii="Amiri" w:hAnsi="Amiri" w:eastAsia="Amiri" w:cs="Amiri"/>
          <w:color w:val="111111"/>
          <w:sz w:val="28"/>
          <w:sz w:val="28"/>
          <w:szCs w:val="28"/>
          <w:rtl w:val="true"/>
          <w:lang w:bidi="ar-SA"/>
        </w:rPr>
        <w:t>فأجابَ الكُلُّ بأنّهم يَسخَطونَ‌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أن نَقولَ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يَرضَونَ و لا يَسخَطونَ‌؛ لأنّ سُخطَ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و هُم يَومَئذٍ مُلجَؤونَ‌</w:t>
      </w:r>
      <w:r>
        <w:rPr>
          <w:rStyle w:val="FootnoteAnchor"/>
          <w:rtl w:val="true"/>
        </w:rPr>
        <w:footnoteReference w:id="582"/>
      </w:r>
      <w:r>
        <w:rPr>
          <w:rFonts w:ascii="Amiri" w:hAnsi="Amiri" w:eastAsia="Amiri" w:cs="Amiri"/>
          <w:color w:val="111111"/>
          <w:sz w:val="28"/>
          <w:sz w:val="28"/>
          <w:szCs w:val="28"/>
          <w:rtl w:val="true"/>
          <w:lang w:bidi="ar-SA"/>
        </w:rPr>
        <w:t>إلىٰ أن لا يَفعَلوا</w:t>
      </w:r>
      <w:r>
        <w:rPr>
          <w:rStyle w:val="FootnoteAnchor"/>
          <w:rtl w:val="true"/>
        </w:rPr>
        <w:footnoteReference w:id="583"/>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6425_221654"/>
      <w:bookmarkStart w:id="326" w:name="pg16425_221654"/>
      <w:bookmarkEnd w:id="326"/>
    </w:p>
    <w:p>
      <w:pPr>
        <w:pStyle w:val="Heading3"/>
        <w:numPr>
          <w:ilvl w:val="2"/>
          <w:numId w:val="1"/>
        </w:numPr>
        <w:rPr/>
      </w:pPr>
      <w:bookmarkStart w:id="327" w:name="pg16425_221654"/>
      <w:bookmarkStart w:id="328" w:name="__RefHeading___Toc7830113_1280447820"/>
      <w:bookmarkStart w:id="329" w:name="_Toc105"/>
      <w:bookmarkEnd w:id="327"/>
      <w:bookmarkEnd w:id="328"/>
      <w:r>
        <w:rPr>
          <w:rtl w:val="true"/>
        </w:rPr>
        <w:t>(</w:t>
      </w:r>
      <w:r>
        <w:rPr/>
        <w:t>50</w:t>
      </w:r>
      <w:r>
        <w:rPr>
          <w:rtl w:val="true"/>
        </w:rPr>
        <w:t xml:space="preserve">) </w:t>
      </w:r>
      <w:r>
        <w:rPr>
          <w:rtl w:val="true"/>
        </w:rPr>
        <w:t>مَسألةٌ في وَجهِ العلمِ بتَناولِ الوَعيدِ كافّةَ الكفّارِ</w:t>
      </w:r>
      <w:bookmarkEnd w:id="32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0" w:name="__RefHeading___Toc7830115_1280447820"/>
      <w:bookmarkStart w:id="331" w:name="_Toc106"/>
      <w:bookmarkEnd w:id="330"/>
      <w:r>
        <w:rPr>
          <w:rtl w:val="true"/>
        </w:rPr>
        <w:t>اشارة</w:t>
      </w:r>
      <w:bookmarkEnd w:id="33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6425_221656"/>
      <w:bookmarkStart w:id="333" w:name="pg16425_221656"/>
      <w:bookmarkEnd w:id="333"/>
    </w:p>
    <w:p>
      <w:pPr>
        <w:pStyle w:val="Heading4"/>
        <w:numPr>
          <w:ilvl w:val="3"/>
          <w:numId w:val="1"/>
        </w:numPr>
        <w:rPr/>
      </w:pPr>
      <w:bookmarkStart w:id="334" w:name="pg16425_221656"/>
      <w:bookmarkStart w:id="335" w:name="__RefHeading___Toc7830117_1280447820"/>
      <w:bookmarkStart w:id="336" w:name="_Toc107"/>
      <w:bookmarkEnd w:id="334"/>
      <w:bookmarkEnd w:id="335"/>
      <w:r>
        <w:rPr>
          <w:rtl w:val="true"/>
        </w:rPr>
        <w:t>مقدّمة التحقيق</w:t>
      </w:r>
      <w:bookmarkEnd w:id="336"/>
    </w:p>
    <w:p>
      <w:pPr>
        <w:pStyle w:val="Heading5"/>
        <w:numPr>
          <w:ilvl w:val="4"/>
          <w:numId w:val="1"/>
        </w:numPr>
        <w:rPr/>
      </w:pPr>
      <w:bookmarkStart w:id="337" w:name="__RefHeading___Toc7830119_1280447820"/>
      <w:bookmarkStart w:id="338" w:name="_Toc108"/>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لقد تسبّبت البحوث التي دارت حول مرتكب الكبيرة و مصيره يوم القيامة إلى ظهور المعتزلة بنظريّة عُرفت بنظريّة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نصّت على أنّ مرتكب الكبيرة خالد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المقابل ظهرت نظريّة أُخرى نصّت على أنّ الخلود في جهنّم مختصّ بالكفّار، و أنّ مرتكب الكبيرة من المؤمنين يُمضي مدّة من الزمن في جهنّم، ثمّ يخرج منها، و عُرفت هذه النظريّة بنظريّة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أتباع نظريّة الوعيد بآيات قرآنيّة تدلّ بظاهرها على عموم و شمول الخلود في جهنّم لجميع الأشخاص المخالفين للحقّ‌، سواء كانوا كفّاراً أم من مرتكبي الذنوب،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يَظْلِمْ مِنْكُمْ نُذِقْهُ عَذٰاباً كَبِيراً</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عامّان، و يدلّان على عموم العذاب للمذكورين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أتباع نظريّة الإرجاء رفضوا عموم الخلود لكلّ العاصين، و خصّوه بالكفّار، لذلك رفض بعضهم وجود ألفاظ تدلّ على العموم في اللغة العربيّة، و ذلك لأجل نفي دلالة أمثال الآيات المتقدّمة على عموم الخلود لجميع العاصين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تمَّ تأسيس بحث حول ألفاظ العموم، و هل هناك ألفاظ في العربيّة تدلّ‌ </w:t>
      </w:r>
    </w:p>
    <w:p>
      <w:pPr>
        <w:pStyle w:val="BookText"/>
        <w:rPr/>
      </w:pPr>
      <w:r>
        <w:rPr>
          <w:rFonts w:ascii="Amiri" w:hAnsi="Amiri" w:eastAsia="Amiri" w:cs="Amiri"/>
          <w:color w:val="111111"/>
          <w:sz w:val="28"/>
          <w:sz w:val="28"/>
          <w:szCs w:val="28"/>
          <w:rtl w:val="true"/>
          <w:lang w:bidi="ar-SA"/>
        </w:rPr>
        <w:t>على ذلك أم لا؟ فذهب بعض أصحاب الوعيد إلى القول بوجود هذه الألفاظ، فيما نفى بعض أصحاب الإرجاء وجودها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طرح هذه البحث في كتب الكلام إضافة إلى كتب علم أُصول الفقه، و يمكن اعتبار هذا البحث من حالات التقاء علمَي الكلام و الأُصول، فصار كلّ واحد من العلمَين يترك أثره على الآخر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ذهب إلى نفي وجود ألفاظ في اللغة تدلّ على العموم هو الشريف المرتضى، فقد كان ممّن نفى عموم الخلود لجميع العاصين، و خصّصه بجميع الكفّار، و قام بطرح هذا البحث بالتفصيل و الدفاع عن وجهة نظره في كتبه الكلاميّة و الأُصوليّة معاً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ترك هذا البحث أثره على فكره في مواضع مختلفة، فعلى سبيل المثال أنكر الشريف المرتضى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عصمة الإمام؛ و ذلك لأنّ الاستدلال بهذه الآية مبنيّ على القول بعموم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الظالمين، و لكن إذا أنكرنا وجود لفظ للعموم في العربيّة، فسوف لن يتمّ هذا الاستدلال</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أمثلة ذلك إنكاره لدلالة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على عموم الرضا لكلّ المؤمنين، و ذلك لأنّه مبنيّ على كون الألف و اللام موضوعة للاستغراق، و هي ليست كذلك</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فإنّ تخصيص الخلود بجميع الكفّار مع رفض وجود ألفاظ تدلّ‌ </w:t>
      </w:r>
    </w:p>
    <w:p>
      <w:pPr>
        <w:pStyle w:val="BookText"/>
        <w:rPr/>
      </w:pPr>
      <w:r>
        <w:rPr>
          <w:rFonts w:ascii="Amiri" w:hAnsi="Amiri" w:eastAsia="Amiri" w:cs="Amiri"/>
          <w:color w:val="111111"/>
          <w:sz w:val="28"/>
          <w:sz w:val="28"/>
          <w:szCs w:val="28"/>
          <w:rtl w:val="true"/>
          <w:lang w:bidi="ar-SA"/>
        </w:rPr>
        <w:t>على العموم، أدّى إلى طرح إشكال تعرّض إليه الشريف المرتضى في الرسالة التي بين أيدينا، و أجاب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هناك ألفاظ تدلّ على العموم، فكيف يمكن إثبات عموم الوعيد بالخلود لجميع الكفّار إلى الأبد؟</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علمنا ذلك من جهة النبيّ صلّى اللّٰهُ عليه و آلِه بصورة ضروريّة و قطعيّة، أي أنّ النبيّ صلّى اللّٰهُ عليه و آلِه قد أخبرنا بذلك، و فهّمنا مراده بصورة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إذا 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 النبيّ صلّى اللّٰهُ عليه و آلِه نفسُه بذلك حتّى قام بإخبارنا به‌؟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الذي جاء بالوحي هو الذي أخبره بذلك، و جعله يعلم به بصورة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البحث في الحقيقة يتعرّض بصورة مقتضبة جدّاً إلى مسألة من المسائل الكلاميّة التي تتحدّث عن مصدر معرفة النبيّ صلّى اللّٰهُ عليه و آلِه، و أنّه كيف يتمكّن من معرفة ما يؤدّيه إليه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طرح سؤالاً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مصدر معرفة المَلك نفسه، و من أين علم بما أخبر به النبيَّ صلّى اللّٰهُ عليه و آلِه من عموم الخلود لجميع الكفّار؟ و مع كونه مكلّفاً لا يمكن أن يجعله اللّٰه تعالى مضطرّاً إلى المعرفة، فإنّ الاضطرار ينافي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على الإشكال بشيء من التفصيل، فذكر 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عدم وجود ألفاظ تدلّ على الاستغراق في لغة الحوار التي نعرفها، و هذا لا يعني عدم وجود لفظ يدلّ على العموم في لغة الملائكة، فلعلّه يوجد فيها هكذا لفظ، و قد خاطبهم اللّٰه تعالى بذلك اللفظ، ففهموا عموم العقاب لجميع الكفّار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يغني اللّٰه تعالى بعض الملائكة بالحَسَن عن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لا </w:t>
      </w:r>
      <w:bookmarkStart w:id="339" w:name="pg16425_221659"/>
    </w:p>
    <w:p>
      <w:pPr>
        <w:pStyle w:val="BookText"/>
        <w:rPr/>
      </w:pPr>
      <w:bookmarkEnd w:id="339"/>
      <w:r>
        <w:rPr>
          <w:rFonts w:ascii="Amiri" w:hAnsi="Amiri" w:eastAsia="Amiri" w:cs="Amiri"/>
          <w:color w:val="111111"/>
          <w:sz w:val="28"/>
          <w:sz w:val="28"/>
          <w:szCs w:val="28"/>
          <w:rtl w:val="true"/>
          <w:lang w:bidi="ar-SA"/>
        </w:rPr>
        <w:t xml:space="preserve">يجعله مكلّفاً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يتنافي التكليف مع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يجعله مضطرّاً إلى معرفة عموم العقاب لكافّة الكفّار في جميع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يخبر ذلك المَلكُ غيرَه من الملائكة بصورة قطعيّة، ثمّ يخبر هؤلاء الملائكة النبيَّ صلّى اللّٰهُ عليه و آلِه بما علموه بصورة قطعيّة</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7830121_1280447820"/>
      <w:bookmarkStart w:id="341" w:name="_Toc109"/>
      <w:bookmarkEnd w:id="340"/>
      <w:r>
        <w:rPr>
          <w:rtl w:val="true"/>
        </w:rPr>
        <w:t>عنوان الرسالة</w:t>
      </w:r>
      <w:bookmarkEnd w:id="341"/>
    </w:p>
    <w:p>
      <w:pPr>
        <w:pStyle w:val="BookText"/>
        <w:rPr/>
      </w:pPr>
      <w:r>
        <w:rPr>
          <w:rFonts w:ascii="Amiri" w:hAnsi="Amiri" w:eastAsia="Amiri" w:cs="Amiri"/>
          <w:color w:val="111111"/>
          <w:sz w:val="28"/>
          <w:sz w:val="28"/>
          <w:szCs w:val="28"/>
          <w:rtl w:val="true"/>
          <w:lang w:bidi="ar-SA"/>
        </w:rPr>
        <w:t xml:space="preserve">لقد طبعت هذه الرسالة في ضمن 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هذه الطبعة هي المقصودة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التحقيق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ضمن مسائل المرتضى،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كلاهما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في وجه العلم بتناول الوعيد كافّة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طبعت مرّة أُخرىٰ في رسائل الشريف المرتضى، 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اللفظة الدالّة على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هذه الطبعة سقط كثير، و أمّا عنوانها فعامّ‌، بينما العنوان الأوّل فيه دلالة كاملة علىٰ محتوىٰ الرسالة</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7830123_1280447820"/>
      <w:bookmarkStart w:id="343" w:name="_Toc110"/>
      <w:bookmarkEnd w:id="342"/>
      <w:r>
        <w:rPr>
          <w:rtl w:val="true"/>
        </w:rPr>
        <w:t>مخطوطات الرسالة</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11340</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6425_221662"/>
      <w:bookmarkStart w:id="345" w:name="pg16425_221662"/>
      <w:bookmarkEnd w:id="345"/>
    </w:p>
    <w:p>
      <w:pPr>
        <w:pStyle w:val="BookText"/>
        <w:rPr/>
      </w:pPr>
      <w:bookmarkStart w:id="346" w:name="pg16425_221662"/>
      <w:bookmarkEnd w:id="34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7830125_1280447820"/>
      <w:bookmarkStart w:id="348" w:name="_Toc111"/>
      <w:bookmarkEnd w:id="347"/>
      <w:r>
        <w:rPr>
          <w:rtl w:val="true"/>
        </w:rPr>
        <w:t>مَسألةٌ في وَجهِ العلمِ بتَناولِ الوَعيدِ كافّةَ الكفّارِ</w:t>
      </w:r>
      <w:bookmarkEnd w:id="348"/>
    </w:p>
    <w:p>
      <w:pPr>
        <w:pStyle w:val="Heading5"/>
        <w:numPr>
          <w:ilvl w:val="4"/>
          <w:numId w:val="1"/>
        </w:numPr>
        <w:rPr/>
      </w:pPr>
      <w:bookmarkStart w:id="349" w:name="__RefHeading___Toc7830127_1280447820"/>
      <w:bookmarkStart w:id="350" w:name="_Toc112"/>
      <w:bookmarkEnd w:id="349"/>
      <w:r>
        <w:rPr>
          <w:rtl w:val="true"/>
        </w:rPr>
        <w:t>اشارة</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7830129_1280447820"/>
      <w:bookmarkStart w:id="352" w:name="_Toc113"/>
      <w:bookmarkEnd w:id="351"/>
      <w:r>
        <w:rPr>
          <w:rtl w:val="true"/>
        </w:rPr>
        <w:t>مسألةٌ‌</w:t>
      </w:r>
      <w:r>
        <w:rPr>
          <w:rtl w:val="true"/>
        </w:rPr>
        <w:t>:</w:t>
      </w:r>
      <w:bookmarkEnd w:id="352"/>
    </w:p>
    <w:p>
      <w:p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عندَكم في لغةِ العربِ لفظٌ هو</w:t>
      </w:r>
      <w:r>
        <w:rPr>
          <w:rStyle w:val="FootnoteAnchor"/>
          <w:rtl w:val="true"/>
        </w:rPr>
        <w:footnoteReference w:id="591"/>
      </w:r>
      <w:r>
        <w:rPr>
          <w:rFonts w:ascii="Amiri" w:hAnsi="Amiri" w:eastAsia="Amiri" w:cs="Amiri"/>
          <w:color w:val="111111"/>
          <w:sz w:val="28"/>
          <w:sz w:val="28"/>
          <w:szCs w:val="28"/>
          <w:rtl w:val="true"/>
          <w:lang w:bidi="ar-SA"/>
        </w:rPr>
        <w:t>حقيقةٌ في الاستغراقِ‌، فمن أيِّ وجهٍ عُلِمَ تَناوُلُ الوَعيدِ بالخُلودِ كافّةَ الكُفّارِ علىٰ جهةِ التأبيدِ؟</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 ذلكَ مِن قَصدِ النبيِّ صَلَّى اللّٰهُ عليه و آلِه</w:t>
      </w:r>
      <w:r>
        <w:rPr>
          <w:rStyle w:val="FootnoteAnchor"/>
          <w:rtl w:val="true"/>
        </w:rPr>
        <w:footnoteReference w:id="592"/>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صَلَّى اللّٰهُ عليه و آلِه مِن أيِّ وجهٍ عَلِمَ ذلكَ؟</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اضطَرَّه المَلَكُ إلىٰ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594"/>
      </w:r>
      <w:r>
        <w:rPr>
          <w:rFonts w:ascii="Amiri" w:hAnsi="Amiri" w:eastAsia="Amiri" w:cs="Amiri"/>
          <w:color w:val="111111"/>
          <w:sz w:val="28"/>
          <w:sz w:val="28"/>
          <w:szCs w:val="28"/>
          <w:rtl w:val="true"/>
          <w:lang w:bidi="ar-SA"/>
        </w:rPr>
        <w:t>المَلَكُ مِن أينَ عَلِمَ ذلكَ؟ و مع كَونِه مُكلَّفاً لا يَصِحُّ أن يَضطَرَّه اللّٰهُ سُبحانَه</w:t>
      </w:r>
      <w:r>
        <w:rPr>
          <w:rStyle w:val="FootnoteAnchor"/>
          <w:rtl w:val="true"/>
        </w:rPr>
        <w:footnoteReference w:id="595"/>
      </w:r>
      <w:r>
        <w:rPr>
          <w:rFonts w:ascii="Amiri" w:hAnsi="Amiri" w:eastAsia="Amiri" w:cs="Amiri"/>
          <w:color w:val="111111"/>
          <w:sz w:val="28"/>
          <w:sz w:val="28"/>
          <w:szCs w:val="28"/>
          <w:rtl w:val="true"/>
          <w:lang w:bidi="ar-SA"/>
        </w:rPr>
        <w:t>إلىٰ قَصدِه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353" w:name="pg16425_221663"/>
    </w:p>
    <w:p>
      <w:pPr>
        <w:pStyle w:val="Heading5"/>
        <w:numPr>
          <w:ilvl w:val="4"/>
          <w:numId w:val="1"/>
        </w:numPr>
        <w:rPr/>
      </w:pPr>
      <w:bookmarkStart w:id="354" w:name="__RefHeading___Toc7830131_1280447820"/>
      <w:bookmarkStart w:id="355" w:name="_Toc114"/>
      <w:bookmarkEnd w:id="353"/>
      <w:bookmarkEnd w:id="354"/>
      <w:r>
        <w:rPr>
          <w:rtl w:val="true"/>
        </w:rPr>
        <w:t xml:space="preserve">الجوابُ‌ </w:t>
      </w:r>
      <w:r>
        <w:rPr>
          <w:rtl w:val="true"/>
        </w:rPr>
        <w:t>:</w:t>
      </w:r>
      <w:bookmarkEnd w:id="355"/>
    </w:p>
    <w:p>
      <w:pPr>
        <w:pStyle w:val="BookText"/>
        <w:rPr/>
      </w:pPr>
      <w:r>
        <w:rPr>
          <w:rFonts w:ascii="Amiri" w:hAnsi="Amiri" w:eastAsia="Amiri" w:cs="Amiri"/>
          <w:color w:val="111111"/>
          <w:sz w:val="28"/>
          <w:sz w:val="28"/>
          <w:szCs w:val="28"/>
          <w:rtl w:val="true"/>
          <w:lang w:bidi="ar-SA"/>
        </w:rPr>
        <w:t>الجوابُ‌</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w:t>
      </w:r>
      <w:r>
        <w:rPr>
          <w:rStyle w:val="FootnoteAnchor"/>
          <w:rtl w:val="true"/>
        </w:rPr>
        <w:footnoteReference w:id="598"/>
      </w: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Style w:val="FootnoteAnchor"/>
          <w:rtl w:val="true"/>
        </w:rPr>
        <w:footnoteReference w:id="599"/>
      </w:r>
      <w:r>
        <w:rPr>
          <w:rFonts w:ascii="Amiri" w:hAnsi="Amiri" w:eastAsia="Amiri" w:cs="Amiri"/>
          <w:color w:val="111111"/>
          <w:sz w:val="28"/>
          <w:sz w:val="28"/>
          <w:szCs w:val="28"/>
          <w:rtl w:val="true"/>
          <w:lang w:bidi="ar-SA"/>
        </w:rPr>
        <w:t>لَيسَ في اللغةِ‌</w:t>
      </w:r>
      <w:r>
        <w:rPr>
          <w:rStyle w:val="FootnoteAnchor"/>
          <w:rtl w:val="true"/>
        </w:rPr>
        <w:footnoteReference w:id="600"/>
      </w:r>
      <w:r>
        <w:rPr>
          <w:rFonts w:ascii="Amiri" w:hAnsi="Amiri" w:eastAsia="Amiri" w:cs="Amiri"/>
          <w:color w:val="111111"/>
          <w:sz w:val="28"/>
          <w:sz w:val="28"/>
          <w:szCs w:val="28"/>
          <w:rtl w:val="true"/>
          <w:lang w:bidi="ar-SA"/>
        </w:rPr>
        <w:t>لفظٌ هو حقيقةٌ في الاستغراقِ‌</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لعِلمِنا بعُرفِ أهلِها في الخِطابِ‌، و عادتِهم</w:t>
      </w:r>
      <w:r>
        <w:rPr>
          <w:rStyle w:val="FootnoteAnchor"/>
          <w:rtl w:val="true"/>
        </w:rPr>
        <w:footnoteReference w:id="602"/>
      </w:r>
      <w:r>
        <w:rPr>
          <w:rFonts w:ascii="Amiri" w:hAnsi="Amiri" w:eastAsia="Amiri" w:cs="Amiri"/>
          <w:color w:val="111111"/>
          <w:sz w:val="28"/>
          <w:sz w:val="28"/>
          <w:szCs w:val="28"/>
          <w:rtl w:val="true"/>
          <w:lang w:bidi="ar-SA"/>
        </w:rPr>
        <w:t>في المُحاوَرةِ‌،</w:t>
      </w:r>
      <w:r>
        <w:rPr>
          <w:rStyle w:val="FootnoteAnchor"/>
          <w:rtl w:val="true"/>
        </w:rPr>
        <w:footnoteReference w:id="603"/>
      </w:r>
      <w:r>
        <w:rPr>
          <w:rFonts w:ascii="Amiri" w:hAnsi="Amiri" w:eastAsia="Amiri" w:cs="Amiri"/>
          <w:color w:val="111111"/>
          <w:sz w:val="28"/>
          <w:sz w:val="28"/>
          <w:szCs w:val="28"/>
          <w:rtl w:val="true"/>
          <w:lang w:bidi="ar-SA"/>
        </w:rPr>
        <w:t>و أنّه لا لفظَ موضوعٌ فيها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w:t>
      </w:r>
      <w:r>
        <w:rPr>
          <w:rStyle w:val="FootnoteAnchor"/>
          <w:rtl w:val="true"/>
        </w:rPr>
        <w:footnoteReference w:id="604"/>
      </w:r>
      <w:r>
        <w:rPr>
          <w:rFonts w:ascii="Amiri" w:hAnsi="Amiri" w:eastAsia="Amiri" w:cs="Amiri"/>
          <w:color w:val="111111"/>
          <w:sz w:val="28"/>
          <w:sz w:val="28"/>
          <w:szCs w:val="28"/>
          <w:rtl w:val="true"/>
          <w:lang w:bidi="ar-SA"/>
        </w:rPr>
        <w:t>ما عَدا هذه اللغةَ‌، ممّا لا سبيلَ لنا إلَى العِلمِ بها</w:t>
      </w:r>
      <w:r>
        <w:rPr>
          <w:rStyle w:val="FootnoteAnchor"/>
          <w:rtl w:val="true"/>
        </w:rPr>
        <w:footnoteReference w:id="605"/>
      </w:r>
      <w:r>
        <w:rPr>
          <w:rFonts w:ascii="Amiri" w:hAnsi="Amiri" w:eastAsia="Amiri" w:cs="Amiri"/>
          <w:color w:val="111111"/>
          <w:sz w:val="28"/>
          <w:sz w:val="28"/>
          <w:szCs w:val="28"/>
          <w:rtl w:val="true"/>
          <w:lang w:bidi="ar-SA"/>
        </w:rPr>
        <w:t>، فغَيرُ</w:t>
      </w:r>
      <w:r>
        <w:rPr>
          <w:rStyle w:val="FootnoteAnchor"/>
          <w:rtl w:val="true"/>
        </w:rPr>
        <w:footnoteReference w:id="606"/>
      </w:r>
      <w:r>
        <w:rPr>
          <w:rFonts w:ascii="Amiri" w:hAnsi="Amiri" w:eastAsia="Amiri" w:cs="Amiri"/>
          <w:color w:val="111111"/>
          <w:sz w:val="28"/>
          <w:sz w:val="28"/>
          <w:szCs w:val="28"/>
          <w:rtl w:val="true"/>
          <w:lang w:bidi="ar-SA"/>
        </w:rPr>
        <w:t>مُمتَنِعٍ أن يَكونَ فيها لفظٌ موضوعٌ لذلكَ‌؛</w:t>
      </w:r>
      <w:r>
        <w:rPr>
          <w:rStyle w:val="FootnoteAnchor"/>
          <w:rtl w:val="true"/>
        </w:rPr>
        <w:footnoteReference w:id="607"/>
      </w:r>
      <w:r>
        <w:rPr>
          <w:rFonts w:ascii="IRNazanin" w:hAnsi="IRNazanin" w:eastAsia="IRNazanin"/>
          <w:color w:val="111111"/>
          <w:sz w:val="28"/>
          <w:sz w:val="28"/>
          <w:szCs w:val="28"/>
          <w:rtl w:val="true"/>
          <w:lang w:bidi="fa-IR"/>
        </w:rPr>
        <w:t>إذ</w:t>
      </w:r>
      <w:r>
        <w:rPr>
          <w:rStyle w:val="FootnoteAnchor"/>
          <w:rtl w:val="true"/>
        </w:rPr>
        <w:footnoteReference w:id="608"/>
      </w:r>
      <w:r>
        <w:rPr>
          <w:rFonts w:ascii="Amiri" w:hAnsi="Amiri" w:eastAsia="Amiri" w:cs="Amiri"/>
          <w:color w:val="111111"/>
          <w:sz w:val="28"/>
          <w:sz w:val="28"/>
          <w:szCs w:val="28"/>
          <w:rtl w:val="true"/>
          <w:lang w:bidi="ar-SA"/>
        </w:rPr>
        <w:t>كانَ هذا</w:t>
      </w:r>
      <w:r>
        <w:rPr>
          <w:rStyle w:val="FootnoteAnchor"/>
          <w:rtl w:val="true"/>
        </w:rPr>
        <w:footnoteReference w:id="609"/>
      </w:r>
      <w:r>
        <w:rPr>
          <w:rFonts w:ascii="Amiri" w:hAnsi="Amiri" w:eastAsia="Amiri" w:cs="Amiri"/>
          <w:color w:val="111111"/>
          <w:sz w:val="28"/>
          <w:sz w:val="28"/>
          <w:szCs w:val="28"/>
          <w:rtl w:val="true"/>
          <w:lang w:bidi="ar-SA"/>
        </w:rPr>
        <w:t>غَيرَ مُمتَنِعٍ أن</w:t>
      </w:r>
      <w:r>
        <w:rPr>
          <w:rStyle w:val="FootnoteAnchor"/>
          <w:rtl w:val="true"/>
        </w:rPr>
        <w:footnoteReference w:id="610"/>
      </w:r>
      <w:r>
        <w:rPr>
          <w:rFonts w:ascii="Amiri" w:hAnsi="Amiri" w:eastAsia="Amiri" w:cs="Amiri"/>
          <w:color w:val="111111"/>
          <w:sz w:val="28"/>
          <w:sz w:val="28"/>
          <w:szCs w:val="28"/>
          <w:rtl w:val="true"/>
          <w:lang w:bidi="ar-SA"/>
        </w:rPr>
        <w:t>يَكونَ في لغةِ المَلائكةِ لفظٌ موضوعٌ للاستغراقِ يَفهَمونَ منه</w:t>
      </w:r>
      <w:r>
        <w:rPr>
          <w:rStyle w:val="FootnoteAnchor"/>
          <w:rtl w:val="true"/>
        </w:rPr>
        <w:footnoteReference w:id="611"/>
      </w:r>
      <w:r>
        <w:rPr>
          <w:rFonts w:ascii="Amiri" w:hAnsi="Amiri" w:eastAsia="Amiri" w:cs="Amiri"/>
          <w:color w:val="111111"/>
          <w:sz w:val="28"/>
          <w:sz w:val="28"/>
          <w:szCs w:val="28"/>
          <w:rtl w:val="true"/>
          <w:lang w:bidi="ar-SA"/>
        </w:rPr>
        <w:t>مُرادَ الحَكيمِ سُبحانَه في الخِطابِ‌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صَحَّ ذلكَ‌، و خاطَبَهم اللّٰهُ تَعالىٰ‌</w:t>
      </w:r>
      <w:r>
        <w:rPr>
          <w:rStyle w:val="FootnoteAnchor"/>
          <w:rtl w:val="true"/>
        </w:rPr>
        <w:footnoteReference w:id="612"/>
      </w:r>
      <w:r>
        <w:rPr>
          <w:rFonts w:ascii="Amiri" w:hAnsi="Amiri" w:eastAsia="Amiri" w:cs="Amiri"/>
          <w:color w:val="111111"/>
          <w:sz w:val="28"/>
          <w:sz w:val="28"/>
          <w:szCs w:val="28"/>
          <w:rtl w:val="true"/>
          <w:lang w:bidi="ar-SA"/>
        </w:rPr>
        <w:t xml:space="preserve">بذلكَ‌، صَحَّ أن يَضطَرَّ المَلَكُ النبيَّ‌ </w:t>
      </w:r>
    </w:p>
    <w:p>
      <w:pPr>
        <w:pStyle w:val="BookText"/>
        <w:rPr/>
      </w:pPr>
      <w:r>
        <w:rPr>
          <w:rFonts w:ascii="Amiri" w:hAnsi="Amiri" w:eastAsia="Amiri" w:cs="Amiri"/>
          <w:color w:val="111111"/>
          <w:sz w:val="28"/>
          <w:sz w:val="28"/>
          <w:szCs w:val="28"/>
          <w:rtl w:val="true"/>
          <w:lang w:bidi="ar-SA"/>
        </w:rPr>
        <w:t>صَلَّى اللّٰهُ عليه و آلِه إلىٰ مُرادِ اللّٰهِ تَعالىٰ‌</w:t>
      </w:r>
      <w:r>
        <w:rPr>
          <w:rStyle w:val="FootnoteAnchor"/>
          <w:rtl w:val="true"/>
        </w:rPr>
        <w:footnoteReference w:id="613"/>
      </w:r>
      <w:r>
        <w:rPr>
          <w:rFonts w:ascii="Amiri" w:hAnsi="Amiri" w:eastAsia="Amiri" w:cs="Amiri"/>
          <w:color w:val="111111"/>
          <w:sz w:val="28"/>
          <w:sz w:val="28"/>
          <w:szCs w:val="28"/>
          <w:rtl w:val="true"/>
          <w:lang w:bidi="ar-SA"/>
        </w:rPr>
        <w:t>منه في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أن يُغنيَ اللّٰهُ تَعالىٰ بعضَ‌</w:t>
      </w:r>
      <w:r>
        <w:rPr>
          <w:rStyle w:val="FootnoteAnchor"/>
          <w:rtl w:val="true"/>
        </w:rPr>
        <w:footnoteReference w:id="614"/>
      </w:r>
      <w:r>
        <w:rPr>
          <w:rFonts w:ascii="Amiri" w:hAnsi="Amiri" w:eastAsia="Amiri" w:cs="Amiri"/>
          <w:color w:val="111111"/>
          <w:sz w:val="28"/>
          <w:sz w:val="28"/>
          <w:szCs w:val="28"/>
          <w:rtl w:val="true"/>
          <w:lang w:bidi="ar-SA"/>
        </w:rPr>
        <w:t>مَلائكتِه بالحَسَنِ عن القَبيحِ‌، و يَضطَرَّه إلىٰ عِلمِ مُرادِه باستغراقِ كافّةِ الكُفّارِ في تأبيدِ العِقابِ و تَناوُلِه سائرَ الأوقاتِ‌، و يَضطَرَّ ذلكَ المَلَكُ غَيرَه مِن المَلائكةِ‌، و يَضطَرَّ مَن اضطَرَّه النبيَّ صَلَّى اللّٰهُ عليه و آلِه ثَمَّ‌</w:t>
      </w:r>
      <w:r>
        <w:rPr>
          <w:rStyle w:val="FootnoteAnchor"/>
          <w:rtl w:val="true"/>
        </w:rPr>
        <w:footnoteReference w:id="615"/>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و صَلاتُه علىٰ محمّدٍ و آلِه الأكرَمينَ‌، و سَلَّمَ كَثيراً</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6425_221666"/>
      <w:bookmarkStart w:id="357" w:name="pg16425_221666"/>
      <w:bookmarkEnd w:id="357"/>
    </w:p>
    <w:p>
      <w:pPr>
        <w:pStyle w:val="Heading3"/>
        <w:numPr>
          <w:ilvl w:val="2"/>
          <w:numId w:val="1"/>
        </w:numPr>
        <w:rPr/>
      </w:pPr>
      <w:bookmarkStart w:id="358" w:name="pg16425_221666"/>
      <w:bookmarkStart w:id="359" w:name="__RefHeading___Toc7830133_1280447820"/>
      <w:bookmarkStart w:id="360" w:name="_Toc115"/>
      <w:bookmarkEnd w:id="358"/>
      <w:bookmarkEnd w:id="359"/>
      <w:r>
        <w:rPr>
          <w:rtl w:val="true"/>
        </w:rPr>
        <w:t>(</w:t>
      </w:r>
      <w:r>
        <w:rPr/>
        <w:t>51</w:t>
      </w:r>
      <w:r>
        <w:rPr>
          <w:rtl w:val="true"/>
        </w:rPr>
        <w:t xml:space="preserve">) </w:t>
      </w:r>
      <w:r>
        <w:rPr>
          <w:rtl w:val="true"/>
        </w:rPr>
        <w:t>مسألةٌ في المَنعِ مِن تفضيلِ المَلائكةِ علَى الأنبياءِ عليهم السلام</w:t>
      </w:r>
      <w:bookmarkEnd w:id="36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1" w:name="__RefHeading___Toc7830135_1280447820"/>
      <w:bookmarkStart w:id="362" w:name="_Toc116"/>
      <w:bookmarkEnd w:id="361"/>
      <w:r>
        <w:rPr>
          <w:rtl w:val="true"/>
        </w:rPr>
        <w:t>اشارة</w:t>
      </w:r>
      <w:bookmarkEnd w:id="36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6425_221668"/>
      <w:bookmarkStart w:id="364" w:name="pg16425_221668"/>
      <w:bookmarkEnd w:id="364"/>
    </w:p>
    <w:p>
      <w:pPr>
        <w:pStyle w:val="Heading4"/>
        <w:numPr>
          <w:ilvl w:val="3"/>
          <w:numId w:val="1"/>
        </w:numPr>
        <w:rPr/>
      </w:pPr>
      <w:bookmarkStart w:id="365" w:name="pg16425_221668"/>
      <w:bookmarkStart w:id="366" w:name="__RefHeading___Toc7830137_1280447820"/>
      <w:bookmarkStart w:id="367" w:name="_Toc117"/>
      <w:bookmarkEnd w:id="365"/>
      <w:bookmarkEnd w:id="366"/>
      <w:r>
        <w:rPr>
          <w:rtl w:val="true"/>
        </w:rPr>
        <w:t>مقدّمة التحقيق</w:t>
      </w:r>
      <w:bookmarkEnd w:id="367"/>
    </w:p>
    <w:p>
      <w:pPr>
        <w:pStyle w:val="Heading5"/>
        <w:numPr>
          <w:ilvl w:val="4"/>
          <w:numId w:val="1"/>
        </w:numPr>
        <w:rPr/>
      </w:pPr>
      <w:bookmarkStart w:id="368" w:name="__RefHeading___Toc7830139_1280447820"/>
      <w:bookmarkStart w:id="369" w:name="_Toc118"/>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وقع خلاف بين العلماء و المتكلّمين حول فضيلة الملائكة، و مقارنتهم مع البشر عامّة، أو الأنبياء عليهم السلامُ‌، أو الأئمّة عليهم السلامُ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بالفضيلة في هذا البحث بالخصوص هو زيادة استحقاق الثواب، فالذي يستحقّ ثواباً أكثر يكون أكثر فضيلة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إرجاع جذور هذا الخلاف إلى القرن الأوّل، حيث نُقل مجلس حضره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دار البحث فيه حول هذه المسألة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ذهب جمهور المعتزلة إلى القول بتفضيل الملائكة على الأنبياء عليهم السلامُ‌، فيما توقّف بعضهم في البتّ في المسألة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الإماميّة، فقد وقفوا على الطرف المقابل للمعتزلة، و أجمعوا على تفضيل الأنبياء عليهم السلامُ على الملائكة</w:t>
      </w:r>
      <w:r>
        <w:rPr>
          <w:rStyle w:val="FootnoteAnchor"/>
          <w:rtl w:val="true"/>
        </w:rPr>
        <w:footnoteReference w:id="618"/>
      </w:r>
      <w:r>
        <w:rPr>
          <w:rFonts w:ascii="Amiri" w:hAnsi="Amiri" w:eastAsia="Amiri" w:cs="Amiri"/>
          <w:color w:val="111111"/>
          <w:sz w:val="28"/>
          <w:sz w:val="28"/>
          <w:szCs w:val="28"/>
          <w:rtl w:val="true"/>
          <w:lang w:bidi="ar-SA"/>
        </w:rPr>
        <w:t>، و ألّفوا في ذلك عدّة كتب و رسائل و نقوض، و منهم الشيخ المفيد حيث ألّف الردّ على أبي عبد اللّٰه البصري في تفضيل الملائكة</w:t>
      </w:r>
      <w:r>
        <w:rPr>
          <w:rStyle w:val="FootnoteAnchor"/>
          <w:rtl w:val="true"/>
        </w:rPr>
        <w:footnoteReference w:id="619"/>
      </w:r>
      <w:r>
        <w:rPr>
          <w:rFonts w:ascii="Amiri" w:hAnsi="Amiri" w:eastAsia="Amiri" w:cs="Amiri"/>
          <w:color w:val="111111"/>
          <w:sz w:val="28"/>
          <w:sz w:val="28"/>
          <w:szCs w:val="28"/>
          <w:rtl w:val="true"/>
          <w:lang w:bidi="ar-SA"/>
        </w:rPr>
        <w:t xml:space="preserve">، كما اهتمّ الشريف المرتضى بهذه المسألة، و قام بتأليف رسالتين، استدلّ فيهما على تفضيل الأنبياء عليهم السلامُ على الملائكة، و أجاب على أدلّة الآخرين من المعتزلة </w:t>
      </w:r>
    </w:p>
    <w:p>
      <w:pPr>
        <w:pStyle w:val="BookText"/>
        <w:rPr/>
      </w:pPr>
      <w:r>
        <w:rPr>
          <w:rFonts w:ascii="Amiri" w:hAnsi="Amiri" w:eastAsia="Amiri" w:cs="Amiri"/>
          <w:color w:val="111111"/>
          <w:sz w:val="28"/>
          <w:sz w:val="28"/>
          <w:szCs w:val="28"/>
          <w:rtl w:val="true"/>
          <w:lang w:bidi="ar-SA"/>
        </w:rPr>
        <w:t>و غيرهم ممّن اختلفوا معه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أجاب بالتفصيل على أسئلة وُجّهت إليه حول هذه المسألة، و ذلك في المسألة الثالثة من المسائل الرازيّة، و المسألة العشرين من الطرابلسيات الثالثة، حيث أشار في هاتين المسألتين إلى الرسالة الأُولى من بين الرسالتين المُشار إليهما آنفاً التي ألّفها حول مسألة تفضيل الأنبياء عليهم السلامُ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تعرّض أيضاً إلى المسألة باختصار في المسألة الرابعة و العشرين من المسائل الميّافارقيّات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من كلّ ذلك أنّ المسألة كانت محلّ نقاش في ذلك العصر، بحيث كثر السؤال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نستعرض أهمّ مطالب الرسالتين اللتين قام الشريف المرتضى بتأليفهما حول هذه المسألة، و ذلك لأهمّيتها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الرسالة الأُولى فهي إحدى رسائل تكملة أمالي المرتضى، و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تفضيل الأنبياء عليهم السلامُ على الملائكة</w:t>
      </w:r>
      <w:r>
        <w:rPr>
          <w:rStyle w:val="FootnoteAnchor"/>
          <w:rtl w:val="true"/>
        </w:rPr>
        <w:footnoteReference w:id="620"/>
      </w:r>
      <w:r>
        <w:rPr>
          <w:rFonts w:ascii="Amiri" w:hAnsi="Amiri" w:eastAsia="Amiri" w:cs="Amiri"/>
          <w:color w:val="111111"/>
          <w:sz w:val="28"/>
          <w:sz w:val="28"/>
          <w:szCs w:val="28"/>
          <w:rtl w:val="true"/>
          <w:lang w:bidi="ar-SA"/>
        </w:rPr>
        <w:t xml:space="preserve">، حيث ذكر الشريف المرتضى فيها أنّه ليس للعقل مجال للتوصّل إلى رأي حول تفضيل مكلّف على آخر؛ لأنّ معرفة مقادير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يحدّد مقدار الفضل، حيث تقدّم أنّ معنى الفضل في هذه المسألة هو زيادة استحقاق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غير ممكن، فقد تتساوى الطاعتان في الظاهر، لكن يكون ثوابهما مختلفاً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يكن للعقل مجال للوصول إلى نتيجة حول هذا الموضوع، فلا بدّ من اللجوء إلى النقل و السمع ليحدّد لنا فضيلة الأنبياء عليهم السلامُ على الملائكة أو العكس، و لكن ليس في القرآن و لا السنّة آية أو حديث يدّلان بصورة قطعيّة على تفضيل أحد الصنفين على الآخر، و لهذا انتقل الشريف المرتضى إلى إجماع الإماميّة، و استدلّ به على المسألة، فإنّ الإماميّة قد أجمعوا على تفضيل الأنبياء عليهم السلامُ‌ </w:t>
      </w:r>
    </w:p>
    <w:p>
      <w:pPr>
        <w:pStyle w:val="BookText"/>
        <w:rPr/>
      </w:pPr>
      <w:r>
        <w:rPr>
          <w:rFonts w:ascii="Amiri" w:hAnsi="Amiri" w:eastAsia="Amiri" w:cs="Amiri"/>
          <w:color w:val="111111"/>
          <w:sz w:val="28"/>
          <w:sz w:val="28"/>
          <w:szCs w:val="28"/>
          <w:rtl w:val="true"/>
          <w:lang w:bidi="ar-SA"/>
        </w:rPr>
        <w:t>على الملائكة، كما أجمعوا على تفضيل الأئمّة عليهم السلامُ على الملائكة، و إجماعُهم حجّة؛ لدخول الإمام المعصوم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العمدة في الاستدلال على تفضيل الأنبياء عليهم السلامُ على الملائكة من وجهة نظر الشريف المرتضى هو إجماع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يمكن أن يُستدلّ أيضاً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تعالى الملائكة أن يسجدوا لآدم عليه السلامُ‌، فهو يدلّ على تعظيمه و تقديمه عليهم، و كلّ مَن قال بفضيلة آدم عليه السلامُ على الملائكة قال بفضيلة الأنبياء عليهم السلامُ عليهم، و لم يفصل أحد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الدليل يعتمد في الحقيقة على الإجماع أيضاً، لكن إجماع الأُمّة، لا خصوص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ناقش الشريف المرتضى في هذه الرسالة ما استدلّ به بعض الإماميّة على تفضيل الأنبياء عليهم السلامُ‌، كما ناقش أربع آيات استدلّ بها الخصم على تفضيل الملائكة على الأنبياء عليهم السلامُ‌، و قام بتأويلها، و توصّل إلى أنّها لا دلالة فيها على ما رامه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الرسالة الثانية التي ألّفها الشريف المرتضى حول المسألة، فهي الرسالة محلّ بحثنا هنا، حيث خصّصها للإجابة على إحدى الآيات الأربع التي استدلّ بها الخصم على تفضيل الملائكة على الأنبياء عليهم السلامُ‌، و ناقشها في الرسالة الأُولى المتقدّمة، و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تحتوي الرسالة محلّ البحث على سؤال مقدّر، و هو إذا سأل سائل عن الآية المذكورة آنفاً،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آخرها يدلّ على تفضيل الملائكة على الأنبياء عليهم السلامُ‌؛ لأنّه تعالى قد أخبر فيها على أنّه فضّل بني آدم على كثير ممّن خلقه، و الظاهر من هذا الكلام أنّ هناك من مخلوقاته تعالى مَن لم يُفضَّل بنو آدم عليه، و إذا علمنا أنّ كلّ‌ </w:t>
      </w:r>
    </w:p>
    <w:p>
      <w:pPr>
        <w:pStyle w:val="BookText"/>
        <w:rPr/>
      </w:pPr>
      <w:r>
        <w:rPr>
          <w:rFonts w:ascii="Amiri" w:hAnsi="Amiri" w:eastAsia="Amiri" w:cs="Amiri"/>
          <w:color w:val="111111"/>
          <w:sz w:val="28"/>
          <w:sz w:val="28"/>
          <w:szCs w:val="28"/>
          <w:rtl w:val="true"/>
          <w:lang w:bidi="ar-SA"/>
        </w:rPr>
        <w:t>المخلوقات عبارة عن الإنس، و الجنّ‌، و الملائكة، و البهائم، و الجمادات، و من الواضح أنّ الإنس أفضل من الجنّ‌، و البهائم، و الجمادات، فلا يبقى إلّاالملائكة الذين لم يُفضّل عليهم بنو آدم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طريقة أُخرى للاستدلال بالآية، و هي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تطلق على العاقل من الموجودات، فتخرج البهائم و الجمادات منها، و لا يدخل فيها مَن يمكن أن يفضّل على بني آدم إلّاالجنّ و الملائكة، فإذا علمنا أنّ الإنس أفضل من الجنّ‌، فلا يبقى إلّاالملائكة ليُفضّلوا على الإنس، الذين منهم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الشريف المرتضى على الاستدلال بهذه الآية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الآية ما يدلّ على أنّ هناك من المخلوقات من لم يُفضّل بنو آدم عليه، فهو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ذلك، فيجاب عليه بأنّ العرب استعملوا مثل هذه اللفظة من دون أن يقصدوا التخصيص، بل قصدوا العموم و الشمول،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أعطيتُه الكثير من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لم يعنوا بذلك أنّي أعطيتُه بعض مالي دون بعض، و إنّما عَنوا أنّي أعطيتُه مالي الموصوف بأنّه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 له العريض من جاهي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يعنون أنّي بذلتُ له عريض جاهي، و منعتُه ما ليس بعريض؛ بل يعنون أنّي بذلتُ له جاهي الموصوف بأنّه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نظائر و أمثلة كثيرة من القرآن، و كلام العرب و أشعارهم، و قد اهتمّ الشريف المرتضى بذكر أمثلة متعدّدة من 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صحّ هذا، فسوف يكون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فضّلناهم على جميع من خلقنا، و هم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ذكر الكثير على نحو الوصف، لا على نحو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طبعاً لا يعني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التخصيص، لكن الكلام هو أنّها في هذه الآية لا تدلّ قطعاً على التخصيص، و هذا كاف لردّ الاستدلال بها على تفضيل الملائكة على الأنبياء عليهم السلامُ‌</w:t>
      </w:r>
      <w:r>
        <w:rPr>
          <w:rFonts w:eastAsia="Amiri" w:cs="Amiri" w:ascii="Amiri" w:hAnsi="Amiri"/>
          <w:color w:val="111111"/>
          <w:sz w:val="28"/>
          <w:szCs w:val="28"/>
          <w:rtl w:val="true"/>
          <w:lang w:bidi="ar-SA"/>
        </w:rPr>
        <w:t xml:space="preserve">. </w:t>
      </w:r>
      <w:bookmarkStart w:id="370" w:name="pg16425_221672"/>
    </w:p>
    <w:p>
      <w:pPr>
        <w:pStyle w:val="BookText"/>
        <w:rPr/>
      </w:pPr>
      <w:bookmarkEnd w:id="37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أفضل من جميع البشر ما عدا الأنبياء عليهم السلامُ‌، فيمكن حينئذ أن يكون مفاد الآية أنّ بني آدم لم يُفضلوا على الملائكة، لا لأنّ الملائكة أفضل من جميع البشر حتّى الأنبياء عليهم السلامُ‌، بل لأنّهم أفضل من أكثر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سوف لن يكون في الآية دلالة على تفضيل الملائكة على الأنبياء عليهم السلامُ‌، و إن دلّت على تفضيلهم على باقي البشر غير الأنبياء عليهم السلامُ‌، و لو كانت هناك آية تحدّثت عن خصوص الأنبياء عليهم السلامُ لفضّلتهم على الملائكة</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7830141_1280447820"/>
      <w:bookmarkStart w:id="372" w:name="_Toc119"/>
      <w:bookmarkEnd w:id="371"/>
      <w:r>
        <w:rPr>
          <w:rtl w:val="true"/>
        </w:rPr>
        <w:t>عنوان الرسالة و نسبتها إلى المؤلّف</w:t>
      </w:r>
      <w:bookmarkEnd w:id="372"/>
    </w:p>
    <w:p>
      <w:pPr>
        <w:pStyle w:val="BookText"/>
        <w:rPr/>
      </w:pPr>
      <w:r>
        <w:rPr>
          <w:rFonts w:ascii="Amiri" w:hAnsi="Amiri" w:eastAsia="Amiri" w:cs="Amiri"/>
          <w:color w:val="111111"/>
          <w:sz w:val="28"/>
          <w:sz w:val="28"/>
          <w:szCs w:val="28"/>
          <w:rtl w:val="true"/>
          <w:lang w:bidi="ar-SA"/>
        </w:rPr>
        <w:t xml:space="preserve">قد ذكر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الثانية؛ لكن سمّياها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على مَن 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w:t>
      </w:r>
      <w:r>
        <w:rPr>
          <w:rFonts w:eastAsia="Amiri" w:cs="Amiri" w:ascii="Amiri" w:hAnsi="Amiri"/>
          <w:color w:val="111111"/>
          <w:sz w:val="28"/>
          <w:szCs w:val="28"/>
          <w:rtl w:val="true"/>
          <w:lang w:bidi="ar-SA"/>
        </w:rPr>
        <w:t>» »</w:t>
      </w:r>
      <w:r>
        <w:rPr>
          <w:rStyle w:val="FootnoteAnchor"/>
          <w:rtl w:val="true"/>
        </w:rPr>
        <w:footnoteReference w:id="622"/>
      </w:r>
      <w:r>
        <w:rPr>
          <w:rFonts w:ascii="Amiri" w:hAnsi="Amiri" w:eastAsia="Amiri" w:cs="Amiri"/>
          <w:color w:val="111111"/>
          <w:sz w:val="28"/>
          <w:sz w:val="28"/>
          <w:szCs w:val="28"/>
          <w:rtl w:val="true"/>
          <w:lang w:bidi="ar-SA"/>
        </w:rPr>
        <w:t>، فمن الأفضل تسميتها بما سمّياها به؛ فهما أدرى بأسماء كتب و رسائل أستاذهما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ذِكرهما لها يدلّ على صحّة نسبة الرسالة التي بأيدينا إلى الشريف المرتضى؛ لأنّ موضوعها هو الردّ على من تعلّق بالآية المذكورة، و هو يتطابق بالضبط مع العنوان الذي ذكره البُصروي 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قرينة أُخرى على تصحيح نسبة هذه الرسالة إلى الشريف المرتضى، و هي أنّه قد أشار إليها في الرسالة الأُولى المتقدّمة، حيث قال هناك عند مناقشته الاستدلال بالآية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كنّا أملينا في تأويل هذه الآية كلاماً مفرداً استقصيناه، و شرحنا هذا الوجه، و أكثرنا من ذكر أمثلته</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أنّه لا يوجد شكّ في صحّة نسبة الرسالة الأُولى إلى الشريف المرتضى </w:t>
      </w:r>
      <w:bookmarkStart w:id="373" w:name="pg16425_221673"/>
    </w:p>
    <w:p>
      <w:pPr>
        <w:pStyle w:val="BookText"/>
        <w:rPr/>
      </w:pPr>
      <w:bookmarkEnd w:id="373"/>
      <w:r>
        <w:rPr>
          <w:rFonts w:ascii="Amiri" w:hAnsi="Amiri" w:eastAsia="Amiri" w:cs="Amiri"/>
          <w:color w:val="111111"/>
          <w:sz w:val="28"/>
          <w:sz w:val="28"/>
          <w:szCs w:val="28"/>
          <w:rtl w:val="true"/>
          <w:lang w:bidi="ar-SA"/>
        </w:rPr>
        <w:t>باعتبارها من رسائل تكملة الأمالي، فتكون الإشارة فيها إلى الرسالة الثانية دليلاً على تصحيح نسبتها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كانت هذه الرسالة قد طبعت في الكاظمية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ضمن مجموعة رسائل الشريف المرتضى، المجموعة الأُولىٰ‌،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السيّد أحمد الحسيني، كما طبعت في 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ضمن 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7830143_1280447820"/>
      <w:bookmarkStart w:id="375" w:name="_Toc120"/>
      <w:bookmarkEnd w:id="374"/>
      <w:r>
        <w:rPr>
          <w:rtl w:val="true"/>
        </w:rPr>
        <w:t>مخطوطات الرسالة</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2611/20</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376" w:name="pg16425_221674"/>
    </w:p>
    <w:p>
      <w:pPr>
        <w:pStyle w:val="Heading4"/>
        <w:numPr>
          <w:ilvl w:val="3"/>
          <w:numId w:val="1"/>
        </w:numPr>
        <w:rPr/>
      </w:pPr>
      <w:bookmarkStart w:id="377" w:name="__RefHeading___Toc7830145_1280447820"/>
      <w:bookmarkStart w:id="378" w:name="_Toc121"/>
      <w:bookmarkEnd w:id="376"/>
      <w:bookmarkEnd w:id="377"/>
      <w:r>
        <w:rPr>
          <w:rtl w:val="true"/>
        </w:rPr>
        <w:t>مسألةٌ‌ في المَنعِ مِن تفضيلِ المَلائكةِ علَى الأنبياءِ‌</w:t>
      </w:r>
      <w:r>
        <w:rPr>
          <w:rtl w:val="true"/>
        </w:rPr>
        <w:t>:</w:t>
      </w:r>
      <w:bookmarkEnd w:id="378"/>
    </w:p>
    <w:p>
      <w:pPr>
        <w:pStyle w:val="BookText"/>
        <w:rPr/>
      </w:pPr>
      <w:r>
        <w:rPr>
          <w:rFonts w:ascii="Amiri" w:hAnsi="Amiri" w:eastAsia="Amiri" w:cs="Amiri"/>
          <w:color w:val="111111"/>
          <w:sz w:val="28"/>
          <w:sz w:val="28"/>
          <w:szCs w:val="28"/>
          <w:rtl w:val="true"/>
          <w:lang w:bidi="ar-SA"/>
        </w:rPr>
        <w:t>مسألةٌ‌</w:t>
      </w:r>
      <w:r>
        <w:rPr>
          <w:rStyle w:val="FootnoteAnchor"/>
          <w:rtl w:val="true"/>
        </w:rPr>
        <w:footnoteReference w:id="624"/>
      </w:r>
      <w:r>
        <w:rPr>
          <w:rFonts w:ascii="Amiri" w:hAnsi="Amiri" w:eastAsia="Amiri" w:cs="Amiri"/>
          <w:color w:val="111111"/>
          <w:sz w:val="28"/>
          <w:sz w:val="28"/>
          <w:szCs w:val="28"/>
          <w:rtl w:val="true"/>
          <w:lang w:bidi="ar-SA"/>
        </w:rPr>
        <w:t>في المَنعِ مِن</w:t>
      </w:r>
      <w:r>
        <w:rPr>
          <w:rStyle w:val="FootnoteAnchor"/>
          <w:rtl w:val="true"/>
        </w:rPr>
        <w:footnoteReference w:id="625"/>
      </w:r>
      <w:r>
        <w:rPr>
          <w:rFonts w:ascii="Amiri" w:hAnsi="Amiri" w:eastAsia="Amiri" w:cs="Amiri"/>
          <w:color w:val="111111"/>
          <w:sz w:val="28"/>
          <w:sz w:val="28"/>
          <w:szCs w:val="28"/>
          <w:rtl w:val="true"/>
          <w:lang w:bidi="ar-SA"/>
        </w:rPr>
        <w:t>تفضيلِ المَلائكةِ علَى الأنبياءِ‌</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 سَألَ سائلٌ مُستَدِلاًّ علىٰ فَضلِ المَلائكةِ علَى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تُنكِرونَ‌</w:t>
      </w:r>
      <w:r>
        <w:rPr>
          <w:rStyle w:val="FootnoteAnchor"/>
          <w:rtl w:val="true"/>
        </w:rPr>
        <w:footnoteReference w:id="627"/>
      </w:r>
      <w:r>
        <w:rPr>
          <w:rFonts w:ascii="Amiri" w:hAnsi="Amiri" w:eastAsia="Amiri" w:cs="Amiri"/>
          <w:color w:val="111111"/>
          <w:sz w:val="28"/>
          <w:sz w:val="28"/>
          <w:szCs w:val="28"/>
          <w:rtl w:val="true"/>
          <w:lang w:bidi="ar-SA"/>
        </w:rPr>
        <w:t>أن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يَدُلُّ علىٰ ذلكَ؟</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الدَّلالةِ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خَبَّرَ بأنَّه فَضَّلَ بَني آدَمَ علىٰ كَثيرٍ ممّن خَلَقَه، و ظاهرُ هذا الكلامِ يَقتَضي أنّ في خَلقِه مَن لَم يُفضِّلْ بَني آدَمَ عليه؛ و قد عَلِمنا أنّ المخلوقاتِ هُم الإنسُ‌، و الجِنُّ‌، و المَلائكةُ‌، و البَهائمُ‌، و الجَماداتُ‌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بَني آدَمَ أفضَلُ مِن الجِنِّ و البَهائمِ و الجَماداتِ بِلا شُبهةٍ‌، فيَجِبُ أن يَكونَ مَن يَجِبُ خروجُه مِن الكلامِ ممّن لَم يُفضِّلْ بَني آدَمَ عليهم هُم المَلائكةُ عليهم السلامُ‌، و إلّاسَقَطَت الفائدةُ‌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يَتوَجَّهُ‌</w:t>
      </w:r>
      <w:r>
        <w:rPr>
          <w:rStyle w:val="FootnoteAnchor"/>
          <w:rtl w:val="true"/>
        </w:rPr>
        <w:footnoteReference w:id="628"/>
      </w:r>
      <w:r>
        <w:rPr>
          <w:rFonts w:ascii="Amiri" w:hAnsi="Amiri" w:eastAsia="Amiri" w:cs="Amiri"/>
          <w:color w:val="111111"/>
          <w:sz w:val="28"/>
          <w:sz w:val="28"/>
          <w:szCs w:val="28"/>
          <w:rtl w:val="true"/>
          <w:lang w:bidi="ar-SA"/>
        </w:rPr>
        <w:t>إلَى البَهائمِ و الجَماداتِ‌، و إنّما يَختَصُّ‌</w:t>
      </w:r>
      <w:r>
        <w:rPr>
          <w:rStyle w:val="FootnoteAnchor"/>
          <w:rtl w:val="true"/>
        </w:rPr>
        <w:footnoteReference w:id="629"/>
      </w:r>
      <w:r>
        <w:rPr>
          <w:rFonts w:ascii="Amiri" w:hAnsi="Amiri" w:eastAsia="Amiri" w:cs="Amiri"/>
          <w:color w:val="111111"/>
          <w:sz w:val="28"/>
          <w:sz w:val="28"/>
          <w:szCs w:val="28"/>
          <w:rtl w:val="true"/>
          <w:lang w:bidi="ar-SA"/>
        </w:rPr>
        <w:t>بمَن يَعقِلُ‌، فلَيسَ يَدخُلُ تَحتَها ممّن يَجوزُ أن يُفضَّلَ الآدَميّونَ عليه إلّاالمَلائكةُ و الجِنُّ‌، و إذا عَلِمنا أنّهم أفضَلُ مِن الجِنِّ بَقيَ المَلائكةُ خارجِينَ مِن الكلامِ‌، و في خروجِهم دَلالةٌ علىٰ أنّهم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 أوّلاً أنّ ظاهرَ الكلامِ يَقتَضي أنّ في المخلوقاتِ مَن لَم يُفضِّلْ بَني آدَمَ عليه، فعلىٰ ذلكَ بَنَيتَ‌</w:t>
      </w:r>
      <w:r>
        <w:rPr>
          <w:rStyle w:val="FootnoteAnchor"/>
          <w:rtl w:val="true"/>
        </w:rPr>
        <w:footnoteReference w:id="630"/>
      </w:r>
      <w:r>
        <w:rPr>
          <w:rFonts w:ascii="Amiri" w:hAnsi="Amiri" w:eastAsia="Amiri" w:cs="Amiri"/>
          <w:color w:val="111111"/>
          <w:sz w:val="28"/>
          <w:sz w:val="28"/>
          <w:szCs w:val="28"/>
          <w:rtl w:val="true"/>
          <w:lang w:bidi="ar-SA"/>
        </w:rPr>
        <w:t>الكلامَ كُلَّه‌؟ فإنّه غيرُ صحيحٍ‌، و لا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w:t>
      </w:r>
      <w:r>
        <w:rPr>
          <w:rStyle w:val="FootnoteAnchor"/>
          <w:rtl w:val="true"/>
        </w:rPr>
        <w:footnoteReference w:id="631"/>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أنّها تَقتَضي</w:t>
      </w:r>
      <w:r>
        <w:rPr>
          <w:rStyle w:val="FootnoteAnchor"/>
          <w:rtl w:val="true"/>
        </w:rPr>
        <w:footnoteReference w:id="632"/>
      </w:r>
      <w:r>
        <w:rPr>
          <w:rFonts w:ascii="Amiri" w:hAnsi="Amiri" w:eastAsia="Amiri" w:cs="Amiri"/>
          <w:color w:val="111111"/>
          <w:sz w:val="28"/>
          <w:sz w:val="28"/>
          <w:szCs w:val="28"/>
          <w:rtl w:val="true"/>
          <w:lang w:bidi="ar-SA"/>
        </w:rPr>
        <w:t>ما ادَّعَيتَه‌؟ و يُطالَبُ بالدَّلالةِ‌؛ فإنّه</w:t>
      </w:r>
      <w:r>
        <w:rPr>
          <w:rStyle w:val="FootnoteAnchor"/>
          <w:rtl w:val="true"/>
        </w:rPr>
        <w:footnoteReference w:id="633"/>
      </w:r>
      <w:r>
        <w:rPr>
          <w:rFonts w:ascii="Amiri" w:hAnsi="Amiri" w:eastAsia="Amiri" w:cs="Amiri"/>
          <w:color w:val="111111"/>
          <w:sz w:val="28"/>
          <w:sz w:val="28"/>
          <w:szCs w:val="28"/>
          <w:rtl w:val="true"/>
          <w:lang w:bidi="ar-SA"/>
        </w:rPr>
        <w:t>لا يَجِدُها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جَرَت عادةُ الفُصَحاءِ مِن العَرَبِ بأن يَستَعمِلوا مِثلَ هذه اللفظةِ مِن غيرِ إرادةٍ للتخصيصِ‌؛ بَل مع قَصدِ الشُّمولِ و العُمومِ‌،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أعطَيتُه الكَثيرَ مِن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أبَحتُه المَنيعَ مِن حَريمي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 له العَريضَ مِن جاهي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أعطَيتُه شَيئاً مِن مالي و اذَّخَرتُ‌</w:t>
      </w:r>
      <w:r>
        <w:rPr>
          <w:rStyle w:val="FootnoteAnchor"/>
          <w:rtl w:val="true"/>
        </w:rPr>
        <w:footnoteReference w:id="635"/>
      </w:r>
      <w:r>
        <w:rPr>
          <w:rFonts w:ascii="Amiri" w:hAnsi="Amiri" w:eastAsia="Amiri" w:cs="Amiri"/>
          <w:color w:val="111111"/>
          <w:sz w:val="28"/>
          <w:sz w:val="28"/>
          <w:szCs w:val="28"/>
          <w:rtl w:val="true"/>
          <w:lang w:bidi="ar-SA"/>
        </w:rPr>
        <w:t>عنه شَيئاً آخَرَ منه، و لا أبَحتُه مَنيعَ حَريمي و لَم أُبِحْه</w:t>
      </w:r>
      <w:r>
        <w:rPr>
          <w:rStyle w:val="FootnoteAnchor"/>
          <w:rtl w:val="true"/>
        </w:rPr>
        <w:footnoteReference w:id="636"/>
      </w:r>
      <w:r>
        <w:rPr>
          <w:rFonts w:ascii="Amiri" w:hAnsi="Amiri" w:eastAsia="Amiri" w:cs="Amiri"/>
          <w:color w:val="111111"/>
          <w:sz w:val="28"/>
          <w:sz w:val="28"/>
          <w:szCs w:val="28"/>
          <w:rtl w:val="true"/>
          <w:lang w:bidi="ar-SA"/>
        </w:rPr>
        <w:t>ما لَيسَ مَنيعاً</w:t>
      </w:r>
      <w:r>
        <w:rPr>
          <w:rStyle w:val="FootnoteAnchor"/>
          <w:rtl w:val="true"/>
        </w:rPr>
        <w:footnoteReference w:id="637"/>
      </w:r>
      <w:r>
        <w:rPr>
          <w:rFonts w:ascii="Amiri" w:hAnsi="Amiri" w:eastAsia="Amiri" w:cs="Amiri"/>
          <w:color w:val="111111"/>
          <w:sz w:val="28"/>
          <w:sz w:val="28"/>
          <w:szCs w:val="28"/>
          <w:rtl w:val="true"/>
          <w:lang w:bidi="ar-SA"/>
        </w:rPr>
        <w:t xml:space="preserve">، و لا بَذَلتُ له عَريضَ جاهي و مَنَعتُ ما لَيسَ‌ </w:t>
      </w:r>
    </w:p>
    <w:p>
      <w:pPr>
        <w:pStyle w:val="BookText"/>
        <w:rPr/>
      </w:pPr>
      <w:r>
        <w:rPr>
          <w:rFonts w:ascii="Amiri" w:hAnsi="Amiri" w:eastAsia="Amiri" w:cs="Amiri"/>
          <w:color w:val="111111"/>
          <w:sz w:val="28"/>
          <w:sz w:val="28"/>
          <w:szCs w:val="28"/>
          <w:rtl w:val="true"/>
          <w:lang w:bidi="ar-SA"/>
        </w:rPr>
        <w:t>بعَريضٍ‌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المَعْزيُّ بذلكَ و المَقصَدُ</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أعطَيتُه مالي و مِن صفتِه أنّه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أبَحتُه حَريمي و مِن صفتِه أنّه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بَذَلتُ له جاهي و مِن صفتِه أنّه</w:t>
      </w:r>
      <w:r>
        <w:rPr>
          <w:rStyle w:val="FootnoteAnchor"/>
          <w:rtl w:val="true"/>
        </w:rPr>
        <w:footnoteReference w:id="639"/>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w:t>
      </w:r>
      <w:r>
        <w:rPr>
          <w:rStyle w:val="FootnoteAnchor"/>
          <w:rtl w:val="true"/>
        </w:rPr>
        <w:footnoteReference w:id="640"/>
      </w:r>
      <w:r>
        <w:rPr>
          <w:rFonts w:ascii="Amiri" w:hAnsi="Amiri" w:eastAsia="Amiri" w:cs="Amiri"/>
          <w:color w:val="111111"/>
          <w:sz w:val="28"/>
          <w:sz w:val="28"/>
          <w:szCs w:val="28"/>
          <w:rtl w:val="true"/>
          <w:lang w:bidi="ar-SA"/>
        </w:rPr>
        <w:t>نَظائرُ في القُرآنِ كَثيرةٌ‌</w:t>
      </w:r>
      <w:r>
        <w:rPr>
          <w:rStyle w:val="FootnoteAnchor"/>
          <w:rtl w:val="true"/>
        </w:rPr>
        <w:footnoteReference w:id="641"/>
      </w:r>
      <w:r>
        <w:rPr>
          <w:rFonts w:ascii="Amiri" w:hAnsi="Amiri" w:eastAsia="Amiri" w:cs="Amiri"/>
          <w:color w:val="111111"/>
          <w:sz w:val="28"/>
          <w:sz w:val="28"/>
          <w:szCs w:val="28"/>
          <w:rtl w:val="true"/>
          <w:lang w:bidi="ar-SA"/>
        </w:rPr>
        <w:t>، و في أشعارِ العَرَبِ و مُحاوَراتِها، و هو بابٌ معروفٌ لا يَذهَبُ علىٰ مَن أَنَسَ بمَعرِفةِ لَحنِ كلامِهم</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مِنه طَرَفاً؛ لأنّ استيعابَ الجَميعِ يَطولُ‌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يَجري هذا المَجرىٰ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و لَم يُرِدْ أنّ لها عَمَداً لا تَرَونَها</w:t>
      </w:r>
      <w:r>
        <w:rPr>
          <w:rStyle w:val="FootnoteAnchor"/>
          <w:rtl w:val="true"/>
        </w:rPr>
        <w:footnoteReference w:id="644"/>
      </w:r>
      <w:r>
        <w:rPr>
          <w:rFonts w:ascii="Amiri" w:hAnsi="Amiri" w:eastAsia="Amiri" w:cs="Amiri"/>
          <w:color w:val="111111"/>
          <w:sz w:val="28"/>
          <w:sz w:val="28"/>
          <w:szCs w:val="28"/>
          <w:rtl w:val="true"/>
          <w:lang w:bidi="ar-SA"/>
        </w:rPr>
        <w:t>بَل أرادَ نَفيَ العَمَدِ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يَدْعُ مَعَ اَللّٰهِ إِلٰهاً آخَرَ لاٰ بُرْهٰانَ لَهُ بِهِ‌</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و لَم يُرِدْ أنّ لأحَدٍ بُرهاناً في دُعاءِ إلهٍ‌</w:t>
      </w:r>
      <w:r>
        <w:rPr>
          <w:rStyle w:val="FootnoteAnchor"/>
          <w:rtl w:val="true"/>
        </w:rPr>
        <w:footnoteReference w:id="646"/>
      </w:r>
      <w:r>
        <w:rPr>
          <w:rFonts w:ascii="Amiri" w:hAnsi="Amiri" w:eastAsia="Amiri" w:cs="Amiri"/>
          <w:color w:val="111111"/>
          <w:sz w:val="28"/>
          <w:sz w:val="28"/>
          <w:szCs w:val="28"/>
          <w:rtl w:val="true"/>
          <w:lang w:bidi="ar-SA"/>
        </w:rPr>
        <w:t>مع اللّٰهِ تَعالىٰ‌؛ بَل أرادَ أنّ مَن فَعَلَ ذلكَ فقَد فَعَلَ ما لا بُرهانَ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وَ كُفْرِهِمْ بِآيٰاتِ اَللّٰهِ وَ قَتْلِهِمُ اَلْأَنْبِيٰاءَ بِغَيْرِ حَقٍّ‌</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و لَم يُرِدْ تَعالىٰ أنّ فيمَن يُقتَلُ مِن الأنبياءِ مَن يُقتَلُ بحَقٍّ‌؛ بَل المَعنىٰ ما ذَكرناه و بيّنّاه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تَشْتَرُوا بِآيٰاتِي ثَمَناً قَلِيلاً</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و لَم يُرِدِ النهيَ عن </w:t>
      </w:r>
    </w:p>
    <w:p>
      <w:pPr>
        <w:pStyle w:val="BookText"/>
        <w:rPr/>
      </w:pPr>
      <w:r>
        <w:rPr>
          <w:rFonts w:ascii="Amiri" w:hAnsi="Amiri" w:eastAsia="Amiri" w:cs="Amiri"/>
          <w:color w:val="111111"/>
          <w:sz w:val="28"/>
          <w:sz w:val="28"/>
          <w:szCs w:val="28"/>
          <w:rtl w:val="true"/>
          <w:lang w:bidi="ar-SA"/>
        </w:rPr>
        <w:t>الثمَنِ القَليلِ دونَ الكَثيرِ؛ بَل نَهىٰ تَعالىٰ عن أخذِ جميعِ الأثمانِ عنها و الأبدالِ‌، و وَصَفَ ما يؤخَذُ عنها بالقِلّةِ‌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سُوَيدُ بنُ أبي كاهِلٍ‌</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أُناسٍ لَيسَ في 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 الفُحشِ و لا سوءُ الجَزَعْ‌</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 لَم يُثبِتْ بهذا الكلامِ‌</w:t>
      </w:r>
      <w:r>
        <w:rPr>
          <w:rStyle w:val="FootnoteAnchor"/>
          <w:rtl w:val="true"/>
        </w:rPr>
        <w:footnoteReference w:id="651"/>
      </w:r>
      <w:r>
        <w:rPr>
          <w:rFonts w:ascii="Amiri" w:hAnsi="Amiri" w:eastAsia="Amiri" w:cs="Amiri"/>
          <w:color w:val="111111"/>
          <w:sz w:val="28"/>
          <w:sz w:val="28"/>
          <w:szCs w:val="28"/>
          <w:rtl w:val="true"/>
          <w:lang w:bidi="ar-SA"/>
        </w:rPr>
        <w:t>في أخلاقِهم فُحشاً آجِلاً</w:t>
      </w:r>
      <w:r>
        <w:rPr>
          <w:rStyle w:val="FootnoteAnchor"/>
          <w:rtl w:val="true"/>
        </w:rPr>
        <w:footnoteReference w:id="652"/>
      </w:r>
      <w:r>
        <w:rPr>
          <w:rFonts w:ascii="Amiri" w:hAnsi="Amiri" w:eastAsia="Amiri" w:cs="Amiri"/>
          <w:color w:val="111111"/>
          <w:sz w:val="28"/>
          <w:sz w:val="28"/>
          <w:szCs w:val="28"/>
          <w:rtl w:val="true"/>
          <w:lang w:bidi="ar-SA"/>
        </w:rPr>
        <w:t>و جَزَعاً غيرَ سَيّئٍ‌، و إنّما نَفَى الفُحشَ و الجَزَعَ علىٰ كُلِّ حالٍ‌؛ و لَولا ذلكَ لَكانَ هاجياً لهُم، و لَم يَكُن مادِحاً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الفَرَزدَقُ‌</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 تَأتِ‌</w:t>
      </w:r>
      <w:r>
        <w:rPr>
          <w:rStyle w:val="FootnoteAnchor"/>
          <w:rtl w:val="true"/>
        </w:rPr>
        <w:footnoteReference w:id="654"/>
      </w:r>
      <w:r>
        <w:rPr>
          <w:rFonts w:ascii="Amiri" w:hAnsi="Amiri" w:eastAsia="Amiri" w:cs="Amiri"/>
          <w:color w:val="111111"/>
          <w:sz w:val="28"/>
          <w:sz w:val="28"/>
          <w:szCs w:val="28"/>
          <w:rtl w:val="true"/>
          <w:lang w:bidi="ar-SA"/>
        </w:rPr>
        <w:t>عِيرٌ</w:t>
      </w:r>
      <w:r>
        <w:rPr>
          <w:rStyle w:val="FootnoteAnchor"/>
          <w:rtl w:val="true"/>
        </w:rPr>
        <w:footnoteReference w:id="655"/>
      </w:r>
      <w:r>
        <w:rPr>
          <w:rFonts w:ascii="Amiri" w:hAnsi="Amiri" w:eastAsia="Amiri" w:cs="Amiri"/>
          <w:color w:val="111111"/>
          <w:sz w:val="28"/>
          <w:sz w:val="28"/>
          <w:szCs w:val="28"/>
          <w:rtl w:val="true"/>
          <w:lang w:bidi="ar-SA"/>
        </w:rPr>
        <w:t>أهلَها بالذي</w:t>
      </w:r>
      <w:r>
        <w:rPr>
          <w:rStyle w:val="FootnoteAnchor"/>
          <w:rtl w:val="true"/>
        </w:rPr>
        <w:footnoteReference w:id="656"/>
      </w:r>
      <w:r>
        <w:rPr>
          <w:rFonts w:ascii="Amiri" w:hAnsi="Amiri" w:eastAsia="Amiri" w:cs="Amiri"/>
          <w:color w:val="111111"/>
          <w:sz w:val="28"/>
          <w:sz w:val="28"/>
          <w:szCs w:val="28"/>
          <w:rtl w:val="true"/>
          <w:lang w:bidi="ar-SA"/>
        </w:rPr>
        <w:t xml:space="preserve">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جَعفَراً يَومَ الهُضَيباتِ عِيرُها</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أتَتهُم بِعِيرٍ</w:t>
      </w:r>
      <w:r>
        <w:rPr>
          <w:rStyle w:val="FootnoteAnchor"/>
          <w:rtl w:val="true"/>
        </w:rPr>
        <w:footnoteReference w:id="658"/>
      </w:r>
      <w:r>
        <w:rPr>
          <w:rFonts w:ascii="Amiri" w:hAnsi="Amiri" w:eastAsia="Amiri" w:cs="Amiri"/>
          <w:color w:val="111111"/>
          <w:sz w:val="28"/>
          <w:sz w:val="28"/>
          <w:szCs w:val="28"/>
          <w:rtl w:val="true"/>
          <w:lang w:bidi="ar-SA"/>
        </w:rPr>
        <w:t>لَم تَكُن</w:t>
      </w:r>
      <w:r>
        <w:rPr>
          <w:rStyle w:val="FootnoteAnchor"/>
          <w:rtl w:val="true"/>
        </w:rPr>
        <w:footnoteReference w:id="659"/>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حِنطةَ الشَّأْمِ المَزِيتِ خَميرُها</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w:t>
      </w:r>
      <w:r>
        <w:rPr>
          <w:rStyle w:val="FootnoteAnchor"/>
          <w:rtl w:val="true"/>
        </w:rPr>
        <w:footnoteReference w:id="661"/>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يَحمِلِ‌</w:t>
      </w:r>
      <w:r>
        <w:rPr>
          <w:rStyle w:val="FootnoteAnchor"/>
          <w:rtl w:val="true"/>
        </w:rPr>
        <w:footnoteReference w:id="662"/>
      </w:r>
      <w:r>
        <w:rPr>
          <w:rFonts w:ascii="Amiri" w:hAnsi="Amiri" w:eastAsia="Amiri" w:cs="Amiri"/>
          <w:color w:val="111111"/>
          <w:sz w:val="28"/>
          <w:sz w:val="28"/>
          <w:szCs w:val="28"/>
          <w:rtl w:val="true"/>
          <w:lang w:bidi="ar-SA"/>
        </w:rPr>
        <w:t>التمرَ الذي يَكونُ كَثيراً</w:t>
      </w:r>
      <w:r>
        <w:rPr>
          <w:rStyle w:val="FootnoteAnchor"/>
          <w:rtl w:val="true"/>
        </w:rPr>
        <w:footnoteReference w:id="66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يُرِدْ بباقي البَيتِ أنّ هُناكَ حِنطةً لَيسَ في خَميرِها زَيتٌ‌، بَل أرادَ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يَحمِلْ تَمراً و لا حِنطةً‌، ثُمَّ وَصَفَ الحِنطةَ بأنّ الزَّيتَ يُجعَلُ في خَميرِها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نَظائرُ هذا البابِ أكثَرُ مِن أن يُحصىٰ‌</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فعَلىٰ ما ذَكرناه لا يُنكَرُ أن يُريدَ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فَضَّلناهم علىٰ جميعِ مَن خَلَقْنا، و 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ذِكرُ الكَثرةِ علىٰ سَبيلِ الوصفِ المُعلَّقِ‌، لا علىٰ وجهِ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يُخبِرَ بقَولِهم</w:t>
      </w:r>
      <w:r>
        <w:rPr>
          <w:rStyle w:val="FootnoteAnchor"/>
          <w:rtl w:val="true"/>
        </w:rPr>
        <w:footnoteReference w:id="6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كَذا و كَذا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التخصيصِ دونَ العُمومِ‌،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كَثِيراً لَيُضِلُّونَ بِأَهْوٰائِهِمْ بِغَيْرِ عِلْمٍ‌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جميع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الأنسب</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كَثِيراً مِنَ اَلنّٰاسِ بِلِقٰاءِ رَبِّهِمْ لَكٰافِرُونَ‌</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أنّا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اللَّفظةَ في كُلِّ مَوضِعٍ يُستَعمَلُ‌</w:t>
      </w:r>
      <w:r>
        <w:rPr>
          <w:rStyle w:val="FootnoteAnchor"/>
          <w:rtl w:val="true"/>
        </w:rPr>
        <w:footnoteReference w:id="669"/>
      </w:r>
      <w:r>
        <w:rPr>
          <w:rFonts w:ascii="Amiri" w:hAnsi="Amiri" w:eastAsia="Amiri" w:cs="Amiri"/>
          <w:color w:val="111111"/>
          <w:sz w:val="28"/>
          <w:sz w:val="28"/>
          <w:szCs w:val="28"/>
          <w:rtl w:val="true"/>
          <w:lang w:bidi="ar-SA"/>
        </w:rPr>
        <w:t>بمَعنىً واحدٍ؛ بَل الوجهُ في استعمالِها يَختَلِفُ‌، و رُبَّما أُريدَ بها التخصيصُ‌، و رُبَّما أُريدَ ما ذَكرناه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يُرجَعُ في ذلكَ إمّا إلَى الوَضعِ‌، أو إلىٰ دَلالةٍ‌</w:t>
      </w:r>
      <w:r>
        <w:rPr>
          <w:rStyle w:val="FootnoteAnchor"/>
          <w:rtl w:val="true"/>
        </w:rPr>
        <w:footnoteReference w:id="670"/>
      </w:r>
      <w:r>
        <w:rPr>
          <w:rFonts w:ascii="Amiri" w:hAnsi="Amiri" w:eastAsia="Amiri" w:cs="Amiri"/>
          <w:color w:val="111111"/>
          <w:sz w:val="28"/>
          <w:sz w:val="28"/>
          <w:szCs w:val="28"/>
          <w:rtl w:val="true"/>
          <w:lang w:bidi="ar-SA"/>
        </w:rPr>
        <w:t>تَدُلُّ علَى المعنَى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أرَدنا الردَّ علىٰ مَن ادَّعىٰ أنّها يَقتَضي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لا مَحالةَ‌، فدَفَعناه عن ذلكَ بما أَورَدناه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هذه اللفظةِ يَقتَضي التخصيصَ‌، و أنّها إذا وَرَدَت لا يَقتَضيهِ‌</w:t>
      </w:r>
      <w:r>
        <w:rPr>
          <w:rStyle w:val="FootnoteAnchor"/>
          <w:rtl w:val="true"/>
        </w:rPr>
        <w:footnoteReference w:id="671"/>
      </w:r>
      <w:r>
        <w:rPr>
          <w:rFonts w:ascii="Amiri" w:hAnsi="Amiri" w:eastAsia="Amiri" w:cs="Amiri"/>
          <w:color w:val="111111"/>
          <w:sz w:val="28"/>
          <w:sz w:val="28"/>
          <w:szCs w:val="28"/>
          <w:rtl w:val="true"/>
          <w:lang w:bidi="ar-SA"/>
        </w:rPr>
        <w:t>كانَت مَجازاً، و حُمِلَ‌</w:t>
      </w:r>
      <w:r>
        <w:rPr>
          <w:rStyle w:val="FootnoteAnchor"/>
          <w:rtl w:val="true"/>
        </w:rPr>
        <w:footnoteReference w:id="672"/>
      </w:r>
      <w:r>
        <w:rPr>
          <w:rFonts w:ascii="Amiri" w:hAnsi="Amiri" w:eastAsia="Amiri" w:cs="Amiri"/>
          <w:color w:val="111111"/>
          <w:sz w:val="28"/>
          <w:sz w:val="28"/>
          <w:szCs w:val="28"/>
          <w:rtl w:val="true"/>
          <w:lang w:bidi="ar-SA"/>
        </w:rPr>
        <w:t>عليه بدَلالةٍ‌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ذلكَ تَحكُّمٌ مِن قائلِه، و إذا عُكِسَ عليه و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التخصيصُ هو </w:t>
      </w:r>
    </w:p>
    <w:p>
      <w:pPr>
        <w:pStyle w:val="BookText"/>
        <w:rPr/>
      </w:pPr>
      <w:r>
        <w:rPr>
          <w:rFonts w:ascii="Amiri" w:hAnsi="Amiri" w:eastAsia="Amiri" w:cs="Amiri"/>
          <w:color w:val="111111"/>
          <w:sz w:val="28"/>
          <w:sz w:val="28"/>
          <w:szCs w:val="28"/>
          <w:rtl w:val="true"/>
          <w:lang w:bidi="ar-SA"/>
        </w:rPr>
        <w:t>المَجازُ، و ورودُها مَورِدَ النَّعتِ و الوصفِ هو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يَجِدْ 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الجنسَ‌</w:t>
      </w:r>
      <w:r>
        <w:rPr>
          <w:rStyle w:val="FootnoteAnchor"/>
          <w:rtl w:val="true"/>
        </w:rPr>
        <w:footnoteReference w:id="673"/>
      </w:r>
      <w:r>
        <w:rPr>
          <w:rFonts w:ascii="Amiri" w:hAnsi="Amiri" w:eastAsia="Amiri" w:cs="Amiri"/>
          <w:color w:val="111111"/>
          <w:sz w:val="28"/>
          <w:sz w:val="28"/>
          <w:szCs w:val="28"/>
          <w:rtl w:val="true"/>
          <w:lang w:bidi="ar-SA"/>
        </w:rPr>
        <w:t>إنّما يَكونُ مُفضَّلاً علَى الجنسِ علىٰ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يَكونَ كُلُّ عَينٍ مِن أعيانِه أفضَلَ مِن أعيانِ الجنسِ الآخَرِ، أو بأن يَكونَ الفضلُ في أعيانِه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يَجوزُ أن يُفضَّلَ الجنسُ علىٰ غيرِه بأن يَكونَ فيه عَينٌ واحدةٌ أفضَلُ مِن كُلِّ عَينٍ في الجنسِ الآخَرِ و باقيهِ‌</w:t>
      </w:r>
      <w:r>
        <w:rPr>
          <w:rStyle w:val="FootnoteAnchor"/>
          <w:rtl w:val="true"/>
        </w:rPr>
        <w:footnoteReference w:id="674"/>
      </w:r>
      <w:r>
        <w:rPr>
          <w:rFonts w:ascii="Amiri" w:hAnsi="Amiri" w:eastAsia="Amiri" w:cs="Amiri"/>
          <w:color w:val="111111"/>
          <w:sz w:val="28"/>
          <w:sz w:val="28"/>
          <w:szCs w:val="28"/>
          <w:rtl w:val="true"/>
          <w:lang w:bidi="ar-SA"/>
        </w:rPr>
        <w:t>خالٍ مِن فضلٍ‌، و يَكونَ الجنسُ الآخَرُ لِكُلِّ عَينٍ منه فضلاً، و إن لَم يَبلُغْ إلىٰ فضلِ تلكَ العَينِ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 يَجوزُ أن يُفضَّلَ أهلُ بَغدادَ علىٰ أهلِ الكوفةِ إذا</w:t>
      </w:r>
      <w:r>
        <w:rPr>
          <w:rStyle w:val="FootnoteAnchor"/>
          <w:rtl w:val="true"/>
        </w:rPr>
        <w:footnoteReference w:id="675"/>
      </w:r>
      <w:r>
        <w:rPr>
          <w:rFonts w:ascii="Amiri" w:hAnsi="Amiri" w:eastAsia="Amiri" w:cs="Amiri"/>
          <w:color w:val="111111"/>
          <w:sz w:val="28"/>
          <w:sz w:val="28"/>
          <w:szCs w:val="28"/>
          <w:rtl w:val="true"/>
          <w:lang w:bidi="ar-SA"/>
        </w:rPr>
        <w:t>كانَ في بَغدادَ فاضلٌ واحدٌ أفضَلُ مِن كُلِّ واحدٍ مِن أهلِ الكوفةِ‌، و باقي أهلِ بَغدادَ لا فضلَ لهم، مَتىٰ‌</w:t>
      </w:r>
      <w:r>
        <w:rPr>
          <w:rStyle w:val="FootnoteAnchor"/>
          <w:rtl w:val="true"/>
        </w:rPr>
        <w:footnoteReference w:id="676"/>
      </w:r>
      <w:r>
        <w:rPr>
          <w:rFonts w:ascii="Amiri" w:hAnsi="Amiri" w:eastAsia="Amiri" w:cs="Amiri"/>
          <w:color w:val="111111"/>
          <w:sz w:val="28"/>
          <w:sz w:val="28"/>
          <w:szCs w:val="28"/>
          <w:rtl w:val="true"/>
          <w:lang w:bidi="ar-SA"/>
        </w:rPr>
        <w:t>كانَ أكثَرُ</w:t>
      </w:r>
      <w:r>
        <w:rPr>
          <w:rStyle w:val="FootnoteAnchor"/>
          <w:rtl w:val="true"/>
        </w:rPr>
        <w:footnoteReference w:id="677"/>
      </w:r>
      <w:r>
        <w:rPr>
          <w:rFonts w:ascii="Amiri" w:hAnsi="Amiri" w:eastAsia="Amiri" w:cs="Amiri"/>
          <w:color w:val="111111"/>
          <w:sz w:val="28"/>
          <w:sz w:val="28"/>
          <w:szCs w:val="28"/>
          <w:rtl w:val="true"/>
          <w:lang w:bidi="ar-SA"/>
        </w:rPr>
        <w:t>أهلِ الكوفةِ ذَوي فَضلٍ‌، و إن لَم يَبلُغوا إلىٰ مَنزِلةِ الفاضِلِ الذي ذَكرناه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صَحَّت هذه المُقدِّمةُ‌، لَم يُنكَرْ أن يَكونَ‌</w:t>
      </w:r>
      <w:r>
        <w:rPr>
          <w:rStyle w:val="FootnoteAnchor"/>
          <w:rtl w:val="true"/>
        </w:rPr>
        <w:footnoteReference w:id="678"/>
      </w:r>
      <w:r>
        <w:rPr>
          <w:rFonts w:ascii="Amiri" w:hAnsi="Amiri" w:eastAsia="Amiri" w:cs="Amiri"/>
          <w:color w:val="111111"/>
          <w:sz w:val="28"/>
          <w:sz w:val="28"/>
          <w:szCs w:val="28"/>
          <w:rtl w:val="true"/>
          <w:lang w:bidi="ar-SA"/>
        </w:rPr>
        <w:t>جنسُ المَلائكةِ أفضَلَ مِن جنسِ‌</w:t>
      </w:r>
      <w:r>
        <w:rPr>
          <w:rStyle w:val="FootnoteAnchor"/>
          <w:rtl w:val="true"/>
        </w:rPr>
        <w:footnoteReference w:id="679"/>
      </w:r>
      <w:r>
        <w:rPr>
          <w:rFonts w:ascii="Amiri" w:hAnsi="Amiri" w:eastAsia="Amiri" w:cs="Amiri"/>
          <w:color w:val="111111"/>
          <w:sz w:val="28"/>
          <w:sz w:val="28"/>
          <w:szCs w:val="28"/>
          <w:rtl w:val="true"/>
          <w:lang w:bidi="ar-SA"/>
        </w:rPr>
        <w:t>بَني آدَمَ‌</w:t>
      </w:r>
      <w:r>
        <w:rPr>
          <w:rStyle w:val="FootnoteAnchor"/>
          <w:rtl w:val="true"/>
        </w:rPr>
        <w:footnoteReference w:id="680"/>
      </w:r>
      <w:r>
        <w:rPr>
          <w:rFonts w:ascii="Amiri" w:hAnsi="Amiri" w:eastAsia="Amiri" w:cs="Amiri"/>
          <w:color w:val="111111"/>
          <w:sz w:val="28"/>
          <w:sz w:val="28"/>
          <w:szCs w:val="28"/>
          <w:rtl w:val="true"/>
          <w:lang w:bidi="ar-SA"/>
        </w:rPr>
        <w:t xml:space="preserve">لأنّ الفضلَ في المَلائكةِ عامٌّ لجَميعِهم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أكثَرِ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لأكثَرِهم، و الفضلَ في بَني آدَمَ مُخصَّصٌ‌</w:t>
      </w:r>
      <w:r>
        <w:rPr>
          <w:rStyle w:val="FootnoteAnchor"/>
          <w:rtl w:val="true"/>
        </w:rPr>
        <w:footnoteReference w:id="681"/>
      </w:r>
      <w:r>
        <w:rPr>
          <w:rFonts w:ascii="Amiri" w:hAnsi="Amiri" w:eastAsia="Amiri" w:cs="Amiri"/>
          <w:color w:val="111111"/>
          <w:sz w:val="28"/>
          <w:sz w:val="28"/>
          <w:szCs w:val="28"/>
          <w:rtl w:val="true"/>
          <w:lang w:bidi="ar-SA"/>
        </w:rPr>
        <w:t>بقَليلٍ مِن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لا يُنكَرُ أن يَكونَ الأنبياءُ عليهم السلامُ أفضَلَ مِن المَلائكةِ‌، و إن كانَ جنسُ المَلائكةِ أفضَلَ مِن جنسِ بَني آدَمَ‌؛ للمعنَى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تَضمَّنَت الآيةُ ذِكرَ بَني آدَمَ علىٰ سَبيلِ الجنسيّةِ‌، وَجَبَ أن يُفضَّلوا علىٰ مَن عَدا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ذَكَرَ الأنبياءَ بذِكرٍ يَخُصُّهم ممّن عَداهم ممّن لَيسَ بذي فضلٍ‌، لَفضَّلَهم علَى المَلائكةِ‌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واضحٌ بحَمدِ اللّٰهِ و حُسنِ مَعونَتِه و توفيقِه</w:t>
      </w:r>
      <w:r>
        <w:rPr>
          <w:rFonts w:eastAsia="Amiri" w:cs="Amiri" w:ascii="Amiri" w:hAnsi="Amiri"/>
          <w:color w:val="111111"/>
          <w:sz w:val="28"/>
          <w:szCs w:val="28"/>
          <w:rtl w:val="true"/>
          <w:lang w:bidi="ar-SA"/>
        </w:rPr>
        <w:t xml:space="preserve">. </w:t>
      </w:r>
      <w:bookmarkStart w:id="379" w:name="pg16425_221682"/>
    </w:p>
    <w:p>
      <w:pPr>
        <w:pStyle w:val="Heading3"/>
        <w:numPr>
          <w:ilvl w:val="2"/>
          <w:numId w:val="1"/>
        </w:numPr>
        <w:rPr/>
      </w:pPr>
      <w:bookmarkStart w:id="380" w:name="__RefHeading___Toc7830147_1280447820"/>
      <w:bookmarkStart w:id="381" w:name="_Toc122"/>
      <w:bookmarkEnd w:id="379"/>
      <w:bookmarkEnd w:id="380"/>
      <w:r>
        <w:rPr>
          <w:rtl w:val="true"/>
        </w:rPr>
        <w:t>(</w:t>
      </w:r>
      <w:r>
        <w:rPr/>
        <w:t>52</w:t>
      </w:r>
      <w:r>
        <w:rPr>
          <w:rtl w:val="true"/>
        </w:rPr>
        <w:t xml:space="preserve">) </w:t>
      </w:r>
      <w:r>
        <w:rPr>
          <w:rtl w:val="true"/>
        </w:rPr>
        <w:t>دَفعُ شُبهةٍ للبَراهِمةِ في بَعثِ الأنبياءِ عليهم السلام</w:t>
      </w:r>
      <w:bookmarkEnd w:id="38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2" w:name="__RefHeading___Toc7830149_1280447820"/>
      <w:bookmarkStart w:id="383" w:name="_Toc123"/>
      <w:bookmarkEnd w:id="382"/>
      <w:r>
        <w:rPr>
          <w:rtl w:val="true"/>
        </w:rPr>
        <w:t>اشارة</w:t>
      </w:r>
      <w:bookmarkEnd w:id="38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6425_221684"/>
      <w:bookmarkStart w:id="385" w:name="pg16425_221684"/>
      <w:bookmarkEnd w:id="385"/>
    </w:p>
    <w:p>
      <w:pPr>
        <w:pStyle w:val="Heading4"/>
        <w:numPr>
          <w:ilvl w:val="3"/>
          <w:numId w:val="1"/>
        </w:numPr>
        <w:rPr/>
      </w:pPr>
      <w:bookmarkStart w:id="386" w:name="pg16425_221684"/>
      <w:bookmarkStart w:id="387" w:name="__RefHeading___Toc7830151_1280447820"/>
      <w:bookmarkStart w:id="388" w:name="_Toc124"/>
      <w:bookmarkEnd w:id="386"/>
      <w:bookmarkEnd w:id="387"/>
      <w:r>
        <w:rPr>
          <w:rtl w:val="true"/>
        </w:rPr>
        <w:t>مقدّمة التحقيق</w:t>
      </w:r>
      <w:bookmarkEnd w:id="388"/>
    </w:p>
    <w:p>
      <w:pPr>
        <w:pStyle w:val="Heading5"/>
        <w:numPr>
          <w:ilvl w:val="4"/>
          <w:numId w:val="1"/>
        </w:numPr>
        <w:rPr/>
      </w:pPr>
      <w:bookmarkStart w:id="389" w:name="__RefHeading___Toc7830153_1280447820"/>
      <w:bookmarkStart w:id="390" w:name="_Toc125"/>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تعرّضت الرسالة المحمّديّة منذ ظهورها إلى شبهات و إشكالات و اتّهامات عديدة من قِبَل المناوئين لها، فتارة اتّهم النبيّ صلّى اللّٰهُ عليه و آلِه بالسحر، و أُخرى بالكذب، و ثالثة بأنّه اقتبس ما جاء به من أهل الكتاب، إلى غير ذلك من الشُبه و الاتّهامات البدائيّة التي لا ترقى إلى مستوى الإشكال العلمي الرصين؛ بل ظلّت قابعة في مستوى التهمة التي يكيلها الأعداء عندما تعوزهم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انتشار الإسلام و اختلاطه بالحضارات الأُخرى أدّى إلى ظهور إشكالات أكثر دقّة و عمقاً، و ربّما من أهمّ الإشكالات على النبوّة ما أورده البراهمة على أصل بعثة الأنبياء عليهم السلامُ‌؛ فإنّ البراهمة كانوا ينكرون الأديان و بعثة الأنبياء عليهم السلامُ بصورة عامّة</w:t>
      </w:r>
      <w:r>
        <w:rPr>
          <w:rStyle w:val="FootnoteAnchor"/>
          <w:rtl w:val="true"/>
        </w:rPr>
        <w:footnoteReference w:id="682"/>
      </w:r>
      <w:r>
        <w:rPr>
          <w:rFonts w:ascii="Amiri" w:hAnsi="Amiri" w:eastAsia="Amiri" w:cs="Amiri"/>
          <w:color w:val="111111"/>
          <w:sz w:val="28"/>
          <w:sz w:val="28"/>
          <w:szCs w:val="28"/>
          <w:rtl w:val="true"/>
          <w:lang w:bidi="ar-SA"/>
        </w:rPr>
        <w:t>و لذلك وجّهوا إشكالاتهم إلى أصل البعثة، و هي بطبيعة الحال تهدّد نبوّة رسول الإسلام صلّى اللّٰهُ عليه و آلِه، حاله حال سائر الأنبياء عليهم السلامُ‌، و لذلك اهتمّ المتكلّمون بدراستها و الردّ عليها بكلّ ما أوتوا من قوّة علميّة و طاقة فكرية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أورد البراهمة إشكالات عديدة على البعثة، أوصلها القاضي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المغني 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أشهر تلك الإشكالات </w:t>
      </w:r>
    </w:p>
    <w:p>
      <w:pPr>
        <w:pStyle w:val="BookText"/>
        <w:rPr/>
      </w:pPr>
      <w:r>
        <w:rPr>
          <w:rFonts w:ascii="Amiri" w:hAnsi="Amiri" w:eastAsia="Amiri" w:cs="Amiri"/>
          <w:color w:val="111111"/>
          <w:sz w:val="28"/>
          <w:sz w:val="28"/>
          <w:szCs w:val="28"/>
          <w:rtl w:val="true"/>
          <w:lang w:bidi="ar-SA"/>
        </w:rPr>
        <w:t>المذكورة عادة في الكتب الكلاميّة هو أنّه لو كانت تعاليم الأنبياء عليهم السلامُ موافقة للعقول، لم تبق حاجة إلى الأنبياء، و إن كانت مخالفة لها، وجب 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المتكلّمون عن هذه الشبهة بأنّ الأنبياء عليهم السلامُ قد يأتون بما يوافق العقول، فيكون الشرع مؤيّداً للعقل، و قد يأتون بما لا يهتدي العقل إليه، أي لا يكون للعقل حكم معيّن فيه، فلا يَحكم فيه بإيجاب أو سلب</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الرسالة استعرض الشريف المرتضى إشكالاً آخر من إشكالات البراهمة على البعثة،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البعثة حسنة، لكان الرسول المبعوث من قِبَل اللّٰه تعالى قاطعاً على أنّه سوف يبقى حيّاً حتّى يؤدّي رسالته، و إلّالو مات قبل ذلك لمَا كان اللّٰه تعالى قد حقّق الهدف من وراء بعثته، و هو هداية الناس و إرشادهم، فيكون قد فَعَل قبيحاً؛ و إذا قطع الرسول على بقائه حيّاً حتّى يؤدّي واجبه المطلوب منه، لأدّى إلى وقوع مفسدة، و هي الإغراء بالمعاصي؛ فإنّ مَن يَعلم أنّه سيبقى حيّاً إلى فترة من الزمن، سوف يُقدِم على المعاصي، و يتماهل في التوبة و هو أمر قبيح؛ إذن بعثة الأنبياء لا تنفكّ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استعراض عدّة أجوبة على هذه الشبهة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تكليف الرسول بأداء الرسالة مساوي لتكليفه بسائر التكاليف من صلاة و صيام، و وجه المساواة هو أنّه في كلا التكليفين يعلم أنّه سوف يبقى حيّاً لكن بشرط، و هو العقل، و القدرة</w:t>
      </w:r>
      <w:r>
        <w:rPr>
          <w:rStyle w:val="FootnoteAnchor"/>
          <w:rtl w:val="true"/>
        </w:rPr>
        <w:footnoteReference w:id="685"/>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علمه بالبقاء مع وجود هذه الشروط لا يؤدّي إلى القطع على البقاء، فكذلك في التكليف بأداء الرسالة، و بذلك يبطل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التكاليف الأُخرى لا يعلم أنّه سوف تتحقّق شروطها، و لذلك لا يقطع بالبقاء، بينما بالنسبة إلى التكليف بأداء الرسالة هو يعلم ببقائه حتّى الانتهاء من أدائها، فحصل الفرق بين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الإجابة على ذلك بأنّ الرسول سوف لن يقطع بالبقاء؛ لأنّه يَحتمل أنّه إذا لم يتمكّن من أداء الرسالة أن يرسل اللّٰه تعالى رسولاً آخر لأدائها، و بذلك سوف لن يقطع بالبقاء حيّاً، و سوف يرتفع إشكال الإغراء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بالبقاء لا يوجب الإغراء دائماً، فإنّ المكلّفين يختلفون، فإذا عُلم أنّ هذا المكلّف معصوم، و أنّه يبقى على الطاعة و إن عَلم ببقائه حيّاً، فسوف لن يؤدّي علمه بالبقاء إلى الإغراء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أنّ مَن ذهب من المعتزلة إلى القول بوجود معاصي صغائر تكون محبَطة بواسطة الحسنات، يمكنه أن يفرّق بين العلم بالصغيرة و العلم بالتبقية، فإنّ العلم بأنّ هذه المعصية صغيرة يؤدّي إلى إغراء الجميع بارتكابها؛ لأنّه يعني العلم بأنّها لا تضرّ ضرراً كبيراً مع وجود الداعي و الشهوة إليها، فيكون الإعلام بكون المعصية صغيرة إغراء لجميع المكلّفين بفعلها، بينما الإعلام بالتبقية يكون إغراء لبعضهم؛ لأنّ البعض الآخر من المكلّفين المؤمنين سوف يجوّزون إذا بقوا و عصوا أن لا يتوبوا، فحينئذ سوف يمتنعون من المعصية، و سوف لن يكون علمهم بالبقاء إغراء لهم بالمعصية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الشريف المرتضى جواباً ثالثاً و هو للقاضي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رفضه، و قام بمناقشته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هو أنّ الرسول يقطع بالبقاء إلى حين الانتهاء ممّا كلّف به من أداء الرسالة، و لكن بما أنّه لا يعرف متىٰ ينتهي من ذلك فهو يجوّز دائماً أن يبقىٰ حيّاً بسبب بقاء تكليفه بأداء الرسالة، و أن يموت بسبب انتهاء ذلك التكليف، و حينئذ سوف لن يكون هناك إغراء؛ لأنّ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في البقاء و عدم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يزول عند العلم بانتهاء التكليف، و أمّا مع عدم العلم </w:t>
      </w:r>
    </w:p>
    <w:p>
      <w:pPr>
        <w:pStyle w:val="BookText"/>
        <w:rPr/>
      </w:pPr>
      <w:r>
        <w:rPr>
          <w:rFonts w:ascii="Amiri" w:hAnsi="Amiri" w:eastAsia="Amiri" w:cs="Amiri"/>
          <w:color w:val="111111"/>
          <w:sz w:val="28"/>
          <w:sz w:val="28"/>
          <w:szCs w:val="28"/>
          <w:rtl w:val="true"/>
          <w:lang w:bidi="ar-SA"/>
        </w:rPr>
        <w:t>فيبقىٰ الخوف و الشكّ قائماً، فلا 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عليه الشريف المرتضىٰ بأنّ الكلام حول أنّه إذا قطع بالبقاء إلىٰ وقت الأداء حصل الإغراء، و أمّا بعد الأداء فهو مجوِّز للأداء فلا إغراء، و حينئذ إذا علم بوقت أداء الرسالة و وقت انتهاء تكليفه بالأداء فسوف يقطع بالبقاء إلى ذلك الوقت و يحصل الإغراء، أي أنّ القاضي افترض الرسول غير عالم بوقت انتهاء تكليف الأداء فلزم ارتفاع الإغراء، بينما افترض الشريف المرتضىٰ علمَه بذلك فحصل 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ظهر لنا من الجواب و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من يقارن الرسالة محلّ البحث مع كتاب المغني الذي ألّفه القاضي عبد الجبّار، يجد تطابقاً مدهشاً بين العبارات، فإنّ كلّ محتوى الرسالة مذكور تقريباً في المغني، مع اختلاف في العبارات، قد يرجع إلى تصرّف الشريف المرتضى في العبارة، أو إلى اختلاف نسخ المغني، و لا يوجد تقريباً فيها شيء للشريف المرتضى إلّاإشكاله الأخير على القاضي، و إلّاقوله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لمن حكم بأنّ في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لم يكن يقسّم المعاصي إلى كبائر و صغائر، خلافاً للقاضي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قد يثير تساؤلاً، و هو هل كان الشريف المرتضى يدرّس كتاب المغني، و يمليه على تلاميذه، ثمّ يعلّق عليه‌؟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محتمل، و لكن هناك احتمال آخر، و هو أن يكون الشريف المرتضى و القاضي قد نقلا شبهة البراهمة الآنفة و جوابها من مصدر مشترك ثالث، مثل كتب أبي عبد اللّٰه البصري المعروف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 من كبار المعتزلة، و يشهد لذلك أنّ القاضي قال في نهاية جوابه الأخير، و الذي ردّه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الجواب أبين، و إنّما ذكرنا الأوّل لتُعلم طريقة مَن سلك من شيوخنا ذلك المسلك في الجواب عن هذه المسألة</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391" w:name="pg16425_221688"/>
    </w:p>
    <w:p>
      <w:pPr>
        <w:pStyle w:val="BookText"/>
        <w:rPr/>
      </w:pPr>
      <w:bookmarkEnd w:id="391"/>
      <w:r>
        <w:rPr>
          <w:rFonts w:ascii="Amiri" w:hAnsi="Amiri" w:eastAsia="Amiri" w:cs="Amiri"/>
          <w:color w:val="111111"/>
          <w:sz w:val="28"/>
          <w:sz w:val="28"/>
          <w:szCs w:val="28"/>
          <w:rtl w:val="true"/>
          <w:lang w:bidi="ar-SA"/>
        </w:rPr>
        <w:t>و هذا يعني أنّ الجواب المتقدّم ليس للقاضي، بل هو لشيوخه، و لعلّ الشريف المرتضى أخذه من كتبهم تلك، لا من المغني مباشرة، خاصّةً و أنّ قول الشريف المرتضى في نهاية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وجدتُ عبد الجبّار بن أحمد قد ذكر في هذا فصلاً في 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منه أنّه بعد نقل الجواب المتقدّم من كتاب آخر غير المغني، وجد أنّ القاضي قد أضاف جواباً جديداً على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يقوّي احتمال أن يكون الشريف المرتضى قد استفاد من مصدر آخر غير كتاب المغني،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7830155_1280447820"/>
      <w:bookmarkStart w:id="393" w:name="_Toc126"/>
      <w:bookmarkEnd w:id="392"/>
      <w:r>
        <w:rPr>
          <w:rtl w:val="true"/>
        </w:rPr>
        <w:t>عنوان الرسالة</w:t>
      </w:r>
      <w:bookmarkEnd w:id="393"/>
    </w:p>
    <w:p>
      <w:pPr>
        <w:pStyle w:val="BookText"/>
        <w:rPr/>
      </w:pPr>
      <w:r>
        <w:rPr>
          <w:rFonts w:ascii="Amiri" w:hAnsi="Amiri" w:eastAsia="Amiri" w:cs="Amiri"/>
          <w:color w:val="111111"/>
          <w:sz w:val="28"/>
          <w:sz w:val="28"/>
          <w:szCs w:val="28"/>
          <w:rtl w:val="true"/>
          <w:lang w:bidi="ar-SA"/>
        </w:rPr>
        <w:t xml:space="preserve">طبعت هذه الرسالة في رسائل الشريف المرتضى،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شبهة للبراهمة في بعث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عنوان عامّ لكن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طبعت في ضمن مسائل المرتضى،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للبراهمة</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7830157_1280447820"/>
      <w:bookmarkStart w:id="395" w:name="_Toc127"/>
      <w:bookmarkEnd w:id="394"/>
      <w:r>
        <w:rPr>
          <w:rtl w:val="true"/>
        </w:rPr>
        <w:t>مخطوطات الرسالة</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40017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20996</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39688</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396" w:name="pg16425_221690"/>
    </w:p>
    <w:p>
      <w:pPr>
        <w:pStyle w:val="BookText"/>
        <w:rPr/>
      </w:pPr>
      <w:bookmarkEnd w:id="39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7830159_1280447820"/>
      <w:bookmarkStart w:id="398" w:name="_Toc128"/>
      <w:bookmarkEnd w:id="397"/>
      <w:r>
        <w:rPr>
          <w:rtl w:val="true"/>
        </w:rPr>
        <w:t>دَفعُ‌ شُبهةٍ للبَراهِمةِ في بَعثِ الأنبياءِ‌</w:t>
      </w:r>
      <w:r>
        <w:rPr>
          <w:rtl w:val="true"/>
        </w:rPr>
        <w:t>:</w:t>
      </w:r>
      <w:bookmarkEnd w:id="398"/>
    </w:p>
    <w:p>
      <w:pPr>
        <w:pStyle w:val="Heading5"/>
        <w:numPr>
          <w:ilvl w:val="4"/>
          <w:numId w:val="1"/>
        </w:numPr>
        <w:rPr/>
      </w:pPr>
      <w:bookmarkStart w:id="399" w:name="__RefHeading___Toc7830161_1280447820"/>
      <w:bookmarkStart w:id="400" w:name="_Toc129"/>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دَفعُ‌ شُبهةٍ للبَراهِمةِ في بَعثِ الأنبياءِ‌</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7830163_1280447820"/>
      <w:bookmarkStart w:id="402" w:name="_Toc130"/>
      <w:bookmarkEnd w:id="401"/>
      <w:r>
        <w:rPr>
          <w:rtl w:val="true"/>
        </w:rPr>
        <w:t>شُبهةٌ للبَراهِمةِ‌</w:t>
      </w:r>
      <w:r>
        <w:rPr>
          <w:rtl w:val="true"/>
        </w:rPr>
        <w:t>:</w:t>
      </w:r>
      <w:bookmarkEnd w:id="40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حَسُنَت البِعثةُ لَكانَ مَن يَبعَثُه اللّٰهُ تَعالىٰ لأداءِ الرسالةِ يَقطَعُ علىٰ أنّه سيَبقىٰ حتّىٰ يؤدّيَها؛ لأنّه متىٰ لَم يَقطَعْ علىٰ ذلكَ جَوَّزَ أن لا يَكونَ تَعالىٰ مُزيحاً لعِلّةِ المبعوثِ إليهم في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قَطعُه علَى البقاءِ مَفسَدةٌ‌؛ لأنّ فيه إغراءً‌</w:t>
      </w:r>
      <w:r>
        <w:rPr>
          <w:rStyle w:val="FootnoteAnchor"/>
          <w:rtl w:val="true"/>
        </w:rPr>
        <w:footnoteReference w:id="688"/>
      </w:r>
      <w:r>
        <w:rPr>
          <w:rFonts w:ascii="Amiri" w:hAnsi="Amiri" w:eastAsia="Amiri" w:cs="Amiri"/>
          <w:color w:val="111111"/>
          <w:sz w:val="28"/>
          <w:sz w:val="28"/>
          <w:szCs w:val="28"/>
          <w:rtl w:val="true"/>
          <w:lang w:bidi="ar-SA"/>
        </w:rPr>
        <w:t>بالمَعاصي، علىٰ ما يَقولونَ بمِثلِه في سائرِ المُكلَّفينَ‌، و كَما يَذكُرونَه في تعريفِ الصغائرِ و تعريفِ غُفرانِ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w:t>
      </w:r>
      <w:r>
        <w:rPr>
          <w:rStyle w:val="FootnoteAnchor"/>
          <w:rtl w:val="true"/>
        </w:rPr>
        <w:footnoteReference w:id="689"/>
      </w:r>
      <w:r>
        <w:rPr>
          <w:rFonts w:ascii="Amiri" w:hAnsi="Amiri" w:eastAsia="Amiri" w:cs="Amiri"/>
          <w:color w:val="111111"/>
          <w:sz w:val="28"/>
          <w:sz w:val="28"/>
          <w:szCs w:val="28"/>
          <w:rtl w:val="true"/>
          <w:lang w:bidi="ar-SA"/>
        </w:rPr>
        <w:t>أن يَكونَ بِعثةُ الرسولِ لا تَنفَكُّ مِن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أنّه لا يَجوزُ أن يَستَصلحَ المبعوثَ إليهم باستفسادِ المبعوثِ‌، فيَجِبُ قُبحُ البِعثةِ‌</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7830165_1280447820"/>
      <w:bookmarkStart w:id="404" w:name="_Toc131"/>
      <w:bookmarkEnd w:id="403"/>
      <w:r>
        <w:rPr>
          <w:rtl w:val="true"/>
        </w:rPr>
        <w:t>الجوابُ‌</w:t>
      </w:r>
      <w:r>
        <w:rPr>
          <w:rtl w:val="true"/>
        </w:rPr>
        <w:t>:</w:t>
      </w:r>
      <w:bookmarkEnd w:id="40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الرسولَ فيما كُلِّفَه مِن أداءِ الرسالةِ بمَنزِلتِه في سائرِ ما كُلِّفَه، في أنّه يَعلَمُ أنّه</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سيَبقىٰ بشَرطٍ، و هذا مُسقِطٌ للسؤالِ‌؛</w:t>
      </w:r>
      <w:r>
        <w:rPr>
          <w:rStyle w:val="FootnoteAnchor"/>
          <w:rtl w:val="true"/>
        </w:rPr>
        <w:footnoteReference w:id="691"/>
      </w:r>
      <w:r>
        <w:rPr>
          <w:rFonts w:ascii="Amiri" w:hAnsi="Amiri" w:eastAsia="Amiri" w:cs="Amiri"/>
          <w:color w:val="111111"/>
          <w:sz w:val="28"/>
          <w:sz w:val="28"/>
          <w:szCs w:val="28"/>
          <w:rtl w:val="true"/>
          <w:lang w:bidi="ar-SA"/>
        </w:rPr>
        <w:t>لأنّه إذا جَوَّزَ في سائرِ ما كُلِّفَ هذه الطريقةَ‌، و لَم يَجِبْ قَطعُه علىٰ أنّه سيَبقىٰ‌، فكذلكَ أداءُ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ذلكَ في سائرِ ما كُلِّفَ‌</w:t>
      </w:r>
      <w:r>
        <w:rPr>
          <w:rStyle w:val="FootnoteAnchor"/>
          <w:rtl w:val="true"/>
        </w:rPr>
        <w:footnoteReference w:id="692"/>
      </w:r>
      <w:r>
        <w:rPr>
          <w:rFonts w:ascii="Amiri" w:hAnsi="Amiri" w:eastAsia="Amiri" w:cs="Amiri"/>
          <w:color w:val="111111"/>
          <w:sz w:val="28"/>
          <w:sz w:val="28"/>
          <w:szCs w:val="28"/>
          <w:rtl w:val="true"/>
          <w:lang w:bidi="ar-SA"/>
        </w:rPr>
        <w:t>لأنّه قد عَلِمَ بحُكمِ العقلِ‌</w:t>
      </w:r>
      <w:r>
        <w:rPr>
          <w:rStyle w:val="FootnoteAnchor"/>
          <w:rtl w:val="true"/>
        </w:rPr>
        <w:footnoteReference w:id="693"/>
      </w:r>
      <w:r>
        <w:rPr>
          <w:rFonts w:ascii="Amiri" w:hAnsi="Amiri" w:eastAsia="Amiri" w:cs="Amiri"/>
          <w:color w:val="111111"/>
          <w:sz w:val="28"/>
          <w:sz w:val="28"/>
          <w:szCs w:val="28"/>
          <w:rtl w:val="true"/>
          <w:lang w:bidi="ar-SA"/>
        </w:rPr>
        <w:t>أنّ تكليفَه علىٰ شَريطةٍ‌، و إذا لَم يَقطَعْ‌</w:t>
      </w:r>
      <w:r>
        <w:rPr>
          <w:rStyle w:val="FootnoteAnchor"/>
          <w:rtl w:val="true"/>
        </w:rPr>
        <w:footnoteReference w:id="694"/>
      </w:r>
      <w:r>
        <w:rPr>
          <w:rFonts w:ascii="Amiri" w:hAnsi="Amiri" w:eastAsia="Amiri" w:cs="Amiri"/>
          <w:color w:val="111111"/>
          <w:sz w:val="28"/>
          <w:sz w:val="28"/>
          <w:szCs w:val="28"/>
          <w:rtl w:val="true"/>
          <w:lang w:bidi="ar-SA"/>
        </w:rPr>
        <w:t>علىٰ حصولِها جَوَّزَ أن لا يَكونَ مُكلَّفاً، و إن كانَ يَعلَمُ أنّ تلكَ الشرائطَ</w:t>
      </w:r>
      <w:r>
        <w:rPr>
          <w:rStyle w:val="FootnoteAnchor"/>
          <w:rtl w:val="true"/>
        </w:rPr>
        <w:footnoteReference w:id="695"/>
      </w:r>
      <w:r>
        <w:rPr>
          <w:rFonts w:ascii="Amiri" w:hAnsi="Amiri" w:eastAsia="Amiri" w:cs="Amiri"/>
          <w:color w:val="111111"/>
          <w:sz w:val="28"/>
          <w:sz w:val="28"/>
          <w:szCs w:val="28"/>
          <w:rtl w:val="true"/>
          <w:lang w:bidi="ar-SA"/>
        </w:rPr>
        <w:t>متىٰ ثَبَتَت كانَ مُكلَّفاً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حالُ أداءِ الرسالةِ‌؛ لأنّه قد عَلِمَ‌</w:t>
      </w:r>
      <w:r>
        <w:rPr>
          <w:rStyle w:val="FootnoteAnchor"/>
          <w:rtl w:val="true"/>
        </w:rPr>
        <w:footnoteReference w:id="696"/>
      </w:r>
      <w:r>
        <w:rPr>
          <w:rFonts w:ascii="Amiri" w:hAnsi="Amiri" w:eastAsia="Amiri" w:cs="Amiri"/>
          <w:color w:val="111111"/>
          <w:sz w:val="28"/>
          <w:sz w:val="28"/>
          <w:szCs w:val="28"/>
          <w:rtl w:val="true"/>
          <w:lang w:bidi="ar-SA"/>
        </w:rPr>
        <w:t xml:space="preserve">أنّ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بها أداؤها</w:t>
      </w:r>
      <w:r>
        <w:rPr>
          <w:rStyle w:val="FootnoteAnchor"/>
          <w:rtl w:val="true"/>
        </w:rPr>
        <w:footnoteReference w:id="698"/>
      </w:r>
      <w:r>
        <w:rPr>
          <w:rFonts w:ascii="Amiri" w:hAnsi="Amiri" w:eastAsia="Amiri" w:cs="Amiri"/>
          <w:color w:val="111111"/>
          <w:sz w:val="28"/>
          <w:sz w:val="28"/>
          <w:szCs w:val="28"/>
          <w:rtl w:val="true"/>
          <w:lang w:bidi="ar-SA"/>
        </w:rPr>
        <w:t>إلَى المبعوثِ إليهم، فمتىٰ لَم يُمكَّنْ مِن الأداءِ‌</w:t>
      </w:r>
      <w:r>
        <w:rPr>
          <w:rStyle w:val="FootnoteAnchor"/>
          <w:rtl w:val="true"/>
        </w:rPr>
        <w:footnoteReference w:id="699"/>
      </w:r>
      <w:r>
        <w:rPr>
          <w:rFonts w:ascii="Amiri" w:hAnsi="Amiri" w:eastAsia="Amiri" w:cs="Amiri"/>
          <w:color w:val="111111"/>
          <w:sz w:val="28"/>
          <w:sz w:val="28"/>
          <w:szCs w:val="28"/>
          <w:rtl w:val="true"/>
          <w:lang w:bidi="ar-SA"/>
        </w:rPr>
        <w:t>لَم تُزَحْ‌</w:t>
      </w:r>
      <w:r>
        <w:rPr>
          <w:rStyle w:val="FootnoteAnchor"/>
          <w:rtl w:val="true"/>
        </w:rPr>
        <w:footnoteReference w:id="700"/>
      </w:r>
      <w:r>
        <w:rPr>
          <w:rFonts w:ascii="Amiri" w:hAnsi="Amiri" w:eastAsia="Amiri" w:cs="Amiri"/>
          <w:color w:val="111111"/>
          <w:sz w:val="28"/>
          <w:sz w:val="28"/>
          <w:szCs w:val="28"/>
          <w:rtl w:val="true"/>
          <w:lang w:bidi="ar-SA"/>
        </w:rPr>
        <w:t>عِلّةُ المبعوثِ إليهم في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بعقلِه</w:t>
      </w:r>
      <w:r>
        <w:rPr>
          <w:rStyle w:val="FootnoteAnchor"/>
          <w:rtl w:val="true"/>
        </w:rPr>
        <w:footnoteReference w:id="701"/>
      </w:r>
      <w:r>
        <w:rPr>
          <w:rFonts w:ascii="Amiri" w:hAnsi="Amiri" w:eastAsia="Amiri" w:cs="Amiri"/>
          <w:color w:val="111111"/>
          <w:sz w:val="28"/>
          <w:sz w:val="28"/>
          <w:szCs w:val="28"/>
          <w:rtl w:val="true"/>
          <w:lang w:bidi="ar-SA"/>
        </w:rPr>
        <w:t>أنّه يُمكَّنُ مِن التأديةِ‌</w:t>
      </w:r>
      <w:r>
        <w:rPr>
          <w:rStyle w:val="FootnoteAnchor"/>
          <w:rtl w:val="true"/>
        </w:rPr>
        <w:footnoteReference w:id="702"/>
      </w:r>
      <w:r>
        <w:rPr>
          <w:rFonts w:ascii="Amiri" w:hAnsi="Amiri" w:eastAsia="Amiri" w:cs="Amiri"/>
          <w:color w:val="111111"/>
          <w:sz w:val="28"/>
          <w:sz w:val="28"/>
          <w:szCs w:val="28"/>
          <w:rtl w:val="true"/>
          <w:lang w:bidi="ar-SA"/>
        </w:rPr>
        <w:t>فحَصَلَ‌</w:t>
      </w:r>
      <w:r>
        <w:rPr>
          <w:rStyle w:val="FootnoteAnchor"/>
          <w:rtl w:val="true"/>
        </w:rPr>
        <w:footnoteReference w:id="703"/>
      </w:r>
      <w:r>
        <w:rPr>
          <w:rFonts w:ascii="Amiri" w:hAnsi="Amiri" w:eastAsia="Amiri" w:cs="Amiri"/>
          <w:color w:val="111111"/>
          <w:sz w:val="28"/>
          <w:sz w:val="28"/>
          <w:szCs w:val="28"/>
          <w:rtl w:val="true"/>
          <w:lang w:bidi="ar-SA"/>
        </w:rPr>
        <w:t>مِن ذلكَ‌</w:t>
      </w:r>
      <w:r>
        <w:rPr>
          <w:rStyle w:val="FootnoteAnchor"/>
          <w:rtl w:val="true"/>
        </w:rPr>
        <w:footnoteReference w:id="704"/>
      </w:r>
      <w:r>
        <w:rPr>
          <w:rFonts w:ascii="Amiri" w:hAnsi="Amiri" w:eastAsia="Amiri" w:cs="Amiri"/>
          <w:color w:val="111111"/>
          <w:sz w:val="28"/>
          <w:sz w:val="28"/>
          <w:szCs w:val="28"/>
          <w:rtl w:val="true"/>
          <w:lang w:bidi="ar-SA"/>
        </w:rPr>
        <w:t>الإغراءُ‌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في الرسالةِ أنّها مَصلَحةٌ للغَيرِ، و أنّه متىٰ لَم يَعلَمْها</w:t>
      </w:r>
      <w:r>
        <w:rPr>
          <w:rStyle w:val="FootnoteAnchor"/>
          <w:rtl w:val="true"/>
        </w:rPr>
        <w:footnoteReference w:id="705"/>
      </w:r>
      <w:r>
        <w:rPr>
          <w:rFonts w:ascii="Amiri" w:hAnsi="Amiri" w:eastAsia="Amiri" w:cs="Amiri"/>
          <w:color w:val="111111"/>
          <w:sz w:val="28"/>
          <w:sz w:val="28"/>
          <w:szCs w:val="28"/>
          <w:rtl w:val="true"/>
          <w:lang w:bidi="ar-SA"/>
        </w:rPr>
        <w:t>ذلكَ الغَيرُ لَم يَكُن مُزاحَ العِلّةِ‌، فإنّه يُجوِّزُ متىٰ لَم يُمكَّنْ‌</w:t>
      </w:r>
      <w:r>
        <w:rPr>
          <w:rStyle w:val="FootnoteAnchor"/>
          <w:rtl w:val="true"/>
        </w:rPr>
        <w:footnoteReference w:id="706"/>
      </w:r>
      <w:r>
        <w:rPr>
          <w:rFonts w:ascii="Amiri" w:hAnsi="Amiri" w:eastAsia="Amiri" w:cs="Amiri"/>
          <w:color w:val="111111"/>
          <w:sz w:val="28"/>
          <w:sz w:val="28"/>
          <w:szCs w:val="28"/>
          <w:rtl w:val="true"/>
          <w:lang w:bidi="ar-SA"/>
        </w:rPr>
        <w:t>مِن الأداءِ‌</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أن يؤدّيَها</w:t>
      </w:r>
      <w:r>
        <w:rPr>
          <w:rStyle w:val="FootnoteAnchor"/>
          <w:rtl w:val="true"/>
        </w:rPr>
        <w:footnoteReference w:id="708"/>
      </w:r>
      <w:r>
        <w:rPr>
          <w:rFonts w:ascii="Amiri" w:hAnsi="Amiri" w:eastAsia="Amiri" w:cs="Amiri"/>
          <w:color w:val="111111"/>
          <w:sz w:val="28"/>
          <w:sz w:val="28"/>
          <w:szCs w:val="28"/>
          <w:rtl w:val="true"/>
          <w:lang w:bidi="ar-SA"/>
        </w:rPr>
        <w:t>غيرُه فتُزاحَ‌</w:t>
      </w:r>
      <w:r>
        <w:rPr>
          <w:rStyle w:val="FootnoteAnchor"/>
          <w:rtl w:val="true"/>
        </w:rPr>
        <w:footnoteReference w:id="709"/>
      </w:r>
      <w:r>
        <w:rPr>
          <w:rFonts w:ascii="Amiri" w:hAnsi="Amiri" w:eastAsia="Amiri" w:cs="Amiri"/>
          <w:color w:val="111111"/>
          <w:sz w:val="28"/>
          <w:sz w:val="28"/>
          <w:szCs w:val="28"/>
          <w:rtl w:val="true"/>
          <w:lang w:bidi="ar-SA"/>
        </w:rPr>
        <w:t>عِلّتُه</w:t>
      </w:r>
      <w:r>
        <w:rPr>
          <w:rStyle w:val="FootnoteAnchor"/>
          <w:rtl w:val="true"/>
        </w:rPr>
        <w:footnoteReference w:id="710"/>
      </w:r>
      <w:r>
        <w:rPr>
          <w:rFonts w:ascii="Amiri" w:hAnsi="Amiri" w:eastAsia="Amiri" w:cs="Amiri"/>
          <w:color w:val="111111"/>
          <w:sz w:val="28"/>
          <w:sz w:val="28"/>
          <w:szCs w:val="28"/>
          <w:rtl w:val="true"/>
          <w:lang w:bidi="ar-SA"/>
        </w:rPr>
        <w:t>لأنّ الذي يَعلَمُه بالعقلِ أنّه لا بُدَّ مِن إزاحةِ عِلّةِ المُكلَّفِ‌، ثُمّ لا يَعلَمُ أنّ ذلكَ يَكونُ مِن قِبَلِه أو مِن</w:t>
      </w:r>
      <w:r>
        <w:rPr>
          <w:rStyle w:val="FootnoteAnchor"/>
          <w:rtl w:val="true"/>
        </w:rPr>
        <w:footnoteReference w:id="711"/>
      </w:r>
      <w:r>
        <w:rPr>
          <w:rFonts w:ascii="Amiri" w:hAnsi="Amiri" w:eastAsia="Amiri" w:cs="Amiri"/>
          <w:color w:val="111111"/>
          <w:sz w:val="28"/>
          <w:sz w:val="28"/>
          <w:szCs w:val="28"/>
          <w:rtl w:val="true"/>
          <w:lang w:bidi="ar-SA"/>
        </w:rPr>
        <w:t>قِبَلِ غيرِه، كَما لا يَعلَمُ أنّه يَكونُ بالمُشافَهةِ دونَ الخبرِ؛ و شَكُّه في أنّه قد يَجوزُ الانتفاءُ‌</w:t>
      </w:r>
      <w:r>
        <w:rPr>
          <w:rStyle w:val="FootnoteAnchor"/>
          <w:rtl w:val="true"/>
        </w:rPr>
        <w:footnoteReference w:id="712"/>
      </w:r>
      <w:r>
        <w:rPr>
          <w:rFonts w:ascii="Amiri" w:hAnsi="Amiri" w:eastAsia="Amiri" w:cs="Amiri"/>
          <w:color w:val="111111"/>
          <w:sz w:val="28"/>
          <w:sz w:val="28"/>
          <w:szCs w:val="28"/>
          <w:rtl w:val="true"/>
          <w:lang w:bidi="ar-SA"/>
        </w:rPr>
        <w:t>لا يَمنَعُ‌</w:t>
      </w:r>
      <w:r>
        <w:rPr>
          <w:rStyle w:val="FootnoteAnchor"/>
          <w:rtl w:val="true"/>
        </w:rPr>
        <w:footnoteReference w:id="713"/>
      </w:r>
      <w:r>
        <w:rPr>
          <w:rFonts w:ascii="Amiri" w:hAnsi="Amiri" w:eastAsia="Amiri" w:cs="Amiri"/>
          <w:color w:val="111111"/>
          <w:sz w:val="28"/>
          <w:sz w:val="28"/>
          <w:szCs w:val="28"/>
          <w:rtl w:val="true"/>
          <w:lang w:bidi="ar-SA"/>
        </w:rPr>
        <w:t>مِن حصولِ اليقينِ‌</w:t>
      </w:r>
      <w:r>
        <w:rPr>
          <w:rStyle w:val="FootnoteAnchor"/>
          <w:rtl w:val="true"/>
        </w:rPr>
        <w:footnoteReference w:id="714"/>
      </w:r>
      <w:r>
        <w:rPr>
          <w:rFonts w:ascii="IRNazanin" w:hAnsi="IRNazanin" w:eastAsia="IRNazanin"/>
          <w:color w:val="111111"/>
          <w:sz w:val="28"/>
          <w:sz w:val="28"/>
          <w:szCs w:val="28"/>
          <w:rtl w:val="true"/>
          <w:lang w:bidi="fa-IR"/>
        </w:rPr>
        <w:t>له</w:t>
      </w:r>
      <w:r>
        <w:rPr>
          <w:rStyle w:val="FootnoteAnchor"/>
          <w:rtl w:val="true"/>
        </w:rPr>
        <w:footnoteReference w:id="715"/>
      </w:r>
      <w:r>
        <w:rPr>
          <w:rFonts w:ascii="Amiri" w:hAnsi="Amiri" w:eastAsia="Amiri" w:cs="Amiri"/>
          <w:color w:val="111111"/>
          <w:sz w:val="28"/>
          <w:sz w:val="28"/>
          <w:szCs w:val="28"/>
          <w:rtl w:val="true"/>
          <w:lang w:bidi="ar-SA"/>
        </w:rPr>
        <w:t>، و لا يؤَدّي إلىٰ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هذا الجوابِ أن لا يَعَلمَ الرسولُ أنّه قد حُمِّلَ الرسالةَ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يَعلَمُ ذلكَ‌، و إنّما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كُلِّفَ الأداءَ في الأحوالِ المُتراخيةِ‌</w:t>
      </w:r>
      <w:r>
        <w:rPr>
          <w:rStyle w:val="FootnoteAnchor"/>
          <w:rtl w:val="true"/>
        </w:rPr>
        <w:footnoteReference w:id="716"/>
      </w:r>
      <w:r>
        <w:rPr>
          <w:rFonts w:ascii="Amiri" w:hAnsi="Amiri" w:eastAsia="Amiri" w:cs="Amiri"/>
          <w:color w:val="111111"/>
          <w:sz w:val="28"/>
          <w:sz w:val="28"/>
          <w:szCs w:val="28"/>
          <w:rtl w:val="true"/>
          <w:lang w:bidi="ar-SA"/>
        </w:rPr>
        <w:t>أم لا؟ مع عِلمِه بأنّه قد كُلِّفَ ذلكَ‌</w:t>
      </w:r>
      <w:r>
        <w:rPr>
          <w:rStyle w:val="FootnoteAnchor"/>
          <w:rtl w:val="true"/>
        </w:rPr>
        <w:footnoteReference w:id="717"/>
      </w:r>
      <w:r>
        <w:rPr>
          <w:rFonts w:ascii="Amiri" w:hAnsi="Amiri" w:eastAsia="Amiri" w:cs="Amiri"/>
          <w:color w:val="111111"/>
          <w:sz w:val="28"/>
          <w:sz w:val="28"/>
          <w:szCs w:val="28"/>
          <w:rtl w:val="true"/>
          <w:lang w:bidi="ar-SA"/>
        </w:rPr>
        <w:t>لا مَحالةَ إن بَقيَ علىٰ شَرائطِه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حُمِّلَ الرسالةَ لكَي</w:t>
      </w:r>
      <w:r>
        <w:rPr>
          <w:rStyle w:val="FootnoteAnchor"/>
          <w:rtl w:val="true"/>
        </w:rPr>
        <w:footnoteReference w:id="718"/>
      </w:r>
      <w:r>
        <w:rPr>
          <w:rFonts w:ascii="Amiri" w:hAnsi="Amiri" w:eastAsia="Amiri" w:cs="Amiri"/>
          <w:color w:val="111111"/>
          <w:sz w:val="28"/>
          <w:sz w:val="28"/>
          <w:szCs w:val="28"/>
          <w:rtl w:val="true"/>
          <w:lang w:bidi="ar-SA"/>
        </w:rPr>
        <w:t>يؤَدّيَ‌، فيَجِبُ أن يَقطَعَ بثُبوتِ‌</w:t>
      </w:r>
      <w:r>
        <w:rPr>
          <w:rStyle w:val="FootnoteAnchor"/>
          <w:rtl w:val="true"/>
        </w:rPr>
        <w:footnoteReference w:id="719"/>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720"/>
      </w:r>
      <w:bookmarkStart w:id="405" w:name="pg16425_221693"/>
    </w:p>
    <w:p>
      <w:pPr>
        <w:pStyle w:val="BookText"/>
        <w:rPr/>
      </w:pPr>
      <w:bookmarkEnd w:id="405"/>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يَسلُكُ‌</w:t>
      </w:r>
      <w:r>
        <w:rPr>
          <w:rStyle w:val="FootnoteAnchor"/>
          <w:rtl w:val="true"/>
        </w:rPr>
        <w:footnoteReference w:id="721"/>
      </w:r>
      <w:r>
        <w:rPr>
          <w:rFonts w:ascii="Amiri" w:hAnsi="Amiri" w:eastAsia="Amiri" w:cs="Amiri"/>
          <w:color w:val="111111"/>
          <w:sz w:val="28"/>
          <w:sz w:val="28"/>
          <w:szCs w:val="28"/>
          <w:rtl w:val="true"/>
          <w:lang w:bidi="ar-SA"/>
        </w:rPr>
        <w:t>هذه الطريقةَ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حُمِّلَها لكَي يؤَدّيَ إن بَقيَ علىٰ صِفاتِ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يُطلِقُ‌</w:t>
      </w:r>
      <w:r>
        <w:rPr>
          <w:rStyle w:val="FootnoteAnchor"/>
          <w:rtl w:val="true"/>
        </w:rPr>
        <w:footnoteReference w:id="722"/>
      </w:r>
      <w:r>
        <w:rPr>
          <w:rFonts w:ascii="Amiri" w:hAnsi="Amiri" w:eastAsia="Amiri" w:cs="Amiri"/>
          <w:color w:val="111111"/>
          <w:sz w:val="28"/>
          <w:sz w:val="28"/>
          <w:szCs w:val="28"/>
          <w:rtl w:val="true"/>
          <w:lang w:bidi="ar-SA"/>
        </w:rPr>
        <w:t>ما أَورَدتَ إطلاقاً؛ كَما يَقولُ في رَدِّ الوديعةِ عندَ المُطالَبةِ‌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مُكلَّفٌ بذلكَ‌</w:t>
      </w:r>
      <w:r>
        <w:rPr>
          <w:rStyle w:val="FootnoteAnchor"/>
          <w:rtl w:val="true"/>
        </w:rPr>
        <w:footnoteReference w:id="723"/>
      </w:r>
      <w:r>
        <w:rPr>
          <w:rFonts w:ascii="Amiri" w:hAnsi="Amiri" w:eastAsia="Amiri" w:cs="Amiri"/>
          <w:color w:val="111111"/>
          <w:sz w:val="28"/>
          <w:sz w:val="28"/>
          <w:szCs w:val="28"/>
          <w:rtl w:val="true"/>
          <w:lang w:bidi="ar-SA"/>
        </w:rPr>
        <w:t>إن بَقيَ مُمكَّناً،</w:t>
      </w:r>
      <w:r>
        <w:rPr>
          <w:rStyle w:val="FootnoteAnchor"/>
          <w:rtl w:val="true"/>
        </w:rPr>
        <w:footnoteReference w:id="724"/>
      </w:r>
      <w:r>
        <w:rPr>
          <w:rFonts w:ascii="Amiri" w:hAnsi="Amiri" w:eastAsia="Amiri" w:cs="Amiri"/>
          <w:color w:val="111111"/>
          <w:sz w:val="28"/>
          <w:sz w:val="28"/>
          <w:szCs w:val="28"/>
          <w:rtl w:val="true"/>
          <w:lang w:bidi="ar-SA"/>
        </w:rPr>
        <w:t>و إن لَم يَتمكَّنْ لَم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يوجِبْ‌</w:t>
      </w:r>
      <w:r>
        <w:rPr>
          <w:rStyle w:val="FootnoteAnchor"/>
          <w:rtl w:val="true"/>
        </w:rPr>
        <w:footnoteReference w:id="725"/>
      </w:r>
      <w:r>
        <w:rPr>
          <w:rFonts w:ascii="Amiri" w:hAnsi="Amiri" w:eastAsia="Amiri" w:cs="Amiri"/>
          <w:color w:val="111111"/>
          <w:sz w:val="28"/>
          <w:sz w:val="28"/>
          <w:szCs w:val="28"/>
          <w:rtl w:val="true"/>
          <w:lang w:bidi="ar-SA"/>
        </w:rPr>
        <w:t>إلّاأن يَكونَ مُكلَّفاً في الأوّلِ علَى الشرطِ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w:t>
      </w:r>
      <w:r>
        <w:rPr>
          <w:rStyle w:val="FootnoteAnchor"/>
          <w:rtl w:val="true"/>
        </w:rPr>
        <w:footnoteReference w:id="726"/>
      </w:r>
      <w:r>
        <w:rPr>
          <w:rFonts w:ascii="Amiri" w:hAnsi="Amiri" w:eastAsia="Amiri" w:cs="Amiri"/>
          <w:color w:val="111111"/>
          <w:sz w:val="28"/>
          <w:sz w:val="28"/>
          <w:szCs w:val="28"/>
          <w:rtl w:val="true"/>
          <w:lang w:bidi="ar-SA"/>
        </w:rPr>
        <w:t>فيما يَفعَلُه مِن مُقدِّماتِ رَدِّ</w:t>
      </w:r>
      <w:r>
        <w:rPr>
          <w:rStyle w:val="FootnoteAnchor"/>
          <w:rtl w:val="true"/>
        </w:rPr>
        <w:footnoteReference w:id="727"/>
      </w:r>
      <w:r>
        <w:rPr>
          <w:rFonts w:ascii="Amiri" w:hAnsi="Amiri" w:eastAsia="Amiri" w:cs="Amiri"/>
          <w:color w:val="111111"/>
          <w:sz w:val="28"/>
          <w:sz w:val="28"/>
          <w:szCs w:val="28"/>
          <w:rtl w:val="true"/>
          <w:lang w:bidi="ar-SA"/>
        </w:rPr>
        <w:t>الوديعةِ وصولُها إلىٰ صاحبِها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بتَحمُّلِ الرسالةِ العَزمُ علىٰ تأديتِها إلىٰ مَن بُعِثَ الرسولُ إليه</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7830167_1280447820"/>
      <w:bookmarkStart w:id="407" w:name="_Toc132"/>
      <w:bookmarkEnd w:id="406"/>
      <w:r>
        <w:rPr>
          <w:rtl w:val="true"/>
        </w:rPr>
        <w:t>جوابٌ آخَرُ</w:t>
      </w:r>
      <w:r>
        <w:rPr>
          <w:rtl w:val="true"/>
        </w:rPr>
        <w:t>:</w:t>
      </w:r>
      <w:bookmarkEnd w:id="40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يَعلَمُ أنّه سيَبقىٰ ليؤدّيَ‌</w:t>
      </w:r>
      <w:r>
        <w:rPr>
          <w:rStyle w:val="FootnoteAnchor"/>
          <w:rtl w:val="true"/>
        </w:rPr>
        <w:footnoteReference w:id="729"/>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بذلكَ الإغراءُ‌؛ لأنّ الإغراءَ يَختَلِفُ باختلافِ المُكلَّفينَ‌؛ فمَن عُلِمَ مِن حالِه أنّه يَبقىٰ‌</w:t>
      </w:r>
      <w:r>
        <w:rPr>
          <w:rStyle w:val="FootnoteAnchor"/>
          <w:rtl w:val="true"/>
        </w:rPr>
        <w:footnoteReference w:id="730"/>
      </w:r>
      <w:r>
        <w:rPr>
          <w:rFonts w:ascii="Amiri" w:hAnsi="Amiri" w:eastAsia="Amiri" w:cs="Amiri"/>
          <w:color w:val="111111"/>
          <w:sz w:val="28"/>
          <w:sz w:val="28"/>
          <w:szCs w:val="28"/>
          <w:rtl w:val="true"/>
          <w:lang w:bidi="ar-SA"/>
        </w:rPr>
        <w:t xml:space="preserve">علَى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معصوماً أو العِلمِ‌</w:t>
      </w:r>
      <w:r>
        <w:rPr>
          <w:rStyle w:val="FootnoteAnchor"/>
          <w:rtl w:val="true"/>
        </w:rPr>
        <w:footnoteReference w:id="731"/>
      </w:r>
      <w:r>
        <w:rPr>
          <w:rFonts w:ascii="Amiri" w:hAnsi="Amiri" w:eastAsia="Amiri" w:cs="Amiri"/>
          <w:color w:val="111111"/>
          <w:sz w:val="28"/>
          <w:sz w:val="28"/>
          <w:szCs w:val="28"/>
          <w:rtl w:val="true"/>
          <w:lang w:bidi="ar-SA"/>
        </w:rPr>
        <w:t xml:space="preserve">بحالِه في إيثارِه التمسُّكَ بما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w:t>
      </w:r>
      <w:r>
        <w:rPr>
          <w:rStyle w:val="FootnoteAnchor"/>
          <w:rtl w:val="true"/>
        </w:rPr>
        <w:footnoteReference w:id="732"/>
      </w:r>
      <w:r>
        <w:rPr>
          <w:rFonts w:ascii="Amiri" w:hAnsi="Amiri" w:eastAsia="Amiri" w:cs="Amiri"/>
          <w:color w:val="111111"/>
          <w:sz w:val="28"/>
          <w:sz w:val="28"/>
          <w:szCs w:val="28"/>
          <w:rtl w:val="true"/>
          <w:lang w:bidi="ar-SA"/>
        </w:rPr>
        <w:t xml:space="preserve">بذلكَ‌ </w:t>
      </w:r>
    </w:p>
    <w:p>
      <w:pPr>
        <w:pStyle w:val="BookText"/>
        <w:rPr/>
      </w:pPr>
      <w:r>
        <w:rPr>
          <w:rFonts w:ascii="Amiri" w:hAnsi="Amiri" w:eastAsia="Amiri" w:cs="Amiri"/>
          <w:color w:val="111111"/>
          <w:sz w:val="28"/>
          <w:sz w:val="28"/>
          <w:szCs w:val="28"/>
          <w:rtl w:val="true"/>
          <w:lang w:bidi="ar-SA"/>
        </w:rPr>
        <w:t>لا يَكونُ إغراءً‌، و مَن المعلومُ‌</w:t>
      </w:r>
      <w:r>
        <w:rPr>
          <w:rStyle w:val="FootnoteAnchor"/>
          <w:rtl w:val="true"/>
        </w:rPr>
        <w:footnoteReference w:id="733"/>
      </w:r>
      <w:r>
        <w:rPr>
          <w:rFonts w:ascii="Amiri" w:hAnsi="Amiri" w:eastAsia="Amiri" w:cs="Amiri"/>
          <w:color w:val="111111"/>
          <w:sz w:val="28"/>
          <w:sz w:val="28"/>
          <w:szCs w:val="28"/>
          <w:rtl w:val="true"/>
          <w:lang w:bidi="ar-SA"/>
        </w:rPr>
        <w:t>مِن حالِه خِلافُ ذلكَ يَكونُ إغراءً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فتَختَلِفُ أحوالُ المُكلَّفينَ بحَسَبِ المعلومِ مِن أحوالِهم؛ فلا يَجِبُ في البِعثةِ ما</w:t>
      </w:r>
      <w:r>
        <w:rPr>
          <w:rStyle w:val="FootnoteAnchor"/>
          <w:rtl w:val="true"/>
        </w:rPr>
        <w:footnoteReference w:id="734"/>
      </w:r>
      <w:r>
        <w:rPr>
          <w:rFonts w:ascii="Amiri" w:hAnsi="Amiri" w:eastAsia="Amiri" w:cs="Amiri"/>
          <w:color w:val="111111"/>
          <w:sz w:val="28"/>
          <w:sz w:val="28"/>
          <w:szCs w:val="28"/>
          <w:rtl w:val="true"/>
          <w:lang w:bidi="ar-SA"/>
        </w:rPr>
        <w:t>قَدَّروه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 حَكَمَ بأنّ في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صَغائرَ</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أن يُفرِّقَ بَينَ العِلمِ بصَغيرِ المَعصيةِ و العِلمِ بالتبقيةِ‌؛ بأن</w:t>
      </w:r>
      <w:r>
        <w:rPr>
          <w:rStyle w:val="FootnoteAnchor"/>
          <w:rtl w:val="true"/>
        </w:rPr>
        <w:footnoteReference w:id="73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بصَغيرِ المَعصيةِ يَقتَضي أن لا يَستَضِرَّ بفعلِها ضَرَراً يُعتَدُّ</w:t>
      </w:r>
      <w:r>
        <w:rPr>
          <w:rStyle w:val="FootnoteAnchor"/>
          <w:rtl w:val="true"/>
        </w:rPr>
        <w:footnoteReference w:id="737"/>
      </w:r>
      <w:r>
        <w:rPr>
          <w:rFonts w:ascii="Amiri" w:hAnsi="Amiri" w:eastAsia="Amiri" w:cs="Amiri"/>
          <w:color w:val="111111"/>
          <w:sz w:val="28"/>
          <w:sz w:val="28"/>
          <w:szCs w:val="28"/>
          <w:rtl w:val="true"/>
          <w:lang w:bidi="ar-SA"/>
        </w:rPr>
        <w:t>بمِثلِه، مع ما له فيها مِن الشهوةِ‌، فيَكونُ ذلكَ إغراءً‌</w:t>
      </w:r>
      <w:r>
        <w:rPr>
          <w:rStyle w:val="FootnoteAnchor"/>
          <w:rtl w:val="true"/>
        </w:rPr>
        <w:footnoteReference w:id="738"/>
      </w:r>
      <w:r>
        <w:rPr>
          <w:rFonts w:ascii="Amiri" w:hAnsi="Amiri" w:eastAsia="Amiri" w:cs="Amiri"/>
          <w:color w:val="111111"/>
          <w:sz w:val="28"/>
          <w:sz w:val="28"/>
          <w:szCs w:val="28"/>
          <w:rtl w:val="true"/>
          <w:lang w:bidi="ar-SA"/>
        </w:rPr>
        <w:t>و كذلكَ القولُ في تعريفِ الغُفرانِ‌</w:t>
      </w:r>
      <w:r>
        <w:rPr>
          <w:rFonts w:eastAsia="Amiri" w:cs="Amiri" w:ascii="Amiri" w:hAnsi="Amiri"/>
          <w:color w:val="111111"/>
          <w:sz w:val="28"/>
          <w:szCs w:val="28"/>
          <w:rtl w:val="true"/>
          <w:lang w:bidi="ar-SA"/>
        </w:rPr>
        <w:t>.</w:t>
      </w:r>
      <w:r>
        <w:rPr>
          <w:rStyle w:val="FootnoteAnchor"/>
          <w:rtl w:val="true"/>
        </w:rPr>
        <w:footnoteReference w:id="73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كذلكَ إذا عَلِمَ أنّه سيَبقىٰ‌؛ لأنّه فيما يأتيه</w:t>
      </w:r>
      <w:r>
        <w:rPr>
          <w:rStyle w:val="FootnoteAnchor"/>
          <w:rtl w:val="true"/>
        </w:rPr>
        <w:footnoteReference w:id="740"/>
      </w:r>
      <w:r>
        <w:rPr>
          <w:rFonts w:ascii="Amiri" w:hAnsi="Amiri" w:eastAsia="Amiri" w:cs="Amiri"/>
          <w:color w:val="111111"/>
          <w:sz w:val="28"/>
          <w:sz w:val="28"/>
          <w:szCs w:val="28"/>
          <w:rtl w:val="true"/>
          <w:lang w:bidi="ar-SA"/>
        </w:rPr>
        <w:t>يَعلَمُ‌</w:t>
      </w:r>
      <w:r>
        <w:rPr>
          <w:rStyle w:val="FootnoteAnchor"/>
          <w:rtl w:val="true"/>
        </w:rPr>
        <w:footnoteReference w:id="741"/>
      </w:r>
      <w:r>
        <w:rPr>
          <w:rFonts w:ascii="Amiri" w:hAnsi="Amiri" w:eastAsia="Amiri" w:cs="Amiri"/>
          <w:color w:val="111111"/>
          <w:sz w:val="28"/>
          <w:sz w:val="28"/>
          <w:szCs w:val="28"/>
          <w:rtl w:val="true"/>
          <w:lang w:bidi="ar-SA"/>
        </w:rPr>
        <w:t>أنّه يَستَحِقُّ المَضارَّ عليه، و عِلمُه بأنّه سيَبقىٰ‌</w:t>
      </w:r>
      <w:r>
        <w:rPr>
          <w:rStyle w:val="FootnoteAnchor"/>
          <w:rtl w:val="true"/>
        </w:rPr>
        <w:footnoteReference w:id="742"/>
      </w:r>
      <w:r>
        <w:rPr>
          <w:rFonts w:ascii="Amiri" w:hAnsi="Amiri" w:eastAsia="Amiri" w:cs="Amiri"/>
          <w:color w:val="111111"/>
          <w:sz w:val="28"/>
          <w:sz w:val="28"/>
          <w:szCs w:val="28"/>
          <w:rtl w:val="true"/>
          <w:lang w:bidi="ar-SA"/>
        </w:rPr>
        <w:t>يُجوِّزُ معه أن لا يَختارَ التوبةَ‌</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فالمَخافةُ‌</w:t>
      </w:r>
      <w:r>
        <w:rPr>
          <w:rStyle w:val="FootnoteAnchor"/>
          <w:rtl w:val="true"/>
        </w:rPr>
        <w:footnoteReference w:id="744"/>
      </w:r>
      <w:r>
        <w:rPr>
          <w:rFonts w:ascii="Amiri" w:hAnsi="Amiri" w:eastAsia="Amiri" w:cs="Amiri"/>
          <w:color w:val="111111"/>
          <w:sz w:val="28"/>
          <w:sz w:val="28"/>
          <w:szCs w:val="28"/>
          <w:rtl w:val="true"/>
          <w:lang w:bidi="ar-SA"/>
        </w:rPr>
        <w:t>قائمةٌ مِن الإقدامِ علَى المَعاصي؛ فلذلكَ جازَ أن تَختَلِفَ أحوالُ المُكلَّفينَ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يَصيرُ </w:t>
      </w:r>
    </w:p>
    <w:p>
      <w:pPr>
        <w:pStyle w:val="BookText"/>
        <w:rPr/>
      </w:pPr>
      <w:r>
        <w:rPr>
          <w:rFonts w:ascii="Amiri" w:hAnsi="Amiri" w:eastAsia="Amiri" w:cs="Amiri"/>
          <w:color w:val="111111"/>
          <w:sz w:val="28"/>
          <w:sz w:val="28"/>
          <w:szCs w:val="28"/>
          <w:rtl w:val="true"/>
          <w:lang w:bidi="ar-SA"/>
        </w:rPr>
        <w:t>الإعلامُ بالتبقيةِ‌</w:t>
      </w:r>
      <w:r>
        <w:rPr>
          <w:rStyle w:val="FootnoteAnchor"/>
          <w:rtl w:val="true"/>
        </w:rPr>
        <w:footnoteReference w:id="745"/>
      </w:r>
      <w:r>
        <w:rPr>
          <w:rFonts w:ascii="Amiri" w:hAnsi="Amiri" w:eastAsia="Amiri" w:cs="Amiri"/>
          <w:color w:val="111111"/>
          <w:sz w:val="28"/>
          <w:sz w:val="28"/>
          <w:szCs w:val="28"/>
          <w:rtl w:val="true"/>
          <w:lang w:bidi="ar-SA"/>
        </w:rPr>
        <w:t>إغراءً‌</w:t>
      </w:r>
      <w:r>
        <w:rPr>
          <w:rStyle w:val="FootnoteAnchor"/>
          <w:rtl w:val="true"/>
        </w:rPr>
        <w:footnoteReference w:id="746"/>
      </w:r>
      <w:r>
        <w:rPr>
          <w:rFonts w:ascii="Amiri" w:hAnsi="Amiri" w:eastAsia="Amiri" w:cs="Amiri"/>
          <w:color w:val="111111"/>
          <w:sz w:val="28"/>
          <w:sz w:val="28"/>
          <w:szCs w:val="28"/>
          <w:rtl w:val="true"/>
          <w:lang w:bidi="ar-SA"/>
        </w:rPr>
        <w:t>إذا انضافَ‌</w:t>
      </w:r>
      <w:r>
        <w:rPr>
          <w:rStyle w:val="FootnoteAnchor"/>
          <w:rtl w:val="true"/>
        </w:rPr>
        <w:footnoteReference w:id="747"/>
      </w:r>
      <w:r>
        <w:rPr>
          <w:rFonts w:ascii="Amiri" w:hAnsi="Amiri" w:eastAsia="Amiri" w:cs="Amiri"/>
          <w:color w:val="111111"/>
          <w:sz w:val="28"/>
          <w:sz w:val="28"/>
          <w:szCs w:val="28"/>
          <w:rtl w:val="true"/>
          <w:lang w:bidi="ar-SA"/>
        </w:rPr>
        <w:t>إلىٰ هذا</w:t>
      </w:r>
      <w:r>
        <w:rPr>
          <w:rStyle w:val="FootnoteAnchor"/>
          <w:rtl w:val="true"/>
        </w:rPr>
        <w:footnoteReference w:id="748"/>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بأنّه سيَتوبُ‌</w:t>
      </w:r>
      <w:r>
        <w:rPr>
          <w:rStyle w:val="FootnoteAnchor"/>
          <w:rtl w:val="true"/>
        </w:rPr>
        <w:footnoteReference w:id="750"/>
      </w:r>
      <w:r>
        <w:rPr>
          <w:rFonts w:ascii="Amiri" w:hAnsi="Amiri" w:eastAsia="Amiri" w:cs="Amiri"/>
          <w:color w:val="111111"/>
          <w:sz w:val="28"/>
          <w:sz w:val="28"/>
          <w:szCs w:val="28"/>
          <w:rtl w:val="true"/>
          <w:lang w:bidi="ar-SA"/>
        </w:rPr>
        <w:t>لا مَحالةَ و إن أقدَمَ علَى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w:t>
      </w:r>
      <w:r>
        <w:rPr>
          <w:rStyle w:val="FootnoteAnchor"/>
          <w:rtl w:val="true"/>
        </w:rPr>
        <w:footnoteReference w:id="751"/>
      </w:r>
      <w:r>
        <w:rPr>
          <w:rFonts w:ascii="Amiri" w:hAnsi="Amiri" w:eastAsia="Amiri" w:cs="Amiri"/>
          <w:color w:val="111111"/>
          <w:sz w:val="28"/>
          <w:sz w:val="28"/>
          <w:szCs w:val="28"/>
          <w:rtl w:val="true"/>
          <w:lang w:bidi="ar-SA"/>
        </w:rPr>
        <w:t>يأمَنُ مِن أن لا</w:t>
      </w:r>
      <w:r>
        <w:rPr>
          <w:rStyle w:val="FootnoteAnchor"/>
          <w:rtl w:val="true"/>
        </w:rPr>
        <w:footnoteReference w:id="752"/>
      </w:r>
      <w:r>
        <w:rPr>
          <w:rFonts w:ascii="Amiri" w:hAnsi="Amiri" w:eastAsia="Amiri" w:cs="Amiri"/>
          <w:color w:val="111111"/>
          <w:sz w:val="28"/>
          <w:sz w:val="28"/>
          <w:szCs w:val="28"/>
          <w:rtl w:val="true"/>
          <w:lang w:bidi="ar-SA"/>
        </w:rPr>
        <w:t>يَستَكثِرَ مِن الطاعاتِ فتَفوتَه المَنافعُ العظيمةُ‌، و الخَوفُ مِن فَواتِ المَنفَعةِ كالخَوفِ مِن فَواتِ المَضَرّةِ‌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عبدَ الجَبّارِ بنَ أحمَدَ</w:t>
      </w:r>
      <w:r>
        <w:rPr>
          <w:rStyle w:val="FootnoteAnchor"/>
          <w:rtl w:val="true"/>
        </w:rPr>
        <w:footnoteReference w:id="753"/>
      </w:r>
      <w:r>
        <w:rPr>
          <w:rFonts w:ascii="Amiri" w:hAnsi="Amiri" w:eastAsia="Amiri" w:cs="Amiri"/>
          <w:color w:val="111111"/>
          <w:sz w:val="28"/>
          <w:sz w:val="28"/>
          <w:szCs w:val="28"/>
          <w:rtl w:val="true"/>
          <w:lang w:bidi="ar-SA"/>
        </w:rPr>
        <w:t>قد ذَكَرَ في هذا فَصلاً</w:t>
      </w:r>
      <w:r>
        <w:rPr>
          <w:rStyle w:val="FootnoteAnchor"/>
          <w:rtl w:val="true"/>
        </w:rPr>
        <w:footnoteReference w:id="754"/>
      </w:r>
      <w:r>
        <w:rPr>
          <w:rFonts w:ascii="Amiri" w:hAnsi="Amiri" w:eastAsia="Amiri" w:cs="Amiri"/>
          <w:color w:val="111111"/>
          <w:sz w:val="28"/>
          <w:sz w:val="28"/>
          <w:szCs w:val="28"/>
          <w:rtl w:val="true"/>
          <w:lang w:bidi="ar-SA"/>
        </w:rPr>
        <w:t>في المُغني</w:t>
      </w:r>
      <w:r>
        <w:rPr>
          <w:rStyle w:val="FootnoteAnchor"/>
          <w:rtl w:val="true"/>
        </w:rPr>
        <w:footnoteReference w:id="755"/>
      </w:r>
      <w:r>
        <w:rPr>
          <w:rFonts w:ascii="Amiri" w:hAnsi="Amiri" w:eastAsia="Amiri" w:cs="Amiri"/>
          <w:color w:val="111111"/>
          <w:sz w:val="28"/>
          <w:sz w:val="28"/>
          <w:szCs w:val="28"/>
          <w:rtl w:val="true"/>
          <w:lang w:bidi="ar-SA"/>
        </w:rPr>
        <w:t>، و هو أن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الرسولَ‌</w:t>
      </w:r>
      <w:r>
        <w:rPr>
          <w:rStyle w:val="FootnoteAnchor"/>
          <w:rtl w:val="true"/>
        </w:rPr>
        <w:footnoteReference w:id="756"/>
      </w:r>
      <w:r>
        <w:rPr>
          <w:rFonts w:ascii="Amiri" w:hAnsi="Amiri" w:eastAsia="Amiri" w:cs="Amiri"/>
          <w:color w:val="111111"/>
          <w:sz w:val="28"/>
          <w:sz w:val="28"/>
          <w:szCs w:val="28"/>
          <w:rtl w:val="true"/>
          <w:lang w:bidi="ar-SA"/>
        </w:rPr>
        <w:t>يَقطَعُ علىٰ أنّه سيَبقىٰ‌</w:t>
      </w:r>
      <w:r>
        <w:rPr>
          <w:rStyle w:val="FootnoteAnchor"/>
          <w:rtl w:val="true"/>
        </w:rPr>
        <w:footnoteReference w:id="757"/>
      </w:r>
      <w:r>
        <w:rPr>
          <w:rFonts w:ascii="Amiri" w:hAnsi="Amiri" w:eastAsia="Amiri" w:cs="Amiri"/>
          <w:color w:val="111111"/>
          <w:sz w:val="28"/>
          <w:sz w:val="28"/>
          <w:szCs w:val="28"/>
          <w:rtl w:val="true"/>
          <w:lang w:bidi="ar-SA"/>
        </w:rPr>
        <w:t>إلىٰ أن يؤَدّيَ الرسالةَ التي حُمِّلَها، ثُمّ بَعدُ</w:t>
      </w:r>
      <w:r>
        <w:rPr>
          <w:rStyle w:val="FootnoteAnchor"/>
          <w:rtl w:val="true"/>
        </w:rPr>
        <w:footnoteReference w:id="758"/>
      </w:r>
      <w:r>
        <w:rPr>
          <w:rFonts w:ascii="Amiri" w:hAnsi="Amiri" w:eastAsia="Amiri" w:cs="Amiri"/>
          <w:color w:val="111111"/>
          <w:sz w:val="28"/>
          <w:sz w:val="28"/>
          <w:szCs w:val="28"/>
          <w:rtl w:val="true"/>
          <w:lang w:bidi="ar-SA"/>
        </w:rPr>
        <w:t>يَعودُ حالُه إلىٰ أنّه في كُلِّ وقتٍ مُستَقبَلٍ يُجوِّزُ أن يَبقىٰ‌</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 أن</w:t>
      </w:r>
      <w:r>
        <w:rPr>
          <w:rStyle w:val="FootnoteAnchor"/>
          <w:rtl w:val="true"/>
        </w:rPr>
        <w:footnoteReference w:id="760"/>
      </w:r>
      <w:r>
        <w:rPr>
          <w:rFonts w:ascii="Amiri" w:hAnsi="Amiri" w:eastAsia="Amiri" w:cs="Amiri"/>
          <w:color w:val="111111"/>
          <w:sz w:val="28"/>
          <w:sz w:val="28"/>
          <w:szCs w:val="28"/>
          <w:rtl w:val="true"/>
          <w:lang w:bidi="ar-SA"/>
        </w:rPr>
        <w:t>يُقطَعَ تكليفُه؛ و كذلكَ كانَت أحوالُ الأنبياءِ عليهم السلامُ‌</w:t>
      </w:r>
      <w:r>
        <w:rPr>
          <w:rStyle w:val="FootnoteAnchor"/>
          <w:rtl w:val="true"/>
        </w:rPr>
        <w:footnoteReference w:id="761"/>
      </w:r>
      <w:r>
        <w:rPr>
          <w:rFonts w:ascii="Amiri" w:hAnsi="Amiri" w:eastAsia="Amiri" w:cs="Amiri"/>
          <w:color w:val="111111"/>
          <w:sz w:val="28"/>
          <w:sz w:val="28"/>
          <w:szCs w:val="28"/>
          <w:rtl w:val="true"/>
          <w:lang w:bidi="ar-SA"/>
        </w:rPr>
        <w:t>تَنتَهي إلىٰ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يُزيلُ ما يُذكَرُ</w:t>
      </w:r>
      <w:r>
        <w:rPr>
          <w:rStyle w:val="FootnoteAnchor"/>
          <w:rtl w:val="true"/>
        </w:rPr>
        <w:footnoteReference w:id="762"/>
      </w:r>
      <w:r>
        <w:rPr>
          <w:rFonts w:ascii="Amiri" w:hAnsi="Amiri" w:eastAsia="Amiri" w:cs="Amiri"/>
          <w:color w:val="111111"/>
          <w:sz w:val="28"/>
          <w:sz w:val="28"/>
          <w:szCs w:val="28"/>
          <w:rtl w:val="true"/>
          <w:lang w:bidi="ar-SA"/>
        </w:rPr>
        <w:t>مِن الإغراءِ‌؛ لأنّ الوَجَلَ و الخَوفَ إنّما يَزولانِ عن المُكلَّفِ‌</w:t>
      </w:r>
      <w:r>
        <w:rPr>
          <w:rStyle w:val="FootnoteAnchor"/>
          <w:rtl w:val="true"/>
        </w:rPr>
        <w:footnoteReference w:id="763"/>
      </w:r>
      <w:r>
        <w:rPr>
          <w:rFonts w:ascii="Amiri" w:hAnsi="Amiri" w:eastAsia="Amiri" w:cs="Amiri"/>
          <w:color w:val="111111"/>
          <w:sz w:val="28"/>
          <w:sz w:val="28"/>
          <w:szCs w:val="28"/>
          <w:rtl w:val="true"/>
          <w:lang w:bidi="ar-SA"/>
        </w:rPr>
        <w:t>متىٰ عَلِمَ انتهاءَ تكليفِه، فأمّا إذا لَم يَعلَمْ‌</w:t>
      </w:r>
      <w:r>
        <w:rPr>
          <w:rStyle w:val="FootnoteAnchor"/>
          <w:rtl w:val="true"/>
        </w:rPr>
        <w:footnoteReference w:id="764"/>
      </w:r>
      <w:r>
        <w:rPr>
          <w:rFonts w:ascii="Amiri" w:hAnsi="Amiri" w:eastAsia="Amiri" w:cs="Amiri"/>
          <w:color w:val="111111"/>
          <w:sz w:val="28"/>
          <w:sz w:val="28"/>
          <w:szCs w:val="28"/>
          <w:rtl w:val="true"/>
          <w:lang w:bidi="ar-SA"/>
        </w:rPr>
        <w:t>فالخَوفُ قائمٌ‌</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 هذا الجوابُ‌ مُعتَرَضٌ‌</w:t>
      </w:r>
      <w:r>
        <w:rPr>
          <w:rStyle w:val="FootnoteAnchor"/>
          <w:rtl w:val="true"/>
        </w:rPr>
        <w:footnoteReference w:id="766"/>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أُلزِمتَ الإغراءَ في الحالِ التي يَقطَعُ فيها المُكلَّفُ علىٰ أنّه سيَبقىٰ لا مَحالةَ‌، و هي الحالُ التي يَعلَمُ فيها بقاءَه إلىٰ حينِ الأداءِ‌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بَعدَ هذه</w:t>
      </w:r>
      <w:r>
        <w:rPr>
          <w:rStyle w:val="FootnoteAnchor"/>
          <w:rtl w:val="true"/>
        </w:rPr>
        <w:footnoteReference w:id="767"/>
      </w:r>
      <w:r>
        <w:rPr>
          <w:rFonts w:ascii="Amiri" w:hAnsi="Amiri" w:eastAsia="Amiri" w:cs="Amiri"/>
          <w:color w:val="111111"/>
          <w:sz w:val="28"/>
          <w:sz w:val="28"/>
          <w:szCs w:val="28"/>
          <w:rtl w:val="true"/>
          <w:lang w:bidi="ar-SA"/>
        </w:rPr>
        <w:t>الحالِ‌، فلا قَطعَ للنبيِّ عليه السلامُ علَى التبقيةِ‌</w:t>
      </w:r>
      <w:r>
        <w:rPr>
          <w:rStyle w:val="FootnoteAnchor"/>
          <w:rtl w:val="true"/>
        </w:rPr>
        <w:footnoteReference w:id="768"/>
      </w:r>
      <w:r>
        <w:rPr>
          <w:rFonts w:ascii="Amiri" w:hAnsi="Amiri" w:eastAsia="Amiri" w:cs="Amiri"/>
          <w:color w:val="111111"/>
          <w:sz w:val="28"/>
          <w:sz w:val="28"/>
          <w:szCs w:val="28"/>
          <w:rtl w:val="true"/>
          <w:lang w:bidi="ar-SA"/>
        </w:rPr>
        <w:t>، و الإغراءُ لَيسَ بحاصلٍ‌؛ فإذا عَلِمَ انتهاءَ تكليفِه عادَت الحالُ إلَى الإغراءِ‌</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فيُعلَمُ أنّ هذا الجوابَ لَيسَ بصَحيحٍ‌</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6425_221698"/>
      <w:bookmarkStart w:id="409" w:name="pg16425_221698"/>
      <w:bookmarkEnd w:id="409"/>
    </w:p>
    <w:p>
      <w:pPr>
        <w:pStyle w:val="Heading3"/>
        <w:numPr>
          <w:ilvl w:val="2"/>
          <w:numId w:val="1"/>
        </w:numPr>
        <w:rPr/>
      </w:pPr>
      <w:bookmarkStart w:id="410" w:name="pg16425_221698"/>
      <w:bookmarkStart w:id="411" w:name="__RefHeading___Toc7830169_1280447820"/>
      <w:bookmarkStart w:id="412" w:name="_Toc133"/>
      <w:bookmarkEnd w:id="410"/>
      <w:bookmarkEnd w:id="411"/>
      <w:r>
        <w:rPr>
          <w:rtl w:val="true"/>
        </w:rPr>
        <w:t>(</w:t>
      </w:r>
      <w:r>
        <w:rPr/>
        <w:t>53</w:t>
      </w:r>
      <w:r>
        <w:rPr>
          <w:rtl w:val="true"/>
        </w:rPr>
        <w:t xml:space="preserve">) </w:t>
      </w:r>
      <w:r>
        <w:rPr>
          <w:rtl w:val="true"/>
        </w:rPr>
        <w:t>مسألةٌ في ميراثِ الأنبياءِ عليهم السلام</w:t>
      </w:r>
      <w:bookmarkEnd w:id="41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3" w:name="__RefHeading___Toc7830171_1280447820"/>
      <w:bookmarkStart w:id="414" w:name="_Toc134"/>
      <w:bookmarkEnd w:id="413"/>
      <w:r>
        <w:rPr>
          <w:rtl w:val="true"/>
        </w:rPr>
        <w:t>اشارة</w:t>
      </w:r>
      <w:bookmarkEnd w:id="41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16425_221700"/>
      <w:bookmarkStart w:id="416" w:name="pg16425_221700"/>
      <w:bookmarkEnd w:id="416"/>
    </w:p>
    <w:p>
      <w:pPr>
        <w:pStyle w:val="Heading4"/>
        <w:numPr>
          <w:ilvl w:val="3"/>
          <w:numId w:val="1"/>
        </w:numPr>
        <w:rPr/>
      </w:pPr>
      <w:bookmarkStart w:id="417" w:name="pg16425_221700"/>
      <w:bookmarkStart w:id="418" w:name="__RefHeading___Toc7830173_1280447820"/>
      <w:bookmarkStart w:id="419" w:name="_Toc135"/>
      <w:bookmarkEnd w:id="417"/>
      <w:bookmarkEnd w:id="418"/>
      <w:r>
        <w:rPr>
          <w:rtl w:val="true"/>
        </w:rPr>
        <w:t>مقدّمة التحقيق</w:t>
      </w:r>
      <w:bookmarkEnd w:id="419"/>
    </w:p>
    <w:p>
      <w:pPr>
        <w:pStyle w:val="Heading5"/>
        <w:numPr>
          <w:ilvl w:val="4"/>
          <w:numId w:val="1"/>
        </w:numPr>
        <w:rPr/>
      </w:pPr>
      <w:bookmarkStart w:id="420" w:name="__RefHeading___Toc7830175_1280447820"/>
      <w:bookmarkStart w:id="421" w:name="_Toc136"/>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وقع خلاف قديم بين الشيعة و السنّة حول ميراث النبيّ صلّى اللّٰهُ عليه و آلِه، و ذلك بسبب النزاع الذي دار بين السيّدة فاطمة الزهراء عليها السلامُ و أبي بكر حول ميراث رسول اللّٰه صلّى اللّٰهُ عليه و آلِه، حيث رفض أبو بكر إعطاء ميراث الرسول صلّى اللّٰهُ عليه و آلِه إلى ابنته فاطمة الزهراء عليها السلامُ بدعوى أنّ الأنبياء عليهم السلامُ لا يورثون، و بذلك صار البحث عامّاً و شاملاً لميراث جميع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الاستدلال المُتعارف على هذه الدعوى هو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الشريف المرتضى ذكر في هذه الرسالة دليلاً قياسيّاً استدلّوا عليه لتأييد تلك النظريّة، و الدليل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أهل النبيّ يرثونه، لكانوا يتمنّون موته لكي يصلوا إلى الإرث، إلّاأنّ تمنّي موت النبيّ كفر، فأراد اللّٰه تعالى تنزيه أهل النبيّ من ذلك، فمنعهم من أخذ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على ذلك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ميراث النبيّ صدقة، سوف يعرّض الفقراء بل جميع الأُمّة إلى تمنّي موته، فإنّه حتّى الأغنياء يحتمل أن يصبحوا فقراء يوماً من الأيّام، فيتمنّون موته، و بهذا إذا منع اللّٰه تعالى أهل نبيّه من تمنّي موته فقد عرّض في المقابل أعداداً كبيرة من الأُمّة إلى 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إعطاء ميراث النبيّ إلى أهله، ثمّ نهيُهم عن تمنّي موته، يعتبر تعريضاً لهم لمنزلة عالية و رفيعة من منازل التكليف؛ لأنّهم إذا انتهوا عن ذلك مع وجود الداعي </w:t>
      </w:r>
      <w:bookmarkStart w:id="422" w:name="pg16425_221701"/>
    </w:p>
    <w:p>
      <w:pPr>
        <w:pStyle w:val="BookText"/>
        <w:rPr/>
      </w:pPr>
      <w:bookmarkEnd w:id="422"/>
      <w:r>
        <w:rPr>
          <w:rFonts w:ascii="Amiri" w:hAnsi="Amiri" w:eastAsia="Amiri" w:cs="Amiri"/>
          <w:color w:val="111111"/>
          <w:sz w:val="28"/>
          <w:sz w:val="28"/>
          <w:szCs w:val="28"/>
          <w:rtl w:val="true"/>
          <w:lang w:bidi="ar-SA"/>
        </w:rPr>
        <w:t>إليه فسوف يستحقّون الثواب الجزيل، فيكون تعريضهم إلى ذلك إحساناً إليهم و نعمة عليهم، فكيف يحرمهم اللّٰه تعالى من هذا الإحسان و 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أقدر أهل النبيّ على مختلف أنواع الذنوب و الكفر، و لم يكن ذلك تعريضاً لهم إلى القبائح، و لم يجب عليه أن ينزّههم من ذلك، فكذلك ميراث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هذه الرسالة هي في الحقيقة من الرسائل الجديدة التي تمّ العثور عليها في ضمن مخطوطات رسائل الشريف المرتضى التي قامت الأمانة العامّة لمؤتمر ألفيّة الشريف المرتضى بجمعها، و هي غير متنافية مع أفكاره و أُسلوبه في بيان المسائل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الشيخ البياضي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بعض مطالبها في كتابه، و نسبها إلى الشريف المرتضى</w:t>
      </w:r>
      <w:r>
        <w:rPr>
          <w:rFonts w:eastAsia="Amiri" w:cs="Amiri" w:ascii="Amiri" w:hAnsi="Amiri"/>
          <w:color w:val="111111"/>
          <w:sz w:val="28"/>
          <w:szCs w:val="28"/>
          <w:rtl w:val="true"/>
          <w:lang w:bidi="ar-SA"/>
        </w:rPr>
        <w:t>.</w:t>
      </w:r>
      <w:r>
        <w:rPr>
          <w:rStyle w:val="FootnoteAnchor"/>
          <w:rtl w:val="true"/>
        </w:rPr>
        <w:footnoteReference w:id="770"/>
      </w:r>
    </w:p>
    <w:p>
      <w:pPr>
        <w:pStyle w:val="Heading5"/>
        <w:numPr>
          <w:ilvl w:val="4"/>
          <w:numId w:val="1"/>
        </w:numPr>
        <w:rPr/>
      </w:pPr>
      <w:bookmarkStart w:id="423" w:name="__RefHeading___Toc7830177_1280447820"/>
      <w:bookmarkStart w:id="424" w:name="_Toc137"/>
      <w:bookmarkEnd w:id="423"/>
      <w:r>
        <w:rPr>
          <w:rtl w:val="true"/>
        </w:rPr>
        <w:t>مخطوطة الرسالة</w:t>
      </w:r>
      <w:bookmarkEnd w:id="424"/>
    </w:p>
    <w:p>
      <w:pPr>
        <w:pStyle w:val="BookText"/>
        <w:rPr/>
      </w:pPr>
      <w:r>
        <w:rPr>
          <w:rFonts w:ascii="Amiri" w:hAnsi="Amiri" w:eastAsia="Amiri" w:cs="Amiri"/>
          <w:color w:val="111111"/>
          <w:sz w:val="28"/>
          <w:sz w:val="28"/>
          <w:szCs w:val="28"/>
          <w:rtl w:val="true"/>
          <w:lang w:bidi="ar-SA"/>
        </w:rPr>
        <w:t>لقد تمّ العثور علىٰ مخطوطة واحدة لهذه الرسالة،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903/4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صحّحت بيد نفس الكاتب على الظاهر، و فيها موارد من الإعراب مغلوطة، و كتب الناسخ في آخرها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 و فرغ، و الحمد للّٰه أوّلاً و آخراً و ظاهراً و باطناً، و لا حول و لا قوّة إلّاباللّٰه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نمّقها الشيخ حمزة متولّي مسجد الشمس في الحلّة الفيحاء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من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ستّة و ثمانين بعد الألف</w:t>
      </w:r>
      <w:r>
        <w:rPr>
          <w:rFonts w:eastAsia="Amiri" w:cs="Amiri" w:ascii="Amiri" w:hAnsi="Amiri"/>
          <w:color w:val="111111"/>
          <w:sz w:val="28"/>
          <w:szCs w:val="28"/>
          <w:rtl w:val="true"/>
          <w:lang w:bidi="ar-SA"/>
        </w:rPr>
        <w:t xml:space="preserve">». </w:t>
      </w:r>
      <w:bookmarkStart w:id="425" w:name="pg16425_221702"/>
    </w:p>
    <w:p>
      <w:pPr>
        <w:pStyle w:val="BookText"/>
        <w:rPr/>
      </w:pPr>
      <w:bookmarkEnd w:id="42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7830179_1280447820"/>
      <w:bookmarkStart w:id="427" w:name="_Toc138"/>
      <w:bookmarkEnd w:id="426"/>
      <w:r>
        <w:rPr>
          <w:rtl w:val="true"/>
        </w:rPr>
        <w:t>مسألةٌ في ميراثِ الأنبياءِ عليهم السلام</w:t>
      </w:r>
      <w:bookmarkEnd w:id="427"/>
    </w:p>
    <w:p>
      <w:pPr>
        <w:pStyle w:val="BookText"/>
        <w:rPr/>
      </w:pPr>
      <w:r>
        <w:rPr>
          <w:rFonts w:ascii="Amiri" w:hAnsi="Amiri" w:eastAsia="Amiri" w:cs="Amiri"/>
          <w:color w:val="111111"/>
          <w:sz w:val="28"/>
          <w:sz w:val="28"/>
          <w:szCs w:val="28"/>
          <w:rtl w:val="true"/>
          <w:lang w:bidi="ar-SA"/>
        </w:rPr>
        <w:t>مسألةٌ في ميراثِ الأنبياءِ عليهم السلام</w:t>
      </w:r>
      <w:r>
        <w:rPr>
          <w:rStyle w:val="FootnoteAnchor"/>
          <w:rtl w:val="true"/>
        </w:rPr>
        <w:footnoteReference w:id="7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المرتضىٰ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لِمَن خالَفَنا في ميراثِ الأنبياءِ عليهم السلامُ أنِ استَدَلَّ علىٰ أ نّهم لا يورَثونَ بطَريقةٍ قياسيّةٍ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مُعوَّلُهم</w:t>
      </w:r>
      <w:r>
        <w:rPr>
          <w:rStyle w:val="FootnoteAnchor"/>
          <w:rtl w:val="true"/>
        </w:rPr>
        <w:footnoteReference w:id="772"/>
      </w:r>
      <w:r>
        <w:rPr>
          <w:rFonts w:ascii="Amiri" w:hAnsi="Amiri" w:eastAsia="Amiri" w:cs="Amiri"/>
          <w:color w:val="111111"/>
          <w:sz w:val="28"/>
          <w:sz w:val="28"/>
          <w:szCs w:val="28"/>
          <w:rtl w:val="true"/>
          <w:lang w:bidi="ar-SA"/>
        </w:rPr>
        <w:t xml:space="preserve">قَديماً علَى السمعِ 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النبيَّ عليه السلامُ لَو كان يورَثُ المالَ فقَد عُرِّضَ‌</w:t>
      </w:r>
      <w:r>
        <w:rPr>
          <w:rStyle w:val="FootnoteAnchor"/>
          <w:rtl w:val="true"/>
        </w:rPr>
        <w:footnoteReference w:id="773"/>
      </w:r>
      <w:r>
        <w:rPr>
          <w:rFonts w:ascii="Amiri" w:hAnsi="Amiri" w:eastAsia="Amiri" w:cs="Amiri"/>
          <w:color w:val="111111"/>
          <w:sz w:val="28"/>
          <w:sz w:val="28"/>
          <w:szCs w:val="28"/>
          <w:rtl w:val="true"/>
          <w:lang w:bidi="ar-SA"/>
        </w:rPr>
        <w:t xml:space="preserve">أهلُه و 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يَتمنَّوا مَوتَه علَى العادةِ الجاريةِ بذلكَ‌، و تَمنّي مَوتِه عليه السلامُ كُفرٌ؛ فنَزَّهَ اللّٰهُ تَعالىٰ نَبيَّه عليه السلامُ و أهلَه عن</w:t>
      </w:r>
      <w:r>
        <w:rPr>
          <w:rStyle w:val="FootnoteAnchor"/>
          <w:rtl w:val="true"/>
        </w:rPr>
        <w:footnoteReference w:id="774"/>
      </w:r>
      <w:r>
        <w:rPr>
          <w:rFonts w:ascii="Amiri" w:hAnsi="Amiri" w:eastAsia="Amiri" w:cs="Amiri"/>
          <w:color w:val="111111"/>
          <w:sz w:val="28"/>
          <w:sz w:val="28"/>
          <w:szCs w:val="28"/>
          <w:rtl w:val="true"/>
          <w:lang w:bidi="ar-SA"/>
        </w:rPr>
        <w:t>مِثلِ هذه الحالِ‌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تَعالىٰ ميراثَ النبيِّ عليه السلامُ صَدَقةً‌، فقَد عَرَّضَ جميعَ فُقَراءِ المُسلِمينَ‌، بَل جميعَ الأُمّةِ لِما ذَكرتُم مِن</w:t>
      </w:r>
      <w:r>
        <w:rPr>
          <w:rStyle w:val="FootnoteAnchor"/>
          <w:rtl w:val="true"/>
        </w:rPr>
        <w:footnoteReference w:id="775"/>
      </w:r>
      <w:r>
        <w:rPr>
          <w:rFonts w:ascii="Amiri" w:hAnsi="Amiri" w:eastAsia="Amiri" w:cs="Amiri"/>
          <w:color w:val="111111"/>
          <w:sz w:val="28"/>
          <w:sz w:val="28"/>
          <w:szCs w:val="28"/>
          <w:rtl w:val="true"/>
          <w:lang w:bidi="ar-SA"/>
        </w:rPr>
        <w:t>تَمنّي مَوتِه؛ لأ نّه لا أحَدَ مِن الأُمّةِ إلّاو يَجوزُ</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يَفتَقِرَ فيَكونَ مِن أهلِ ميراثِ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مَنَعَ مِن هذه الحالِ قوماً</w:t>
      </w:r>
      <w:r>
        <w:rPr>
          <w:rStyle w:val="FootnoteAnchor"/>
          <w:rtl w:val="true"/>
        </w:rPr>
        <w:footnoteReference w:id="777"/>
      </w:r>
      <w:r>
        <w:rPr>
          <w:rFonts w:ascii="Amiri" w:hAnsi="Amiri" w:eastAsia="Amiri" w:cs="Amiri"/>
          <w:color w:val="111111"/>
          <w:sz w:val="28"/>
          <w:sz w:val="28"/>
          <w:szCs w:val="28"/>
          <w:rtl w:val="true"/>
          <w:lang w:bidi="ar-SA"/>
        </w:rPr>
        <w:t xml:space="preserve">، فقَد عَرَّضَ لها مَن </w:t>
      </w:r>
    </w:p>
    <w:p>
      <w:pPr>
        <w:pStyle w:val="BookText"/>
        <w:rPr/>
      </w:pPr>
      <w:r>
        <w:rPr>
          <w:rFonts w:ascii="Amiri" w:hAnsi="Amiri" w:eastAsia="Amiri" w:cs="Amiri"/>
          <w:color w:val="111111"/>
          <w:sz w:val="28"/>
          <w:sz w:val="28"/>
          <w:szCs w:val="28"/>
          <w:rtl w:val="true"/>
          <w:lang w:bidi="ar-SA"/>
        </w:rPr>
        <w:t>هو أكثَرُ مِن عَدَدِهم أضعافاً مُضاعَفةً‌؛ و إن كانَ نَزَّهَه عليه السلامُ عن</w:t>
      </w:r>
      <w:r>
        <w:rPr>
          <w:rStyle w:val="FootnoteAnchor"/>
          <w:rtl w:val="true"/>
        </w:rPr>
        <w:footnoteReference w:id="778"/>
      </w:r>
      <w:r>
        <w:rPr>
          <w:rFonts w:ascii="Amiri" w:hAnsi="Amiri" w:eastAsia="Amiri" w:cs="Amiri"/>
          <w:color w:val="111111"/>
          <w:sz w:val="28"/>
          <w:sz w:val="28"/>
          <w:szCs w:val="28"/>
          <w:rtl w:val="true"/>
          <w:lang w:bidi="ar-SA"/>
        </w:rPr>
        <w:t>أن يَتمنّىٰ قومٌ بأعيانِهم مَوتَه، فقَد عَرَّضَه</w:t>
      </w:r>
      <w:r>
        <w:rPr>
          <w:rStyle w:val="FootnoteAnchor"/>
          <w:rtl w:val="true"/>
        </w:rPr>
        <w:footnoteReference w:id="779"/>
      </w:r>
      <w:r>
        <w:rPr>
          <w:rFonts w:ascii="Amiri" w:hAnsi="Amiri" w:eastAsia="Amiri" w:cs="Amiri"/>
          <w:color w:val="111111"/>
          <w:sz w:val="28"/>
          <w:sz w:val="28"/>
          <w:szCs w:val="28"/>
          <w:rtl w:val="true"/>
          <w:lang w:bidi="ar-SA"/>
        </w:rPr>
        <w:t>لأِ ن يَتمنّىٰ جميعُ الأُمّةِ مَوتَه بأن</w:t>
      </w:r>
      <w:r>
        <w:rPr>
          <w:rStyle w:val="FootnoteAnchor"/>
          <w:rtl w:val="true"/>
        </w:rPr>
        <w:footnoteReference w:id="780"/>
      </w:r>
      <w:r>
        <w:rPr>
          <w:rFonts w:ascii="Amiri" w:hAnsi="Amiri" w:eastAsia="Amiri" w:cs="Amiri"/>
          <w:color w:val="111111"/>
          <w:sz w:val="28"/>
          <w:sz w:val="28"/>
          <w:szCs w:val="28"/>
          <w:rtl w:val="true"/>
          <w:lang w:bidi="ar-SA"/>
        </w:rPr>
        <w:t>جَعَلَ ميراثَه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الميراثُ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لِتَمنّي مَوتِه عليه السلامُ‌؛ لأنّهم عن ذلكَ مَنهيّونَ‌، و عليه مُعاقَبونَ‌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نَقولُ‌</w:t>
      </w:r>
      <w:r>
        <w:rPr>
          <w:rStyle w:val="FootnoteAnchor"/>
          <w:rtl w:val="true"/>
        </w:rPr>
        <w:footnoteReference w:id="781"/>
      </w:r>
      <w:r>
        <w:rPr>
          <w:rFonts w:ascii="Amiri" w:hAnsi="Amiri" w:eastAsia="Amiri" w:cs="Amiri"/>
          <w:color w:val="111111"/>
          <w:sz w:val="28"/>
          <w:sz w:val="28"/>
          <w:szCs w:val="28"/>
          <w:rtl w:val="true"/>
          <w:lang w:bidi="ar-SA"/>
        </w:rPr>
        <w:t>في أهلِه عليهم السلامُ‌؛ لأنّهم قد زُجِروا عن تَمنّي مَوتِه عليه السلامُ‌، و متىٰ فَعَلوه كانوا مُخطِئينَ مُعاقَبينَ‌، و عادَ الضررُ فيه إليهم عليهم السلامُ‌، و لا عَيبَ بذلكَ علَى النبيِّ عليه السلامُ و لا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 اللّٰهُ تَعالىٰ وَرَثةَ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أنّ ميراثَه لهُم، و مَنَعَهم بالنهيِ و الزجرِ عن تَمنّي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لمَنزِلةٍ مِن التكليفِ رَفيعةٍ جَليلةٍ يُستَحَقُّ عليها الثوابُ الجَزيلُ‌؛ لأنّهم إذا كانوا أهلَ ميراثِه و مُستَحِقّيهِ‌، و لَم يَتمنَّوا مَوتَه عليه السلامُ‌، عَدَلوا بذلكَ عن مُقتَضَى الهَوىٰ‌</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في العادةِ‌، و شَقَّ ذلكَ عليهم، فاستَحَقّوا جَزيلَ الثوابِ‌، فتعريضُهم لذلكَ إحسانٌ إليهم و نِعمَةٌ عليهم؛ فكَيفَ يُنزَّهونَ و يُباعَدونَ عمّا هو غايةُ الإحسانِ و الإنعامِ؟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اللّٰهَ تَعالىٰ قد أقدَرَ وَرَثةَ النبيِّ صَلَّى اللّٰهُ عليه و آلِه علىٰ ضُروبِ الكُفرِ و صُنوفِ المَعاصي و أنواعِ الكَبائرِ، و لَم يَكُن في ذلكَ تعريضٌ لهذه القَبائحِ و لا وَجَبَ أن يُنزِّهَهم عن هذه الحالِ بأكثَرَ مِن النهيِ و الزجرِ؛ فأيُّ فَرقٍ بَينَ ذلكَ‌ </w:t>
      </w:r>
    </w:p>
    <w:p>
      <w:pPr>
        <w:pStyle w:val="BookText"/>
        <w:rPr/>
      </w:pPr>
      <w:r>
        <w:rPr>
          <w:rFonts w:ascii="Amiri" w:hAnsi="Amiri" w:eastAsia="Amiri" w:cs="Amiri"/>
          <w:color w:val="111111"/>
          <w:sz w:val="28"/>
          <w:sz w:val="28"/>
          <w:szCs w:val="28"/>
          <w:rtl w:val="true"/>
          <w:lang w:bidi="ar-SA"/>
        </w:rPr>
        <w:t xml:space="preserve">أجمَعَ و بَينَ ما ذَكروه‌؟ و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يُنزَّهوا عمّا هو أكثَرُ منها و أكبَرُ؟ و أيُّ شَيءٍ ذَكروه في ذلكَ قيلَ لهُم مِثلُه فيما تَعلَّقوا به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الرسالةُ‌، و الحَمدُ للّٰهِ وَحدَه، و صَلَّى اللّٰهُ علىٰ سَيّدِنا مُحمّدٍ و آلِه الطيّبينَ الطاهرينَ‌</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6425_221706"/>
      <w:bookmarkStart w:id="429" w:name="pg16425_221706"/>
      <w:bookmarkEnd w:id="429"/>
    </w:p>
    <w:p>
      <w:pPr>
        <w:pStyle w:val="Heading3"/>
        <w:numPr>
          <w:ilvl w:val="2"/>
          <w:numId w:val="1"/>
        </w:numPr>
        <w:rPr/>
      </w:pPr>
      <w:bookmarkStart w:id="430" w:name="pg16425_221706"/>
      <w:bookmarkStart w:id="431" w:name="__RefHeading___Toc7830181_1280447820"/>
      <w:bookmarkStart w:id="432" w:name="_Toc139"/>
      <w:bookmarkEnd w:id="430"/>
      <w:bookmarkEnd w:id="431"/>
      <w:r>
        <w:rPr>
          <w:rtl w:val="true"/>
        </w:rPr>
        <w:t>(</w:t>
      </w:r>
      <w:r>
        <w:rPr/>
        <w:t>54</w:t>
      </w:r>
      <w:r>
        <w:rPr>
          <w:rtl w:val="true"/>
        </w:rPr>
        <w:t xml:space="preserve">) </w:t>
      </w:r>
      <w:r>
        <w:rPr>
          <w:rtl w:val="true"/>
        </w:rPr>
        <w:t>الرِّسالةُ الباهِرةُ في فَضلِ العِترةِ الطاهِرةِ‌</w:t>
      </w:r>
      <w:bookmarkEnd w:id="43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3" w:name="__RefHeading___Toc7830183_1280447820"/>
      <w:bookmarkStart w:id="434" w:name="_Toc140"/>
      <w:bookmarkEnd w:id="433"/>
      <w:r>
        <w:rPr>
          <w:rtl w:val="true"/>
        </w:rPr>
        <w:t>اشارة</w:t>
      </w:r>
      <w:bookmarkEnd w:id="43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6425_221708"/>
      <w:bookmarkStart w:id="436" w:name="pg16425_221708"/>
      <w:bookmarkEnd w:id="436"/>
    </w:p>
    <w:p>
      <w:pPr>
        <w:pStyle w:val="Heading4"/>
        <w:numPr>
          <w:ilvl w:val="3"/>
          <w:numId w:val="1"/>
        </w:numPr>
        <w:rPr/>
      </w:pPr>
      <w:bookmarkStart w:id="437" w:name="pg16425_221708"/>
      <w:bookmarkStart w:id="438" w:name="__RefHeading___Toc7830185_1280447820"/>
      <w:bookmarkStart w:id="439" w:name="_Toc141"/>
      <w:bookmarkEnd w:id="437"/>
      <w:bookmarkEnd w:id="438"/>
      <w:r>
        <w:rPr>
          <w:rtl w:val="true"/>
        </w:rPr>
        <w:t>مقدّمة التحقيق</w:t>
      </w:r>
      <w:bookmarkEnd w:id="439"/>
    </w:p>
    <w:p>
      <w:pPr>
        <w:pStyle w:val="Heading5"/>
        <w:numPr>
          <w:ilvl w:val="4"/>
          <w:numId w:val="1"/>
        </w:numPr>
        <w:rPr/>
      </w:pPr>
      <w:bookmarkStart w:id="440" w:name="__RefHeading___Toc7830187_1280447820"/>
      <w:bookmarkStart w:id="441" w:name="_Toc142"/>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 xml:space="preserve">أوردها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بأكملها في آخر كتابه الاحتجاج، و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الباهرة في فضل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احتجاجُه قدّس اللّٰه روحه في التعظيم و التقديم لأئمّتنا عليهم السلام علىٰ سائر الورىٰ ما عدا نبيّنا صلّى اللّٰه عليه و آله و سلّم، بطريقة لم يسبقه إليها أحد، ذكرها في رسالته الموسومة بالرسالة الباهرة في فضل العترة الطاهرة</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كما ذكرها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الباهرة في العترة الطاهرة</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و تَقدُّمُ الأخيرَين و قُربُ عهدهما نسبيّاً من عهد الشريف المرتضى يدلّ على صحّة نسبة الرسالة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أنّه قد أُرجِعَ القارئُ في أوائل الرسالة إلى المسائل التبّانيّات و كتاب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سُمّي في هذه الرسالة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نُصرة ما انفردت به الشيعة الإماميّة من المسائل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هذان الكتابان من كُتب الشريف المرتضى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شكّ في صحّة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الرسالة بأكملها في البحار نقلاً عن الاحتجاج</w:t>
      </w:r>
      <w:r>
        <w:rPr>
          <w:rFonts w:eastAsia="Amiri" w:cs="Amiri" w:ascii="Amiri" w:hAnsi="Amiri"/>
          <w:color w:val="111111"/>
          <w:sz w:val="28"/>
          <w:szCs w:val="28"/>
          <w:rtl w:val="true"/>
          <w:lang w:bidi="ar-SA"/>
        </w:rPr>
        <w:t>.</w:t>
      </w:r>
      <w:r>
        <w:rPr>
          <w:rStyle w:val="FootnoteAnchor"/>
          <w:rtl w:val="true"/>
        </w:rPr>
        <w:footnoteReference w:id="78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ممّا بأيدينا من هذه الرسالة سقوط أوّلها؛ فهي تبدأ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يدلّ‌ </w:t>
      </w:r>
      <w:bookmarkStart w:id="442" w:name="pg16425_221709"/>
    </w:p>
    <w:p>
      <w:pPr>
        <w:pStyle w:val="BookText"/>
        <w:rPr/>
      </w:pPr>
      <w:bookmarkEnd w:id="442"/>
      <w:r>
        <w:rPr>
          <w:rFonts w:ascii="Amiri" w:hAnsi="Amiri" w:eastAsia="Amiri" w:cs="Amiri"/>
          <w:color w:val="111111"/>
          <w:sz w:val="28"/>
          <w:sz w:val="28"/>
          <w:szCs w:val="28"/>
          <w:rtl w:val="true"/>
          <w:lang w:bidi="ar-SA"/>
        </w:rPr>
        <w:t>أيضاً على تقديمهم عليهم السلامُ و تعظيمهم على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أنّ الكلام معطوف على كلام سابق عليه قد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تركّز بحث الشريف المرتضى في هذه الرسالة على مسألة تفضيل أئمّة أهل البيت عليهم السلامُ على سائر البشر، و بذلك تكون تسميةُ الطَّبرسيّ لها المشتملةُ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أدقّ تعبيراً عن محتوى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عامّ‌، تنطوي تحته عناوين متعدّدة،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الأنبياء على الملائكة، و تفضيل النبيّ على سائر الأنبياء، و تفضيل أمير المؤمنين على سائر الصحابة، و تفضيله على سائر البشر عدا النبيّ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كتبت رسائل متعدّدة حول هذه العناوين من قِبل المتكلّمين، و خاصّة متكلّمي الإماميّة، تُراجَع في مظانّها</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7830189_1280447820"/>
      <w:bookmarkStart w:id="444" w:name="_Toc143"/>
      <w:bookmarkEnd w:id="443"/>
      <w:r>
        <w:rPr>
          <w:rtl w:val="true"/>
        </w:rPr>
        <w:t>محتوى الرسالة</w:t>
      </w:r>
      <w:bookmarkEnd w:id="444"/>
    </w:p>
    <w:p>
      <w:pPr>
        <w:pStyle w:val="BookText"/>
        <w:rPr/>
      </w:pPr>
      <w:r>
        <w:rPr>
          <w:rFonts w:ascii="Amiri" w:hAnsi="Amiri" w:eastAsia="Amiri" w:cs="Amiri"/>
          <w:color w:val="111111"/>
          <w:sz w:val="28"/>
          <w:sz w:val="28"/>
          <w:szCs w:val="28"/>
          <w:rtl w:val="true"/>
          <w:lang w:bidi="ar-SA"/>
        </w:rPr>
        <w:t xml:space="preserve">و من العناوين المرتبطة بالتفضيل تفضيلُ أئمّة أهل البيت عليهم السلامُ على سائر البشر، و هو الذي يشكّل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 الشريف المرتضى هذه الرسالة لإثبات ذلك، و استدلّ عليه بدليلَين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كالمعرفة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و إسلام، و أنّ الجهل بهم و الشكّ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كالجهل باللّٰه و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خروج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هذه الخصوصيّة لأحد من البشر إلّاللنبيّ صلّى اللّٰهُ عليه و آلِه، و أمير المؤمنين عليه السلامُ‌، و الأئمّة من ولده عليهم السلام، و أمّا باقي الأنبياء فليست لهم هذه الخصوصيّة؛ لأنّه لا تجب معرفتهم، و لا يتعلّق بها تكليف، سوى أنّ أسماء بعضهم وردت في القرآن، فوجبت معرفتهم تصديقاً للقرآن، و إلّافلا وجه لوجوب معرفتهم، و لا تعلُّقَ لها بشيء من تكاليفنا؛ و هذا يعني تفضيل الأئمّة عليهم السلامُ علىٰ سائر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لأجل إكمال هذا الدليل أخذ في إثبات مقدّمته، و هي وجوب معرفة الأئمّة، و أنّ معرفتهم إيمان، و الجهل بهم كفر و خروج عن الإيمان، فأقام على ذلك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الإماميّة على ذلك، و عدم اختلافهم فيه، و إجماعُهم حجّة؛ لدخول المعصوم فيه، كما هو محقّق في بحث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الأُمّة؛ فإنّ بعض علماء الأُمّة ذهبوا إلى أنّ الصلاة على الآل في التشهّد الأخير واجب، فتكون معرفتهم واجبة، فإنّ الصلاة عليهم فرع المعرفة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ذهب بعض آخر من علماء الأُمّة إلى استحباب الصلاة عليهم، فتكون من جملة العبادة التي لا تتحقّق من دون معرفتهم، و ليس لأحد غير الأئمّة عليهم السلامُ مثل 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غرس في قلوب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مذاهبهم و دياناتهم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و تعظيمهم و إكبارهم، فيقومون بقصد قبورهم من أقاصي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النقطة سجّل لنا الشريف المرتضى، ملاحظة تاريخيّة مهمّة، و هي اهتمام أهالي نيسابور و ما حولها من المدن بزيارة الإمام الرضا عليه السلامُ في طوس بالجِمَال الكثيرة و الأهبة التي لا يوجد مثلها إلّافي حجّ بيت اللّٰه الحرام، و ذلك على الرغم من انحراف أهل خراسان عن أهل البيت عليهم السلامُ‌، و عدم اعتقادهم بإمامتهم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تسخير هذه القلوب القاسية هو كالخارق للعادات، و إلّافما الداعي لهؤلاء الناس أن يذهبوا إلى قبور الأئمّة عليهم السلامُ دون غيرهم، فليست هناك بالتأكيد دواع دنيويّة و لا تقيّة و لا غير ذلك، و إنّما هي مشيئة اللّٰه تعالى التي تذلّل الصعاب، و تقود بأزمّتها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تفضيلهم علىٰ سائر الناس</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تطرّق الشريف المرتضى إلى الإشكال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سبب هذا التعظيم أمراً خارقاً للعادة و خارجاً عن الطبيعة، بل سببه هو تعظيم المسلمين لأهل بيت الرسول صلّى اللّٰهُ عليه و آلِه و عترته عليهم السلامُ‌، و كلّ من عظّم الرسول صلّى اللّٰهُ عليه و آلِه، عظّم عترته</w:t>
      </w:r>
      <w:r>
        <w:rPr>
          <w:rFonts w:eastAsia="Amiri" w:cs="Amiri" w:ascii="Amiri" w:hAnsi="Amiri"/>
          <w:color w:val="111111"/>
          <w:sz w:val="28"/>
          <w:szCs w:val="28"/>
          <w:rtl w:val="true"/>
          <w:lang w:bidi="ar-SA"/>
        </w:rPr>
        <w:t xml:space="preserve">. </w:t>
      </w:r>
      <w:bookmarkStart w:id="445" w:name="pg16425_221711"/>
    </w:p>
    <w:p>
      <w:pPr>
        <w:pStyle w:val="BookText"/>
        <w:rPr/>
      </w:pPr>
      <w:bookmarkEnd w:id="445"/>
      <w:r>
        <w:rPr>
          <w:rFonts w:ascii="Amiri" w:hAnsi="Amiri" w:eastAsia="Amiri" w:cs="Amiri"/>
          <w:color w:val="111111"/>
          <w:sz w:val="28"/>
          <w:sz w:val="28"/>
          <w:szCs w:val="28"/>
          <w:rtl w:val="true"/>
          <w:lang w:bidi="ar-SA"/>
        </w:rPr>
        <w:t>فأجاب على هذا الإشكال بأنّ هذه الخصوصية ليست خاصّة بأئمّة أهل البيت عليهم السلامُ‌، فإنّ الكثير من ذريّة الرسول صلّى اللّٰهُ عليه و آلِه يشاركونهم فيها، لكن لا يهتمّ بهم المسلمون كلّ هذا الاهتمام، و لا يعظّمونهم كلّ هذا التعظيم الذي يُولُونه للأئمة عليهم السلامُ‌، و هذا يدلّ على خصوصية اختصّهم اللّٰه تعالى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الثابت تاريخيّاً أنّ الأئمّة عليهم السلامُ كانوا في العقيدة، و مسائل الحلال و الحرام، على خلاف ما يذهب إليه مخالفو الإماميّة، و إذا شكّ أحد في ذلك، فعلى الأقلّ ما كان الأئمّة عليهم السلامُ على مذهب أتباع تلك الفرق المُجمعين على تعظيمهم، خاصّة و أنّ شيوخ الإماميّة كانوا بطانة للباقر و الصادق و الكاظم عليهم السلامُ‌، و يُظهرون أنّ كلّ ما يقولون به فقد أخذوه من هؤلاء الأئمّة عليهم السلامُ‌، فلو لم يكونوا كذلك لتبرّؤوا منهم، و أعلنوا ذلك، و هذا يدلّ على أنّهم راضون بما كان ينسبه إليهم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الأمر كذلك فكيف يمكن لشخص أن يعظّم شخصاً مخالفاً له في الرأي و العقيدة، و يتقرّب إلى اللّٰه تعالى بزيارته و 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أنّ اللّٰه تعالى قد خرق العادة في حقّ هؤلاء الأئمّة الهداة عليهم السلامُ‌، ليدلّ على عظم منزلتهم و رفعتهم و فضلهم علىٰ جميع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أهمّ مضامين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كانت هذه الرسالة قد طبعت في ضمن 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كما طبعت في ضمن كتاب الاحتجاج،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و بحار الأنوار،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الاحتجاج</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7830191_1280447820"/>
      <w:bookmarkStart w:id="447" w:name="_Toc144"/>
      <w:bookmarkEnd w:id="446"/>
      <w:r>
        <w:rPr>
          <w:rtl w:val="true"/>
        </w:rPr>
        <w:t>مخطوطات الرسالة</w:t>
      </w:r>
      <w:bookmarkEnd w:id="44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نعثر علىٰ مخطوطة مستقلّة لهذه الرسالة، فقمنا بانتزاعها من مخطوطات كتاب الاحتجاج، و قابلناها معها، إضافة إلىٰ مقابلتها مع كتاب البحار و المطبوع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مواصفات مخطوطات الاحتجاج المعتمد عليها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مصوّرة مركز إحياء التراث الإسلامي، المرقّمة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 و أصل المخطوطة محفوظ في مكتبة الفاتكان برقم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 xml:space="preserve">، تاريخ النسخ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مصوّرة مركز إحياء التراث الإسلامي، المرقّمة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 أصل المخطوطة محفوظ في المكتبة التابعة لحرم السيّدة فاطمة المعصومة عليها السلام في قم المقدّسة، برقم </w:t>
      </w:r>
      <w:r>
        <w:rPr>
          <w:rFonts w:eastAsia="Amiri" w:cs="Amiri" w:ascii="Amiri" w:hAnsi="Amiri"/>
          <w:color w:val="111111"/>
          <w:sz w:val="28"/>
          <w:szCs w:val="28"/>
          <w:lang w:bidi="ar-SA"/>
        </w:rPr>
        <w:t>5914</w:t>
      </w:r>
      <w:r>
        <w:rPr>
          <w:rFonts w:ascii="Amiri" w:hAnsi="Amiri" w:eastAsia="Amiri" w:cs="Amiri"/>
          <w:color w:val="111111"/>
          <w:sz w:val="28"/>
          <w:sz w:val="28"/>
          <w:szCs w:val="28"/>
          <w:rtl w:val="true"/>
          <w:lang w:bidi="ar-SA"/>
        </w:rPr>
        <w:t xml:space="preserve">، تاريخ النسخ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مصوّرة مركز إحياء التراث الإسلامي، المرقّمة </w:t>
      </w:r>
      <w:r>
        <w:rPr>
          <w:rFonts w:eastAsia="Amiri" w:cs="Amiri" w:ascii="Amiri" w:hAnsi="Amiri"/>
          <w:color w:val="111111"/>
          <w:sz w:val="28"/>
          <w:szCs w:val="28"/>
          <w:lang w:bidi="ar-SA"/>
        </w:rPr>
        <w:t>2588</w:t>
      </w:r>
      <w:r>
        <w:rPr>
          <w:rFonts w:ascii="Amiri" w:hAnsi="Amiri" w:eastAsia="Amiri" w:cs="Amiri"/>
          <w:color w:val="111111"/>
          <w:sz w:val="28"/>
          <w:sz w:val="28"/>
          <w:szCs w:val="28"/>
          <w:rtl w:val="true"/>
          <w:lang w:bidi="ar-SA"/>
        </w:rPr>
        <w:t xml:space="preserve">، و أصل المخطوطة محفوظ في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و تاريخها يرجع إلى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6425_221714"/>
      <w:bookmarkStart w:id="449" w:name="pg16425_221714"/>
      <w:bookmarkEnd w:id="449"/>
    </w:p>
    <w:p>
      <w:pPr>
        <w:pStyle w:val="Heading4"/>
        <w:numPr>
          <w:ilvl w:val="3"/>
          <w:numId w:val="1"/>
        </w:numPr>
        <w:rPr/>
      </w:pPr>
      <w:bookmarkStart w:id="450" w:name="pg16425_221714"/>
      <w:bookmarkStart w:id="451" w:name="__RefHeading___Toc7830193_1280447820"/>
      <w:bookmarkStart w:id="452" w:name="_Toc145"/>
      <w:bookmarkEnd w:id="450"/>
      <w:bookmarkEnd w:id="451"/>
      <w:r>
        <w:rPr>
          <w:rtl w:val="true"/>
        </w:rPr>
        <w:t>الرِّسالةُ الباهِرةُ في فَضلِ العِترةِ الطاهِرةِ‌</w:t>
      </w:r>
      <w:bookmarkEnd w:id="452"/>
    </w:p>
    <w:p>
      <w:pPr>
        <w:pStyle w:val="Heading5"/>
        <w:numPr>
          <w:ilvl w:val="4"/>
          <w:numId w:val="1"/>
        </w:numPr>
        <w:rPr/>
      </w:pPr>
      <w:bookmarkStart w:id="453" w:name="__RefHeading___Toc7830195_1280447820"/>
      <w:bookmarkStart w:id="454" w:name="_Toc146"/>
      <w:bookmarkEnd w:id="453"/>
      <w:r>
        <w:rPr>
          <w:rtl w:val="true"/>
        </w:rPr>
        <w:t>اشارة</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رَضِيَ اللّٰهُ عَنهُ‌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w:t>
      </w:r>
      <w:r>
        <w:rPr>
          <w:rStyle w:val="FootnoteAnchor"/>
          <w:rtl w:val="true"/>
        </w:rPr>
        <w:footnoteReference w:id="786"/>
      </w:r>
      <w:r>
        <w:rPr>
          <w:rFonts w:ascii="Amiri" w:hAnsi="Amiri" w:eastAsia="Amiri" w:cs="Amiri"/>
          <w:color w:val="111111"/>
          <w:sz w:val="28"/>
          <w:sz w:val="28"/>
          <w:szCs w:val="28"/>
          <w:rtl w:val="true"/>
          <w:lang w:bidi="ar-SA"/>
        </w:rPr>
        <w:t>يَدُلُّ أيضاً علىٰ تَقديمِهم عليهم السلامُ‌</w:t>
      </w:r>
      <w:r>
        <w:rPr>
          <w:rStyle w:val="FootnoteAnchor"/>
          <w:rtl w:val="true"/>
        </w:rPr>
        <w:footnoteReference w:id="787"/>
      </w:r>
      <w:r>
        <w:rPr>
          <w:rFonts w:ascii="Amiri" w:hAnsi="Amiri" w:eastAsia="Amiri" w:cs="Amiri"/>
          <w:color w:val="111111"/>
          <w:sz w:val="28"/>
          <w:sz w:val="28"/>
          <w:szCs w:val="28"/>
          <w:rtl w:val="true"/>
          <w:lang w:bidi="ar-SA"/>
        </w:rPr>
        <w:t>و تَعظيمِهِم</w:t>
      </w:r>
      <w:r>
        <w:rPr>
          <w:rStyle w:val="FootnoteAnchor"/>
          <w:rtl w:val="true"/>
        </w:rPr>
        <w:footnoteReference w:id="788"/>
      </w:r>
      <w:r>
        <w:rPr>
          <w:rFonts w:ascii="Amiri" w:hAnsi="Amiri" w:eastAsia="Amiri" w:cs="Amiri"/>
          <w:color w:val="111111"/>
          <w:sz w:val="28"/>
          <w:sz w:val="28"/>
          <w:szCs w:val="28"/>
          <w:rtl w:val="true"/>
          <w:lang w:bidi="ar-SA"/>
        </w:rPr>
        <w:t>علَى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دَلَّنا علىٰ أنَّ المَعرِفَةَ بِهِم كالمَعرِفَةِ بِه تَعالىٰ‌</w:t>
      </w:r>
      <w:r>
        <w:rPr>
          <w:rStyle w:val="FootnoteAnchor"/>
          <w:rtl w:val="true"/>
        </w:rPr>
        <w:footnoteReference w:id="789"/>
      </w:r>
      <w:r>
        <w:rPr>
          <w:rFonts w:ascii="Amiri" w:hAnsi="Amiri" w:eastAsia="Amiri" w:cs="Amiri"/>
          <w:color w:val="111111"/>
          <w:sz w:val="28"/>
          <w:sz w:val="28"/>
          <w:szCs w:val="28"/>
          <w:rtl w:val="true"/>
          <w:lang w:bidi="ar-SA"/>
        </w:rPr>
        <w:t>في أنَّها إيمانٌ و إسلامٌ‌، و أنَّ الجَهلَ بِهِم</w:t>
      </w:r>
      <w:r>
        <w:rPr>
          <w:rStyle w:val="FootnoteAnchor"/>
          <w:rtl w:val="true"/>
        </w:rPr>
        <w:footnoteReference w:id="790"/>
      </w:r>
      <w:r>
        <w:rPr>
          <w:rFonts w:ascii="Amiri" w:hAnsi="Amiri" w:eastAsia="Amiri" w:cs="Amiri"/>
          <w:color w:val="111111"/>
          <w:sz w:val="28"/>
          <w:sz w:val="28"/>
          <w:szCs w:val="28"/>
          <w:rtl w:val="true"/>
          <w:lang w:bidi="ar-SA"/>
        </w:rPr>
        <w:t>و الشَّكَّ فيهِم كالجَهلِ بِه و الشَّكِّ فيه في أنَّه كُفرٌ و خُروجٌ مِنَ الإيمانِ‌؛ و هذِه مَنزِلةٌ لَيسَ لأَِحدٍ مِنَ البَشَرِ إلّالِنَبيِّنا صَلَّى اللّٰهُ علَيه و آلِه، و بَعدَه لأِميرِ المُؤمِنينَ‌</w:t>
      </w:r>
      <w:r>
        <w:rPr>
          <w:rStyle w:val="FootnoteAnchor"/>
          <w:rtl w:val="true"/>
        </w:rPr>
        <w:footnoteReference w:id="791"/>
      </w:r>
      <w:r>
        <w:rPr>
          <w:rFonts w:ascii="Amiri" w:hAnsi="Amiri" w:eastAsia="Amiri" w:cs="Amiri"/>
          <w:color w:val="111111"/>
          <w:sz w:val="28"/>
          <w:sz w:val="28"/>
          <w:szCs w:val="28"/>
          <w:rtl w:val="true"/>
          <w:lang w:bidi="ar-SA"/>
        </w:rPr>
        <w:t>و الأئمّةِ مِن وُلدِه، علىٰ جَماعتِهم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المَعرِفَةَ بنُبُوَّةِ الأنبياءِ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آدَمَ إلىٰ عيسىٰ علَيهم السلامُ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واجِبةٍ علَينا، و لا تَعلُّقَ لَها بشَيءٍ مِن تَكاليفِنا؛ و لَولا أنَّ القُرآنَ وَرَدَ بنُبُوَّةِ مَن سُمِّيَ فيه مِن الأنبياءِ المُتَقدِّمينَ فعَرَفناهُم تَصديقاً للقُرآنِ‌، و إلّافَلا وَجهَ لوُجوبِ‌ </w:t>
      </w:r>
      <w:bookmarkStart w:id="455" w:name="pg16425_221715"/>
    </w:p>
    <w:p>
      <w:pPr>
        <w:pStyle w:val="BookText"/>
        <w:rPr/>
      </w:pPr>
      <w:bookmarkEnd w:id="455"/>
      <w:r>
        <w:rPr>
          <w:rFonts w:ascii="Amiri" w:hAnsi="Amiri" w:eastAsia="Amiri" w:cs="Amiri"/>
          <w:color w:val="111111"/>
          <w:sz w:val="28"/>
          <w:sz w:val="28"/>
          <w:szCs w:val="28"/>
          <w:rtl w:val="true"/>
          <w:lang w:bidi="ar-SA"/>
        </w:rPr>
        <w:t>مَعرفَتِهم علينا، و لا تَعَلُّقَ لَها بشَيءٍ مِن أحوالِ تَكليفِنا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بَقيَ علَينا أن نَدُلَّ علىٰ أنَّ الأمرَ علىٰ‌</w:t>
      </w:r>
      <w:r>
        <w:rPr>
          <w:rStyle w:val="FootnoteAnchor"/>
          <w:rtl w:val="true"/>
        </w:rPr>
        <w:footnoteReference w:id="793"/>
      </w:r>
      <w:r>
        <w:rPr>
          <w:rFonts w:ascii="Amiri" w:hAnsi="Amiri" w:eastAsia="Amiri" w:cs="Amiri"/>
          <w:color w:val="111111"/>
          <w:sz w:val="28"/>
          <w:sz w:val="28"/>
          <w:szCs w:val="28"/>
          <w:rtl w:val="true"/>
          <w:lang w:bidi="ar-SA"/>
        </w:rPr>
        <w:t>مَا ادَّعَيناهُ‌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7830197_1280447820"/>
      <w:bookmarkStart w:id="457" w:name="_Toc147"/>
      <w:bookmarkEnd w:id="456"/>
      <w:r>
        <w:rPr>
          <w:rtl w:val="true"/>
        </w:rPr>
        <w:t>إجماعُ الإماميّةِ علىٰ وُجوبِ مَعرِفةِ الأئمّةِ عليهم السلام</w:t>
      </w:r>
      <w:bookmarkEnd w:id="457"/>
    </w:p>
    <w:p>
      <w:pPr>
        <w:pStyle w:val="BookText"/>
        <w:rPr/>
      </w:pPr>
      <w:r>
        <w:rPr>
          <w:rFonts w:ascii="Amiri" w:hAnsi="Amiri" w:eastAsia="Amiri" w:cs="Amiri"/>
          <w:color w:val="111111"/>
          <w:sz w:val="28"/>
          <w:sz w:val="28"/>
          <w:szCs w:val="28"/>
          <w:rtl w:val="true"/>
          <w:lang w:bidi="ar-SA"/>
        </w:rPr>
        <w:t>و الذي يَدُلُّ علىٰ أنَّ المَعرِفَةَ بإمامةِ مَن ذَكَرناهم</w:t>
      </w:r>
      <w:r>
        <w:rPr>
          <w:rStyle w:val="FootnoteAnchor"/>
          <w:rtl w:val="true"/>
        </w:rPr>
        <w:footnoteReference w:id="794"/>
      </w:r>
      <w:r>
        <w:rPr>
          <w:rFonts w:ascii="Amiri" w:hAnsi="Amiri" w:eastAsia="Amiri" w:cs="Amiri"/>
          <w:color w:val="111111"/>
          <w:sz w:val="28"/>
          <w:sz w:val="28"/>
          <w:szCs w:val="28"/>
          <w:rtl w:val="true"/>
          <w:lang w:bidi="ar-SA"/>
        </w:rPr>
        <w:t>علَيهم السلامُ مِن جُملَةِ الإيمانِ و أنَّ الإخلالَ بِها كُفرٌ و رُجوعٌ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الشيعةِ الإماميَّةِ علىٰ ذلكَ‌؛ فإنَّهم لا يَختَلِفونَ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إجماعُهم حُجّةٌ‌؛ بدَلالةِ أنَّ قَولَ الحُجَّةِ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دَلَّتِ العُقولُ علىٰ وُجودِه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جُملَتِهم و في زُمرَتِهم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دَلَّلنا علىٰ هذِه الطَّريقَةِ في مَواضِعَ كَثيرةٍ مِن كُتُبِنا، و استَوفَيناها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المَسائلِ التَّبّانيّاتِ‌</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xml:space="preserve">خاصَّةً‌، 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مَا انفَرَدَت به</w:t>
      </w:r>
      <w:r>
        <w:rPr>
          <w:rStyle w:val="FootnoteAnchor"/>
          <w:rtl w:val="true"/>
        </w:rPr>
        <w:footnoteReference w:id="796"/>
      </w:r>
      <w:r>
        <w:rPr>
          <w:rFonts w:ascii="Amiri" w:hAnsi="Amiri" w:eastAsia="Amiri" w:cs="Amiri"/>
          <w:color w:val="111111"/>
          <w:sz w:val="28"/>
          <w:sz w:val="28"/>
          <w:szCs w:val="28"/>
          <w:rtl w:val="true"/>
          <w:lang w:bidi="ar-SA"/>
        </w:rPr>
        <w:t>الشيعةُ الإماميَّةُ مِنَ‌</w:t>
      </w:r>
      <w:r>
        <w:rPr>
          <w:rStyle w:val="FootnoteAnchor"/>
          <w:rtl w:val="true"/>
        </w:rPr>
        <w:footnoteReference w:id="797"/>
      </w:r>
      <w:r>
        <w:rPr>
          <w:rFonts w:ascii="Amiri" w:hAnsi="Amiri" w:eastAsia="Amiri" w:cs="Amiri"/>
          <w:color w:val="111111"/>
          <w:sz w:val="28"/>
          <w:sz w:val="28"/>
          <w:szCs w:val="28"/>
          <w:rtl w:val="true"/>
          <w:lang w:bidi="ar-SA"/>
        </w:rPr>
        <w:t>المَسائلِ الفِقهيَّةِ‌</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فإنَّ هذَا الكِتابَ مَبنيٌّ علىٰ صِحَّةِ هذَا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7830199_1280447820"/>
      <w:bookmarkStart w:id="459" w:name="_Toc148"/>
      <w:bookmarkEnd w:id="458"/>
      <w:r>
        <w:rPr>
          <w:rtl w:val="true"/>
        </w:rPr>
        <w:t>إجماعُ الأُمّةِ علىٰ وجوبِ مَعرفةِ الأئمّةِ عليهم السلام و فَضلِهِم</w:t>
      </w:r>
      <w:bookmarkEnd w:id="45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يُستَدَلَّ‌</w:t>
      </w:r>
      <w:r>
        <w:rPr>
          <w:rStyle w:val="FootnoteAnchor"/>
          <w:rtl w:val="true"/>
        </w:rPr>
        <w:footnoteReference w:id="799"/>
      </w:r>
      <w:r>
        <w:rPr>
          <w:rFonts w:ascii="Amiri" w:hAnsi="Amiri" w:eastAsia="Amiri" w:cs="Amiri"/>
          <w:color w:val="111111"/>
          <w:sz w:val="28"/>
          <w:sz w:val="28"/>
          <w:szCs w:val="28"/>
          <w:rtl w:val="true"/>
          <w:lang w:bidi="ar-SA"/>
        </w:rPr>
        <w:t xml:space="preserve">علىٰ وُجوبِ المَعرِفَةِ بِهِم علَيهم السلامُ بإجماعِ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بَيَّنَّاهُ مِن إجماعِ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جَميعَ أصحابِ الشافعيِّ يَذهَبونَ إلىٰ أنَّ الصلاةَ علىٰ نَبيِّنا محمّدٍ</w:t>
      </w:r>
      <w:r>
        <w:rPr>
          <w:rStyle w:val="FootnoteAnchor"/>
          <w:rtl w:val="true"/>
        </w:rPr>
        <w:footnoteReference w:id="800"/>
      </w:r>
      <w:r>
        <w:rPr>
          <w:rFonts w:ascii="Amiri" w:hAnsi="Amiri" w:eastAsia="Amiri" w:cs="Amiri"/>
          <w:color w:val="111111"/>
          <w:sz w:val="28"/>
          <w:sz w:val="28"/>
          <w:szCs w:val="28"/>
          <w:rtl w:val="true"/>
          <w:lang w:bidi="ar-SA"/>
        </w:rPr>
        <w:t xml:space="preserve">صَلَّى اللّٰهُ علَيه و آلِه في التَّشَهُّدِ الأَخيرِ </w:t>
      </w:r>
    </w:p>
    <w:p>
      <w:pPr>
        <w:pStyle w:val="BookText"/>
        <w:rPr/>
      </w:pPr>
      <w:r>
        <w:rPr>
          <w:rFonts w:ascii="Amiri" w:hAnsi="Amiri" w:eastAsia="Amiri" w:cs="Amiri"/>
          <w:color w:val="111111"/>
          <w:sz w:val="28"/>
          <w:sz w:val="28"/>
          <w:szCs w:val="28"/>
          <w:rtl w:val="true"/>
          <w:lang w:bidi="ar-SA"/>
        </w:rPr>
        <w:t>فَرضٌ واجبٌ و رُكنٌ مِن أركانِ الصَّلاةِ‌، مَتىٰ أخَلَّ به الإنسانُ‌</w:t>
      </w:r>
      <w:r>
        <w:rPr>
          <w:rStyle w:val="FootnoteAnchor"/>
          <w:rtl w:val="true"/>
        </w:rPr>
        <w:footnoteReference w:id="801"/>
      </w:r>
      <w:r>
        <w:rPr>
          <w:rFonts w:ascii="Amiri" w:hAnsi="Amiri" w:eastAsia="Amiri" w:cs="Amiri"/>
          <w:color w:val="111111"/>
          <w:sz w:val="28"/>
          <w:sz w:val="28"/>
          <w:szCs w:val="28"/>
          <w:rtl w:val="true"/>
          <w:lang w:bidi="ar-SA"/>
        </w:rPr>
        <w:t>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أكثَرُهُم يَقولُ‌</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هذا التَّشَهُّدِ علىٰ آلِ النبيِّ علَيهمُ الصلَواتُ‌</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 اللُّزومِ و وُقوفِ إجزاءِ الصَّلاةِ علَيها</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علَى النبيِّ صَلَّى اللّٰهُ عليه</w:t>
      </w:r>
      <w:r>
        <w:rPr>
          <w:rStyle w:val="FootnoteAnchor"/>
          <w:rtl w:val="true"/>
        </w:rPr>
        <w:footnoteReference w:id="805"/>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الباقونَ مِنهم يَذهَبونَ إلىٰ أنَّ الصلاةَ علَى الآلِ مُستَحَبَّةٌ‌، و لَيسَت بواجِبَةٍ‌</w:t>
      </w:r>
      <w:r>
        <w:rPr>
          <w:rFonts w:eastAsia="Amiri" w:cs="Amiri" w:ascii="Amiri" w:hAnsi="Amiri"/>
          <w:color w:val="111111"/>
          <w:sz w:val="28"/>
          <w:szCs w:val="28"/>
          <w:rtl w:val="true"/>
          <w:lang w:bidi="ar-SA"/>
        </w:rPr>
        <w:t>.</w:t>
      </w:r>
      <w:r>
        <w:rPr>
          <w:rStyle w:val="FootnoteAnchor"/>
          <w:rtl w:val="true"/>
        </w:rPr>
        <w:footnoteReference w:id="80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القَولِ الأوَّلِ لا بُدَّ لكُلِّ مَن وَجَبَت علَيه الصلاةُ مِن مَعرفَتِهِم؛ مِن حَيثُ كانَ واجباً علَيه الصَّلاةُ علَيهم؛ فإنَّ‌</w:t>
      </w:r>
      <w:r>
        <w:rPr>
          <w:rStyle w:val="FootnoteAnchor"/>
          <w:rtl w:val="true"/>
        </w:rPr>
        <w:footnoteReference w:id="807"/>
      </w:r>
      <w:r>
        <w:rPr>
          <w:rFonts w:ascii="Amiri" w:hAnsi="Amiri" w:eastAsia="Amiri" w:cs="Amiri"/>
          <w:color w:val="111111"/>
          <w:sz w:val="28"/>
          <w:sz w:val="28"/>
          <w:szCs w:val="28"/>
          <w:rtl w:val="true"/>
          <w:lang w:bidi="ar-SA"/>
        </w:rPr>
        <w:t>الصلاةَ علَيهم فَرعٌ علَى المَعرِفَةِ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ذَهَبَ إلىٰ أنَّ ذلكَ مُستَحَبٌّ فهُوَ مِن جُملةِ العِبادةِ‌، و إن كانَ مَسنوناً مُستَحَبّاً، و التَّعَبُّدُ بِه يَقتَضي التَّعَبُّدَ بِما لا يَتِمُّ إلّابِه مِنَ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عَدا أصحابَ الشافعيِّ لا يُنكِرونَ‌</w:t>
      </w:r>
      <w:r>
        <w:rPr>
          <w:rStyle w:val="FootnoteAnchor"/>
          <w:rtl w:val="true"/>
        </w:rPr>
        <w:footnoteReference w:id="808"/>
      </w:r>
      <w:r>
        <w:rPr>
          <w:rFonts w:ascii="Amiri" w:hAnsi="Amiri" w:eastAsia="Amiri" w:cs="Amiri"/>
          <w:color w:val="111111"/>
          <w:sz w:val="28"/>
          <w:sz w:val="28"/>
          <w:szCs w:val="28"/>
          <w:rtl w:val="true"/>
          <w:lang w:bidi="ar-SA"/>
        </w:rPr>
        <w:t>أنَّ الصَّلاةَ علَى النبيِّ‌</w:t>
      </w:r>
      <w:r>
        <w:rPr>
          <w:rStyle w:val="FootnoteAnchor"/>
          <w:rtl w:val="true"/>
        </w:rPr>
        <w:footnoteReference w:id="809"/>
      </w:r>
      <w:r>
        <w:rPr>
          <w:rFonts w:ascii="Amiri" w:hAnsi="Amiri" w:eastAsia="Amiri" w:cs="Amiri"/>
          <w:color w:val="111111"/>
          <w:sz w:val="28"/>
          <w:sz w:val="28"/>
          <w:szCs w:val="28"/>
          <w:rtl w:val="true"/>
          <w:lang w:bidi="ar-SA"/>
        </w:rPr>
        <w:t>و آلِه عليهمُ السلامُ‌</w:t>
      </w:r>
      <w:r>
        <w:rPr>
          <w:rStyle w:val="FootnoteAnchor"/>
          <w:rtl w:val="true"/>
        </w:rPr>
        <w:footnoteReference w:id="810"/>
      </w:r>
      <w:r>
        <w:rPr>
          <w:rFonts w:ascii="Amiri" w:hAnsi="Amiri" w:eastAsia="Amiri" w:cs="Amiri"/>
          <w:color w:val="111111"/>
          <w:sz w:val="28"/>
          <w:sz w:val="28"/>
          <w:szCs w:val="28"/>
          <w:rtl w:val="true"/>
          <w:lang w:bidi="ar-SA"/>
        </w:rPr>
        <w:t>في التَّشَهُّدِ مُستَحَبَّةٌ‌</w:t>
      </w:r>
      <w:r>
        <w:rPr>
          <w:rFonts w:eastAsia="Amiri" w:cs="Amiri" w:ascii="Amiri" w:hAnsi="Amiri"/>
          <w:color w:val="111111"/>
          <w:sz w:val="28"/>
          <w:szCs w:val="28"/>
          <w:rtl w:val="true"/>
          <w:lang w:bidi="ar-SA"/>
        </w:rPr>
        <w:t>.</w:t>
      </w:r>
      <w:r>
        <w:rPr>
          <w:rStyle w:val="FootnoteAnchor"/>
          <w:rtl w:val="true"/>
        </w:rPr>
        <w:footnoteReference w:id="811"/>
      </w:r>
      <w:bookmarkStart w:id="460" w:name="pg16425_221717"/>
    </w:p>
    <w:p>
      <w:pPr>
        <w:pStyle w:val="BookText"/>
        <w:rPr/>
      </w:pPr>
      <w:bookmarkEnd w:id="460"/>
      <w:r>
        <w:rPr>
          <w:rFonts w:ascii="Amiri" w:hAnsi="Amiri" w:eastAsia="Amiri" w:cs="Amiri"/>
          <w:color w:val="111111"/>
          <w:sz w:val="28"/>
          <w:sz w:val="28"/>
          <w:szCs w:val="28"/>
          <w:rtl w:val="true"/>
          <w:lang w:bidi="ar-SA"/>
        </w:rPr>
        <w:t xml:space="preserve">و أيُّ شُبهَةٍ تَبقىٰ مَعَ هذا في أنَّهُم علَيهمُ السَّلامُ أفضَلُ الناسِ و أجَلُّهُم، و ذِكرُهم واجبٌ في الصلاةِ‌، و عندَ أكثرِ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الإماميّةِ و جُمهورِ أصحابِ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تَبطُلُ بتَركِه‌؟ و هَل مِثلُ‌</w:t>
      </w:r>
      <w:r>
        <w:rPr>
          <w:rStyle w:val="FootnoteAnchor"/>
          <w:rtl w:val="true"/>
        </w:rPr>
        <w:footnoteReference w:id="812"/>
      </w:r>
      <w:r>
        <w:rPr>
          <w:rFonts w:ascii="Amiri" w:hAnsi="Amiri" w:eastAsia="Amiri" w:cs="Amiri"/>
          <w:color w:val="111111"/>
          <w:sz w:val="28"/>
          <w:sz w:val="28"/>
          <w:szCs w:val="28"/>
          <w:rtl w:val="true"/>
          <w:lang w:bidi="ar-SA"/>
        </w:rPr>
        <w:t>هذِه الفَضيلةِ لمَخلوقٍ سِواهُم أو تَتَعدّاهُم</w:t>
      </w:r>
      <w:r>
        <w:rPr>
          <w:rStyle w:val="FootnoteAnchor"/>
          <w:rtl w:val="true"/>
        </w:rPr>
        <w:footnoteReference w:id="81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7830201_1280447820"/>
      <w:bookmarkStart w:id="462" w:name="_Toc149"/>
      <w:bookmarkEnd w:id="461"/>
      <w:r>
        <w:rPr>
          <w:rtl w:val="true"/>
        </w:rPr>
        <w:t>إجماعُ الأُمَّةِ علىٰ لُزومِ تَعظيمِ الأئمّةِ عليهم السلام و إكبارِهِم</w:t>
      </w:r>
      <w:bookmarkEnd w:id="46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يُمكِنُ الِاستِدلالُ بِه علىٰ ذلكَ‌</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أَلهَمَ جَميعَ القُلوبِ و غَرَسَ في كُلِّ النُّفوسِ‌</w:t>
      </w:r>
      <w:r>
        <w:rPr>
          <w:rStyle w:val="FootnoteAnchor"/>
          <w:rtl w:val="true"/>
        </w:rPr>
        <w:footnoteReference w:id="815"/>
      </w:r>
      <w:r>
        <w:rPr>
          <w:rFonts w:ascii="Amiri" w:hAnsi="Amiri" w:eastAsia="Amiri" w:cs="Amiri"/>
          <w:color w:val="111111"/>
          <w:sz w:val="28"/>
          <w:sz w:val="28"/>
          <w:szCs w:val="28"/>
          <w:rtl w:val="true"/>
          <w:lang w:bidi="ar-SA"/>
        </w:rPr>
        <w:t>تَعظيمَ شَأنِهِم و إجلالَ قَدرِهِم علىٰ تَبايُنِ مَذاهِبِهم و اختِلافِ دياناتِهم و نِحَلِهِم، و ما أجمَعَ‌</w:t>
      </w:r>
      <w:r>
        <w:rPr>
          <w:rStyle w:val="FootnoteAnchor"/>
          <w:rtl w:val="true"/>
        </w:rPr>
        <w:footnoteReference w:id="816"/>
      </w:r>
      <w:r>
        <w:rPr>
          <w:rFonts w:ascii="Amiri" w:hAnsi="Amiri" w:eastAsia="Amiri" w:cs="Amiri"/>
          <w:color w:val="111111"/>
          <w:sz w:val="28"/>
          <w:sz w:val="28"/>
          <w:szCs w:val="28"/>
          <w:rtl w:val="true"/>
          <w:lang w:bidi="ar-SA"/>
        </w:rPr>
        <w:t xml:space="preserve">هؤلاءِ المُختَلِفونَ المُتَبايِنونَ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تَشَتُّتِ الأهواءِ و تَشَعُّبِ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 كإجماعِهِم</w:t>
      </w:r>
      <w:r>
        <w:rPr>
          <w:rStyle w:val="FootnoteAnchor"/>
          <w:rtl w:val="true"/>
        </w:rPr>
        <w:footnoteReference w:id="817"/>
      </w:r>
      <w:r>
        <w:rPr>
          <w:rFonts w:ascii="Amiri" w:hAnsi="Amiri" w:eastAsia="Amiri" w:cs="Amiri"/>
          <w:color w:val="111111"/>
          <w:sz w:val="28"/>
          <w:sz w:val="28"/>
          <w:szCs w:val="28"/>
          <w:rtl w:val="true"/>
          <w:lang w:bidi="ar-SA"/>
        </w:rPr>
        <w:t>علىٰ تَعظيمِ مَن</w:t>
      </w:r>
      <w:r>
        <w:rPr>
          <w:rStyle w:val="FootnoteAnchor"/>
          <w:rtl w:val="true"/>
        </w:rPr>
        <w:footnoteReference w:id="818"/>
      </w:r>
      <w:r>
        <w:rPr>
          <w:rFonts w:ascii="Amiri" w:hAnsi="Amiri" w:eastAsia="Amiri" w:cs="Amiri"/>
          <w:color w:val="111111"/>
          <w:sz w:val="28"/>
          <w:sz w:val="28"/>
          <w:szCs w:val="28"/>
          <w:rtl w:val="true"/>
          <w:lang w:bidi="ar-SA"/>
        </w:rPr>
        <w:t>ذَكَرناهُ و إكبارِه</w:t>
      </w:r>
      <w:r>
        <w:rPr>
          <w:rStyle w:val="FootnoteAnchor"/>
          <w:rtl w:val="true"/>
        </w:rPr>
        <w:footnoteReference w:id="819"/>
      </w:r>
      <w:r>
        <w:rPr>
          <w:rFonts w:ascii="Amiri" w:hAnsi="Amiri" w:eastAsia="Amiri" w:cs="Amiri"/>
          <w:color w:val="111111"/>
          <w:sz w:val="28"/>
          <w:sz w:val="28"/>
          <w:szCs w:val="28"/>
          <w:rtl w:val="true"/>
          <w:lang w:bidi="ar-SA"/>
        </w:rPr>
        <w:t>إنَّهم</w:t>
      </w:r>
      <w:r>
        <w:rPr>
          <w:rStyle w:val="FootnoteAnchor"/>
          <w:rtl w:val="true"/>
        </w:rPr>
        <w:footnoteReference w:id="820"/>
      </w:r>
      <w:r>
        <w:rPr>
          <w:rFonts w:ascii="Amiri" w:hAnsi="Amiri" w:eastAsia="Amiri" w:cs="Amiri"/>
          <w:color w:val="111111"/>
          <w:sz w:val="28"/>
          <w:sz w:val="28"/>
          <w:szCs w:val="28"/>
          <w:rtl w:val="true"/>
          <w:lang w:bidi="ar-SA"/>
        </w:rPr>
        <w:t>يَزورُونَ قُبورَهُم، و يَقصِدونَ مِن شاحِطِ</w:t>
      </w:r>
      <w:r>
        <w:rPr>
          <w:rStyle w:val="FootnoteAnchor"/>
          <w:rtl w:val="true"/>
        </w:rPr>
        <w:footnoteReference w:id="821"/>
      </w:r>
      <w:r>
        <w:rPr>
          <w:rFonts w:ascii="Amiri" w:hAnsi="Amiri" w:eastAsia="Amiri" w:cs="Amiri"/>
          <w:color w:val="111111"/>
          <w:sz w:val="28"/>
          <w:sz w:val="28"/>
          <w:szCs w:val="28"/>
          <w:rtl w:val="true"/>
          <w:lang w:bidi="ar-SA"/>
        </w:rPr>
        <w:t>البِلادِ و شاطِّها</w:t>
      </w:r>
      <w:r>
        <w:rPr>
          <w:rStyle w:val="FootnoteAnchor"/>
          <w:rtl w:val="true"/>
        </w:rPr>
        <w:footnoteReference w:id="822"/>
      </w:r>
      <w:r>
        <w:rPr>
          <w:rFonts w:ascii="Amiri" w:hAnsi="Amiri" w:eastAsia="Amiri" w:cs="Amiri"/>
          <w:color w:val="111111"/>
          <w:sz w:val="28"/>
          <w:sz w:val="28"/>
          <w:szCs w:val="28"/>
          <w:rtl w:val="true"/>
          <w:lang w:bidi="ar-SA"/>
        </w:rPr>
        <w:t>مَشاهِدَهم و مَدافِنَهم و المَواضِعَ الَّتي رُسِمَت</w:t>
      </w:r>
      <w:r>
        <w:rPr>
          <w:rStyle w:val="FootnoteAnchor"/>
          <w:rtl w:val="true"/>
        </w:rPr>
        <w:footnoteReference w:id="823"/>
      </w:r>
      <w:r>
        <w:rPr>
          <w:rFonts w:ascii="Amiri" w:hAnsi="Amiri" w:eastAsia="Amiri" w:cs="Amiri"/>
          <w:color w:val="111111"/>
          <w:sz w:val="28"/>
          <w:sz w:val="28"/>
          <w:szCs w:val="28"/>
          <w:rtl w:val="true"/>
          <w:lang w:bidi="ar-SA"/>
        </w:rPr>
        <w:t xml:space="preserve">، بصَلاتِهم فيها و حُلولِهِم بِها، </w:t>
      </w:r>
    </w:p>
    <w:p>
      <w:pPr>
        <w:pStyle w:val="BookText"/>
        <w:rPr/>
      </w:pPr>
      <w:r>
        <w:rPr>
          <w:rFonts w:ascii="Amiri" w:hAnsi="Amiri" w:eastAsia="Amiri" w:cs="Amiri"/>
          <w:color w:val="111111"/>
          <w:sz w:val="28"/>
          <w:sz w:val="28"/>
          <w:szCs w:val="28"/>
          <w:rtl w:val="true"/>
          <w:lang w:bidi="ar-SA"/>
        </w:rPr>
        <w:t>و يُنفِقونَ في ذلكَ الأموالَ‌، و يَستَنفِدونَ‌</w:t>
      </w:r>
      <w:r>
        <w:rPr>
          <w:rStyle w:val="FootnoteAnchor"/>
          <w:rtl w:val="true"/>
        </w:rPr>
        <w:footnoteReference w:id="824"/>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خَبَّرَني</w:t>
      </w:r>
      <w:r>
        <w:rPr>
          <w:rStyle w:val="FootnoteAnchor"/>
          <w:rtl w:val="true"/>
        </w:rPr>
        <w:footnoteReference w:id="825"/>
      </w:r>
      <w:r>
        <w:rPr>
          <w:rFonts w:ascii="Amiri" w:hAnsi="Amiri" w:eastAsia="Amiri" w:cs="Amiri"/>
          <w:color w:val="111111"/>
          <w:sz w:val="28"/>
          <w:sz w:val="28"/>
          <w:szCs w:val="28"/>
          <w:rtl w:val="true"/>
          <w:lang w:bidi="ar-SA"/>
        </w:rPr>
        <w:t>مَن لا أُحصيهِ كَثرةً أنَّ أهلَ نَيسابورَ و ما</w:t>
      </w:r>
      <w:r>
        <w:rPr>
          <w:rStyle w:val="FootnoteAnchor"/>
          <w:rtl w:val="true"/>
        </w:rPr>
        <w:footnoteReference w:id="826"/>
      </w:r>
      <w:r>
        <w:rPr>
          <w:rFonts w:ascii="Amiri" w:hAnsi="Amiri" w:eastAsia="Amiri" w:cs="Amiri"/>
          <w:color w:val="111111"/>
          <w:sz w:val="28"/>
          <w:sz w:val="28"/>
          <w:szCs w:val="28"/>
          <w:rtl w:val="true"/>
          <w:lang w:bidi="ar-SA"/>
        </w:rPr>
        <w:t xml:space="preserve">والاها مِن تِلكَ البُلدانِ يَخرُجونَ في كُلِّ سَنَةٍ إلىٰ طوسَ لِزِيارةِ الإمامِ أبي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بالجِمالِ الكَثيرةِ و الأُهَبِ‌</w:t>
      </w:r>
      <w:r>
        <w:rPr>
          <w:rStyle w:val="FootnoteAnchor"/>
          <w:rtl w:val="true"/>
        </w:rPr>
        <w:footnoteReference w:id="828"/>
      </w:r>
      <w:r>
        <w:rPr>
          <w:rFonts w:ascii="Amiri" w:hAnsi="Amiri" w:eastAsia="Amiri" w:cs="Amiri"/>
          <w:color w:val="111111"/>
          <w:sz w:val="28"/>
          <w:sz w:val="28"/>
          <w:szCs w:val="28"/>
          <w:rtl w:val="true"/>
          <w:lang w:bidi="ar-SA"/>
        </w:rPr>
        <w:t>التي لا يُوجَدُ مِثلُها إلّاللحَجِّ إلىٰ بَيتِ اللّٰهِ الحَرامِ‌</w:t>
      </w:r>
      <w:r>
        <w:rPr>
          <w:rStyle w:val="FootnoteAnchor"/>
          <w:rtl w:val="true"/>
        </w:rPr>
        <w:footnoteReference w:id="829"/>
      </w:r>
      <w:r>
        <w:rPr>
          <w:rFonts w:ascii="IRNazanin" w:hAnsi="IRNazanin" w:eastAsia="IRNazanin"/>
          <w:color w:val="111111"/>
          <w:sz w:val="28"/>
          <w:sz w:val="28"/>
          <w:szCs w:val="28"/>
          <w:rtl w:val="true"/>
          <w:lang w:bidi="fa-IR"/>
        </w:rPr>
        <w:t>هذا</w:t>
      </w:r>
      <w:r>
        <w:rPr>
          <w:rStyle w:val="FootnoteAnchor"/>
          <w:rtl w:val="true"/>
        </w:rPr>
        <w:footnoteReference w:id="830"/>
      </w:r>
      <w:r>
        <w:rPr>
          <w:rFonts w:ascii="Amiri" w:hAnsi="Amiri" w:eastAsia="Amiri" w:cs="Amiri"/>
          <w:color w:val="111111"/>
          <w:sz w:val="28"/>
          <w:sz w:val="28"/>
          <w:szCs w:val="28"/>
          <w:rtl w:val="true"/>
          <w:lang w:bidi="ar-SA"/>
        </w:rPr>
        <w:t>مَعَ المَعروفِ مِنِ انحِرافِ أهلِ خُراسانَ عَن هذِه الجِهةِ و ازوِرارِهِم</w:t>
      </w:r>
      <w:r>
        <w:rPr>
          <w:rStyle w:val="FootnoteAnchor"/>
          <w:rtl w:val="true"/>
        </w:rPr>
        <w:footnoteReference w:id="831"/>
      </w:r>
      <w:r>
        <w:rPr>
          <w:rFonts w:ascii="Amiri" w:hAnsi="Amiri" w:eastAsia="Amiri" w:cs="Amiri"/>
          <w:color w:val="111111"/>
          <w:sz w:val="28"/>
          <w:sz w:val="28"/>
          <w:szCs w:val="28"/>
          <w:rtl w:val="true"/>
          <w:lang w:bidi="ar-SA"/>
        </w:rPr>
        <w:t>عَن هذَا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تَسخيرُ هذِه القُلوبِ القاسية و عَطفُ هذِه الأُمَمِ النائيةِ‌</w:t>
      </w:r>
      <w:r>
        <w:rPr>
          <w:rStyle w:val="FootnoteAnchor"/>
          <w:rtl w:val="true"/>
        </w:rPr>
        <w:footnoteReference w:id="832"/>
      </w:r>
      <w:r>
        <w:rPr>
          <w:rFonts w:ascii="Amiri" w:hAnsi="Amiri" w:eastAsia="Amiri" w:cs="Amiri"/>
          <w:color w:val="111111"/>
          <w:sz w:val="28"/>
          <w:sz w:val="28"/>
          <w:szCs w:val="28"/>
          <w:rtl w:val="true"/>
          <w:lang w:bidi="ar-SA"/>
        </w:rPr>
        <w:t>إلّاكالخارِقِ للعاداتِ و الخارِجِ‌</w:t>
      </w:r>
      <w:r>
        <w:rPr>
          <w:rStyle w:val="FootnoteAnchor"/>
          <w:rtl w:val="true"/>
        </w:rPr>
        <w:footnoteReference w:id="833"/>
      </w:r>
      <w:r>
        <w:rPr>
          <w:rFonts w:ascii="Amiri" w:hAnsi="Amiri" w:eastAsia="Amiri" w:cs="Amiri"/>
          <w:color w:val="111111"/>
          <w:sz w:val="28"/>
          <w:sz w:val="28"/>
          <w:szCs w:val="28"/>
          <w:rtl w:val="true"/>
          <w:lang w:bidi="ar-SA"/>
        </w:rPr>
        <w:t>عنِ الأُمورِ المألوفاتِ‌؛ و إلّافمَا الحامِلُ‌</w:t>
      </w:r>
      <w:r>
        <w:rPr>
          <w:rStyle w:val="FootnoteAnchor"/>
          <w:rtl w:val="true"/>
        </w:rPr>
        <w:footnoteReference w:id="834"/>
      </w:r>
      <w:r>
        <w:rPr>
          <w:rFonts w:ascii="Amiri" w:hAnsi="Amiri" w:eastAsia="Amiri" w:cs="Amiri"/>
          <w:color w:val="111111"/>
          <w:sz w:val="28"/>
          <w:sz w:val="28"/>
          <w:szCs w:val="28"/>
          <w:rtl w:val="true"/>
          <w:lang w:bidi="ar-SA"/>
        </w:rPr>
        <w:t>للمُخالِفينَ لهذهِ النِّحلَةِ المُنحازينَ عَن هذهِ الجُملةِ علىٰ أن يُراوِحوا هذِه المَشاهدَ و يُغادوها، و يَستَنزِلوا عندَها مِنَ اللّٰهِ تَعالَى الأَرزاقَ‌، و يَستَفتِحوا</w:t>
      </w:r>
      <w:r>
        <w:rPr>
          <w:rStyle w:val="FootnoteAnchor"/>
          <w:rtl w:val="true"/>
        </w:rPr>
        <w:footnoteReference w:id="835"/>
      </w:r>
      <w:r>
        <w:rPr>
          <w:rFonts w:ascii="IRNazanin" w:hAnsi="IRNazanin" w:eastAsia="IRNazanin"/>
          <w:color w:val="111111"/>
          <w:sz w:val="28"/>
          <w:sz w:val="28"/>
          <w:szCs w:val="28"/>
          <w:rtl w:val="true"/>
          <w:lang w:bidi="fa-IR"/>
        </w:rPr>
        <w:t>بها</w:t>
      </w:r>
      <w:r>
        <w:rPr>
          <w:rStyle w:val="FootnoteAnchor"/>
          <w:rtl w:val="true"/>
        </w:rPr>
        <w:footnoteReference w:id="836"/>
      </w:r>
      <w:bookmarkStart w:id="463" w:name="pg16425_221719"/>
    </w:p>
    <w:p>
      <w:pPr>
        <w:pStyle w:val="BookText"/>
        <w:rPr/>
      </w:pPr>
      <w:bookmarkEnd w:id="463"/>
      <w:r>
        <w:rPr>
          <w:rFonts w:ascii="Amiri" w:hAnsi="Amiri" w:eastAsia="Amiri" w:cs="Amiri"/>
          <w:color w:val="111111"/>
          <w:sz w:val="28"/>
          <w:sz w:val="28"/>
          <w:szCs w:val="28"/>
          <w:rtl w:val="true"/>
          <w:lang w:bidi="ar-SA"/>
        </w:rPr>
        <w:t>الأغلاقَ‌، و يَطلُبوا بِبَرَكاتِها الحاجاتِ‌، و يَستَدفِعوا</w:t>
      </w:r>
      <w:r>
        <w:rPr>
          <w:rStyle w:val="FootnoteAnchor"/>
          <w:rtl w:val="true"/>
        </w:rPr>
        <w:footnoteReference w:id="837"/>
      </w:r>
      <w:r>
        <w:rPr>
          <w:rFonts w:ascii="Amiri" w:hAnsi="Amiri" w:eastAsia="Amiri" w:cs="Amiri"/>
          <w:color w:val="111111"/>
          <w:sz w:val="28"/>
          <w:sz w:val="28"/>
          <w:szCs w:val="28"/>
          <w:rtl w:val="true"/>
          <w:lang w:bidi="ar-SA"/>
        </w:rPr>
        <w:t>البَليّاتِ‌؛ و الأحوالُ الظاهرةُ كُلُّها لا توجِبُ ذلكَ‌، و لا تَقتَضيهِ‌، و لا تَستَدعِيهِ‌</w:t>
      </w:r>
      <w:r>
        <w:rPr>
          <w:rStyle w:val="FootnoteAnchor"/>
          <w:rtl w:val="true"/>
        </w:rPr>
        <w:footnoteReference w:id="838"/>
      </w:r>
      <w:r>
        <w:rPr>
          <w:rFonts w:ascii="Amiri" w:hAnsi="Amiri" w:eastAsia="Amiri" w:cs="Amiri"/>
          <w:color w:val="111111"/>
          <w:sz w:val="28"/>
          <w:sz w:val="28"/>
          <w:szCs w:val="28"/>
          <w:rtl w:val="true"/>
          <w:lang w:bidi="ar-SA"/>
        </w:rPr>
        <w:t xml:space="preserve">و ألّا فَعَلوا ذلكَ فيمَن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Style w:val="FootnoteAnchor"/>
          <w:rtl w:val="true"/>
        </w:rPr>
        <w:footnoteReference w:id="839"/>
      </w:r>
      <w:r>
        <w:rPr>
          <w:rFonts w:ascii="Amiri" w:hAnsi="Amiri" w:eastAsia="Amiri" w:cs="Amiri"/>
          <w:color w:val="111111"/>
          <w:sz w:val="28"/>
          <w:sz w:val="28"/>
          <w:szCs w:val="28"/>
          <w:rtl w:val="true"/>
          <w:lang w:bidi="ar-SA"/>
        </w:rPr>
        <w:t>أو أكثَرُهُم</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إمامَتَه و فَرضَ طاعَتِه، و أنَّهُ في الدِّيانةِ مُوافِقٌ لَهُم غَيرُ مُخالِفٍ‌، و مُساعِدٌ غَيرُ 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المُحالِ أن يَكونوا فَعَلوا ذلكَ لِداعٍ مِن دَواعِي الدنيا؛ فإنَّ‌</w:t>
      </w:r>
      <w:r>
        <w:rPr>
          <w:rStyle w:val="FootnoteAnchor"/>
          <w:rtl w:val="true"/>
        </w:rPr>
        <w:footnoteReference w:id="841"/>
      </w:r>
      <w:r>
        <w:rPr>
          <w:rFonts w:ascii="Amiri" w:hAnsi="Amiri" w:eastAsia="Amiri" w:cs="Amiri"/>
          <w:color w:val="111111"/>
          <w:sz w:val="28"/>
          <w:sz w:val="28"/>
          <w:szCs w:val="28"/>
          <w:rtl w:val="true"/>
          <w:lang w:bidi="ar-SA"/>
        </w:rPr>
        <w:t>الدُّنيا عندَ غَيرِ هذِه الطائفةِ مَوجودَةٌ‌، و عندَها هيَ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لتَقِيَّةٍ و استِصلاحٍ‌؛ فإنَّ التَّقِيَّةَ هيَ فيهِم، لا مِنهُم، و لا خَوفَ مِن جِهَتِهم، و لا سُلطانَ لَهُم، و كُلُّ خَوفٍ إنَّما هوَ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إلّاداعِي الدِّينِ‌؛ و ذلكَ هوَ الأمرُ الغَريبُ العَجيبُ الذي لا يَنفُذُ في مِثلِه إلّا مَشيَّةُ اللّٰهِ‌، و قُدرَةُ القادِرِ</w:t>
      </w:r>
      <w:r>
        <w:rPr>
          <w:rStyle w:val="FootnoteAnchor"/>
          <w:rtl w:val="true"/>
        </w:rPr>
        <w:footnoteReference w:id="842"/>
      </w:r>
      <w:r>
        <w:rPr>
          <w:rFonts w:ascii="Amiri" w:hAnsi="Amiri" w:eastAsia="Amiri" w:cs="Amiri"/>
          <w:color w:val="111111"/>
          <w:sz w:val="28"/>
          <w:sz w:val="28"/>
          <w:szCs w:val="28"/>
          <w:rtl w:val="true"/>
          <w:lang w:bidi="ar-SA"/>
        </w:rPr>
        <w:t>القَهّارِ التي تُذَلِّلُ الصِّعابَ و تَقودُ بأَزِمَّتِها الرِّقابَ‌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7830203_1280447820"/>
      <w:bookmarkStart w:id="465" w:name="_Toc150"/>
      <w:bookmarkEnd w:id="464"/>
      <w:r>
        <w:rPr>
          <w:rtl w:val="true"/>
        </w:rPr>
        <w:t>دَفعُ شُبهةٍ في المَقامِ‌</w:t>
      </w:r>
      <w:bookmarkEnd w:id="46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لِمَن جَهِلَ هذِه المَزِيَّةَ أو تَجاهَلَها و</w:t>
      </w:r>
      <w:r>
        <w:rPr>
          <w:rStyle w:val="FootnoteAnchor"/>
          <w:rtl w:val="true"/>
        </w:rPr>
        <w:footnoteReference w:id="843"/>
      </w:r>
      <w:r>
        <w:rPr>
          <w:rFonts w:ascii="Amiri" w:hAnsi="Amiri" w:eastAsia="Amiri" w:cs="Amiri"/>
          <w:color w:val="111111"/>
          <w:sz w:val="28"/>
          <w:sz w:val="28"/>
          <w:szCs w:val="28"/>
          <w:rtl w:val="true"/>
          <w:lang w:bidi="ar-SA"/>
        </w:rPr>
        <w:t>تَعامىٰ عَنها و هو يُبصِرُها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تَعظيمِ غَيرِ فِرَقِ الشيعةِ لهؤُلاءِ القَومِ لَيسَت ما عَظَّمتُموه</w:t>
      </w:r>
      <w:r>
        <w:rPr>
          <w:rStyle w:val="FootnoteAnchor"/>
          <w:rtl w:val="true"/>
        </w:rPr>
        <w:footnoteReference w:id="844"/>
      </w:r>
      <w:r>
        <w:rPr>
          <w:rFonts w:ascii="Amiri" w:hAnsi="Amiri" w:eastAsia="Amiri" w:cs="Amiri"/>
          <w:color w:val="111111"/>
          <w:sz w:val="28"/>
          <w:sz w:val="28"/>
          <w:szCs w:val="28"/>
          <w:rtl w:val="true"/>
          <w:lang w:bidi="ar-SA"/>
        </w:rPr>
        <w:t>و فَخَّمتُموه و ادَّعَيتُم خَرقَهُ للعادَةِ و خُروجَهُ عن</w:t>
      </w:r>
      <w:r>
        <w:rPr>
          <w:rStyle w:val="FootnoteAnchor"/>
          <w:rtl w:val="true"/>
        </w:rPr>
        <w:footnoteReference w:id="845"/>
      </w:r>
      <w:r>
        <w:rPr>
          <w:rFonts w:ascii="Amiri" w:hAnsi="Amiri" w:eastAsia="Amiri" w:cs="Amiri"/>
          <w:color w:val="111111"/>
          <w:sz w:val="28"/>
          <w:sz w:val="28"/>
          <w:szCs w:val="28"/>
          <w:rtl w:val="true"/>
          <w:lang w:bidi="ar-SA"/>
        </w:rPr>
        <w:t xml:space="preserve">الطبيعةِ‌؛ بَل هيَ لأنَّ هؤُلاءِ القَومَ‌ </w:t>
      </w:r>
    </w:p>
    <w:p>
      <w:pPr>
        <w:pStyle w:val="BookText"/>
        <w:rPr/>
      </w:pPr>
      <w:r>
        <w:rPr>
          <w:rFonts w:ascii="Amiri" w:hAnsi="Amiri" w:eastAsia="Amiri" w:cs="Amiri"/>
          <w:color w:val="111111"/>
          <w:sz w:val="28"/>
          <w:sz w:val="28"/>
          <w:szCs w:val="28"/>
          <w:rtl w:val="true"/>
          <w:lang w:bidi="ar-SA"/>
        </w:rPr>
        <w:t>مِن عِترَةِ النَّبيِّ صَلَّى اللّٰهُ علَيه و آلِه، و كُلُّ مَن عَظَّمَ النَّبيَّ صَلَّى اللّٰهُ علَيه و آلِه فَلا بُدَّ مِن أن يَكونَ لِعِترَتِه و أهلِ بَيتِه مُعَظِّماً مُكَرِّماً؛ و إذَا انضافَ إلَى القَرابةِ الزُّهدُ و هَجرُ الدُّنيا و العِفَّةُ‌</w:t>
      </w:r>
      <w:r>
        <w:rPr>
          <w:rStyle w:val="FootnoteAnchor"/>
          <w:rtl w:val="true"/>
        </w:rPr>
        <w:footnoteReference w:id="846"/>
      </w:r>
      <w:r>
        <w:rPr>
          <w:rFonts w:ascii="Amiri" w:hAnsi="Amiri" w:eastAsia="Amiri" w:cs="Amiri"/>
          <w:color w:val="111111"/>
          <w:sz w:val="28"/>
          <w:sz w:val="28"/>
          <w:szCs w:val="28"/>
          <w:rtl w:val="true"/>
          <w:lang w:bidi="ar-SA"/>
        </w:rPr>
        <w:t>و العِلمُ‌، زادَ الإجلالُ و الإكرامُ‌</w:t>
      </w:r>
      <w:r>
        <w:rPr>
          <w:rStyle w:val="FootnoteAnchor"/>
          <w:rtl w:val="true"/>
        </w:rPr>
        <w:footnoteReference w:id="847"/>
      </w:r>
      <w:r>
        <w:rPr>
          <w:rFonts w:ascii="Amiri" w:hAnsi="Amiri" w:eastAsia="Amiri" w:cs="Amiri"/>
          <w:color w:val="111111"/>
          <w:sz w:val="28"/>
          <w:sz w:val="28"/>
          <w:szCs w:val="28"/>
          <w:rtl w:val="true"/>
          <w:lang w:bidi="ar-SA"/>
        </w:rPr>
        <w:t>لزيادةِ أسبابِهِما</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هذِه الشُّبهَةِ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شارَكَ أئمَّتَنا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حَسَبِهِم و نَسَبِهِم</w:t>
      </w:r>
      <w:r>
        <w:rPr>
          <w:rStyle w:val="FootnoteAnchor"/>
          <w:rtl w:val="true"/>
        </w:rPr>
        <w:footnoteReference w:id="849"/>
      </w:r>
      <w:r>
        <w:rPr>
          <w:rFonts w:ascii="Amiri" w:hAnsi="Amiri" w:eastAsia="Amiri" w:cs="Amiri"/>
          <w:color w:val="111111"/>
          <w:sz w:val="28"/>
          <w:sz w:val="28"/>
          <w:szCs w:val="28"/>
          <w:rtl w:val="true"/>
          <w:lang w:bidi="ar-SA"/>
        </w:rPr>
        <w:t>و قَرابَتِهم</w:t>
      </w:r>
      <w:r>
        <w:rPr>
          <w:rStyle w:val="FootnoteAnchor"/>
          <w:rtl w:val="true"/>
        </w:rPr>
        <w:footnoteReference w:id="850"/>
      </w:r>
      <w:r>
        <w:rPr>
          <w:rFonts w:ascii="Amiri" w:hAnsi="Amiri" w:eastAsia="Amiri" w:cs="Amiri"/>
          <w:color w:val="111111"/>
          <w:sz w:val="28"/>
          <w:sz w:val="28"/>
          <w:szCs w:val="28"/>
          <w:rtl w:val="true"/>
          <w:lang w:bidi="ar-SA"/>
        </w:rPr>
        <w:t>مِنَ النَّبيِّ صَلَّى اللّٰهُ علَيه و آلِه</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و كانَت لِكَثيرٍ مِنهُم عِباداتٌ ظاهرَةٌ‌، و زَهادَةٌ في الدنيا باديةٌ‌، و سِماتٌ جَميلَةٌ‌، و صِفاتٌ حَسَنَةٌ‌، مِن وُلدِ أَبيهِم علَيه و آلِه السَّلامُ‌</w:t>
      </w:r>
      <w:r>
        <w:rPr>
          <w:rStyle w:val="FootnoteAnchor"/>
          <w:rtl w:val="true"/>
        </w:rPr>
        <w:footnoteReference w:id="852"/>
      </w:r>
      <w:r>
        <w:rPr>
          <w:rFonts w:ascii="Amiri" w:hAnsi="Amiri" w:eastAsia="Amiri" w:cs="Amiri"/>
          <w:color w:val="111111"/>
          <w:sz w:val="28"/>
          <w:sz w:val="28"/>
          <w:szCs w:val="28"/>
          <w:rtl w:val="true"/>
          <w:lang w:bidi="ar-SA"/>
        </w:rPr>
        <w:t>، و مِن وُلدِ عَمِّهِم</w:t>
      </w:r>
      <w:r>
        <w:rPr>
          <w:rStyle w:val="FootnoteAnchor"/>
          <w:rtl w:val="true"/>
        </w:rPr>
        <w:footnoteReference w:id="853"/>
      </w:r>
      <w:r>
        <w:rPr>
          <w:rFonts w:ascii="Amiri" w:hAnsi="Amiri" w:eastAsia="Amiri" w:cs="Amiri"/>
          <w:color w:val="111111"/>
          <w:sz w:val="28"/>
          <w:sz w:val="28"/>
          <w:szCs w:val="28"/>
          <w:rtl w:val="true"/>
          <w:lang w:bidi="ar-SA"/>
        </w:rPr>
        <w:t>العَبّاسِ رِضوانُ اللّٰهِ علَيه</w:t>
      </w:r>
      <w:r>
        <w:rPr>
          <w:rStyle w:val="FootnoteAnchor"/>
          <w:rtl w:val="true"/>
        </w:rPr>
        <w:footnoteReference w:id="854"/>
      </w:r>
      <w:r>
        <w:rPr>
          <w:rFonts w:ascii="Amiri" w:hAnsi="Amiri" w:eastAsia="Amiri" w:cs="Amiri"/>
          <w:color w:val="111111"/>
          <w:sz w:val="28"/>
          <w:sz w:val="28"/>
          <w:szCs w:val="28"/>
          <w:rtl w:val="true"/>
          <w:lang w:bidi="ar-SA"/>
        </w:rPr>
        <w:t>فَما رَأَينا مِنَ الإجماعِ علىٰ تَعظيمِهِم، و زيارَةِ مَدافِنِهم، و الِاستِشفاعِ بِهِم في الأَغراضِ‌، و الِاستِدفاعِ بمَكانِهِم للأَعراضِ‌</w:t>
      </w:r>
      <w:r>
        <w:rPr>
          <w:rStyle w:val="FootnoteAnchor"/>
          <w:rtl w:val="true"/>
        </w:rPr>
        <w:footnoteReference w:id="855"/>
      </w:r>
      <w:r>
        <w:rPr>
          <w:rFonts w:ascii="Amiri" w:hAnsi="Amiri" w:eastAsia="Amiri" w:cs="Amiri"/>
          <w:color w:val="111111"/>
          <w:sz w:val="28"/>
          <w:sz w:val="28"/>
          <w:szCs w:val="28"/>
          <w:rtl w:val="true"/>
          <w:lang w:bidi="ar-SA"/>
        </w:rPr>
        <w:t>و الأَمراضِ‌، و ما وَجَدنا مُشاهَداً مُعايَناً في هذَا الشِّراكِ‌</w:t>
      </w:r>
      <w:r>
        <w:rPr>
          <w:rStyle w:val="FootnoteAnchor"/>
          <w:rtl w:val="true"/>
        </w:rPr>
        <w:footnoteReference w:id="856"/>
      </w:r>
      <w:r>
        <w:rPr>
          <w:rFonts w:ascii="Amiri" w:hAnsi="Amiri" w:eastAsia="Amiri" w:cs="Amiri"/>
          <w:color w:val="111111"/>
          <w:sz w:val="28"/>
          <w:sz w:val="28"/>
          <w:szCs w:val="28"/>
          <w:rtl w:val="true"/>
          <w:lang w:bidi="ar-SA"/>
        </w:rPr>
        <w:t>، و إلّا</w:t>
      </w:r>
      <w:r>
        <w:rPr>
          <w:rStyle w:val="FootnoteAnchor"/>
          <w:rtl w:val="true"/>
        </w:rPr>
        <w:footnoteReference w:id="857"/>
      </w:r>
      <w:r>
        <w:rPr>
          <w:rFonts w:ascii="Amiri" w:hAnsi="Amiri" w:eastAsia="Amiri" w:cs="Amiri"/>
          <w:color w:val="111111"/>
          <w:sz w:val="28"/>
          <w:sz w:val="28"/>
          <w:szCs w:val="28"/>
          <w:rtl w:val="true"/>
          <w:lang w:bidi="ar-SA"/>
        </w:rPr>
        <w:t>فمَن ذَا</w:t>
      </w:r>
      <w:r>
        <w:rPr>
          <w:rStyle w:val="FootnoteAnchor"/>
          <w:rtl w:val="true"/>
        </w:rPr>
        <w:footnoteReference w:id="858"/>
      </w:r>
      <w:r>
        <w:rPr>
          <w:rFonts w:ascii="Amiri" w:hAnsi="Amiri" w:eastAsia="Amiri" w:cs="Amiri"/>
          <w:color w:val="111111"/>
          <w:sz w:val="28"/>
          <w:sz w:val="28"/>
          <w:szCs w:val="28"/>
          <w:rtl w:val="true"/>
          <w:lang w:bidi="ar-SA"/>
        </w:rPr>
        <w:t xml:space="preserve">الذي أُجمِعَ علىٰ فَرطِ إعظامِه و إجلالِه </w:t>
      </w:r>
    </w:p>
    <w:p>
      <w:pPr>
        <w:pStyle w:val="BookText"/>
        <w:rPr/>
      </w:pPr>
      <w:r>
        <w:rPr>
          <w:rFonts w:ascii="Amiri" w:hAnsi="Amiri" w:eastAsia="Amiri" w:cs="Amiri"/>
          <w:color w:val="111111"/>
          <w:sz w:val="28"/>
          <w:sz w:val="28"/>
          <w:szCs w:val="28"/>
          <w:rtl w:val="true"/>
          <w:lang w:bidi="ar-SA"/>
        </w:rPr>
        <w:t>مِن سائرِ صُنوفِ العِترةِ يَجري في هذِه الحالِ مَجرَى</w:t>
      </w:r>
      <w:r>
        <w:rPr>
          <w:rStyle w:val="FootnoteAnchor"/>
          <w:rtl w:val="true"/>
        </w:rPr>
        <w:footnoteReference w:id="859"/>
      </w:r>
      <w:r>
        <w:rPr>
          <w:rFonts w:ascii="Amiri" w:hAnsi="Amiri" w:eastAsia="Amiri" w:cs="Amiri"/>
          <w:color w:val="111111"/>
          <w:sz w:val="28"/>
          <w:sz w:val="28"/>
          <w:szCs w:val="28"/>
          <w:rtl w:val="true"/>
          <w:lang w:bidi="ar-SA"/>
        </w:rPr>
        <w:t>الباقِرِ و الصادِقِ و الكاظِمِ و الرِّضا،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عَدا مَن ذَكَرناهُ‌</w:t>
      </w:r>
      <w:r>
        <w:rPr>
          <w:rStyle w:val="FootnoteAnchor"/>
          <w:rtl w:val="true"/>
        </w:rPr>
        <w:footnoteReference w:id="860"/>
      </w:r>
      <w:r>
        <w:rPr>
          <w:rFonts w:ascii="Amiri" w:hAnsi="Amiri" w:eastAsia="Amiri" w:cs="Amiri"/>
          <w:color w:val="111111"/>
          <w:sz w:val="28"/>
          <w:sz w:val="28"/>
          <w:szCs w:val="28"/>
          <w:rtl w:val="true"/>
          <w:lang w:bidi="ar-SA"/>
        </w:rPr>
        <w:t xml:space="preserve">مِن صُلَحاءِ العِترَةِ و زُهّادِها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يُعَظِّمُه فَريقٌ مِنَ الأُمَّةِ و يُعرِضُ عَنهُ فَريقٌ‌، و مَن عَظَّمَه مِنهُم و قَدَّمَه لا يَنتَهي في الإجلالِ و الإعظامِ إلَى الغايةِ التي يَنتَهي</w:t>
      </w:r>
      <w:r>
        <w:rPr>
          <w:rStyle w:val="FootnoteAnchor"/>
          <w:rtl w:val="true"/>
        </w:rPr>
        <w:footnoteReference w:id="861"/>
      </w:r>
      <w:r>
        <w:rPr>
          <w:rFonts w:ascii="Amiri" w:hAnsi="Amiri" w:eastAsia="Amiri" w:cs="Amiri"/>
          <w:color w:val="111111"/>
          <w:sz w:val="28"/>
          <w:sz w:val="28"/>
          <w:szCs w:val="28"/>
          <w:rtl w:val="true"/>
          <w:lang w:bidi="ar-SA"/>
        </w:rPr>
        <w:t>إلَيها مَن</w:t>
      </w:r>
      <w:r>
        <w:rPr>
          <w:rStyle w:val="FootnoteAnchor"/>
          <w:rtl w:val="true"/>
        </w:rPr>
        <w:footnoteReference w:id="862"/>
      </w:r>
      <w:r>
        <w:rPr>
          <w:rFonts w:ascii="Amiri" w:hAnsi="Amiri" w:eastAsia="Amiri" w:cs="Amiri"/>
          <w:color w:val="111111"/>
          <w:sz w:val="28"/>
          <w:sz w:val="28"/>
          <w:szCs w:val="28"/>
          <w:rtl w:val="true"/>
          <w:lang w:bidi="ar-SA"/>
        </w:rPr>
        <w:t>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أنَّ تَفصيلَ‌</w:t>
      </w:r>
      <w:r>
        <w:rPr>
          <w:rStyle w:val="FootnoteAnchor"/>
          <w:rtl w:val="true"/>
        </w:rPr>
        <w:footnoteReference w:id="863"/>
      </w:r>
      <w:r>
        <w:rPr>
          <w:rFonts w:ascii="Amiri" w:hAnsi="Amiri" w:eastAsia="Amiri" w:cs="Amiri"/>
          <w:color w:val="111111"/>
          <w:sz w:val="28"/>
          <w:sz w:val="28"/>
          <w:szCs w:val="28"/>
          <w:rtl w:val="true"/>
          <w:lang w:bidi="ar-SA"/>
        </w:rPr>
        <w:t>هذِه الجُملةِ مَلحوظٌ مَعلومٌ لَفَصَّلناها علىٰ طولِ ذلكَ‌، و لأَسمَينا</w:t>
      </w:r>
      <w:r>
        <w:rPr>
          <w:rStyle w:val="FootnoteAnchor"/>
          <w:rtl w:val="true"/>
        </w:rPr>
        <w:footnoteReference w:id="864"/>
      </w:r>
      <w:r>
        <w:rPr>
          <w:rFonts w:ascii="Amiri" w:hAnsi="Amiri" w:eastAsia="Amiri" w:cs="Amiri"/>
          <w:color w:val="111111"/>
          <w:sz w:val="28"/>
          <w:sz w:val="28"/>
          <w:szCs w:val="28"/>
          <w:rtl w:val="true"/>
          <w:lang w:bidi="ar-SA"/>
        </w:rPr>
        <w:t>مَن كَنَّينا عَنه، و نَظَّرنا بَينَ كُلِّ مُعَظَّمٍ مُقَدَّمٍ مِنَ العِترَةِ‌؛ لِيُعلَمَ أنَّ الَّذي ذَكَرناهُ هوَ الحَقُّ الواضِحُ‌، و ما عَداهُ هوَ الباطِلُ الماصِحُ‌</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فمَعلومٌ ضَرورةً أنَّ الباقِرَ و الصادقَ و مَن وَلِيَهُما</w:t>
      </w:r>
      <w:r>
        <w:rPr>
          <w:rStyle w:val="FootnoteAnchor"/>
          <w:rtl w:val="true"/>
        </w:rPr>
        <w:footnoteReference w:id="866"/>
      </w:r>
      <w:r>
        <w:rPr>
          <w:rFonts w:ascii="Amiri" w:hAnsi="Amiri" w:eastAsia="Amiri" w:cs="Amiri"/>
          <w:color w:val="111111"/>
          <w:sz w:val="28"/>
          <w:sz w:val="28"/>
          <w:szCs w:val="28"/>
          <w:rtl w:val="true"/>
          <w:lang w:bidi="ar-SA"/>
        </w:rPr>
        <w:t>مِنَ الأئمَّةِ‌</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الدِّيانَةِ و الاعتقادِ و ما يُفتونَ مِن حَلالٍ و</w:t>
      </w:r>
      <w:r>
        <w:rPr>
          <w:rStyle w:val="FootnoteAnchor"/>
          <w:rtl w:val="true"/>
        </w:rPr>
        <w:footnoteReference w:id="868"/>
      </w:r>
      <w:r>
        <w:rPr>
          <w:rFonts w:ascii="Amiri" w:hAnsi="Amiri" w:eastAsia="Amiri" w:cs="Amiri"/>
          <w:color w:val="111111"/>
          <w:sz w:val="28"/>
          <w:sz w:val="28"/>
          <w:szCs w:val="28"/>
          <w:rtl w:val="true"/>
          <w:lang w:bidi="ar-SA"/>
        </w:rPr>
        <w:t>حَرامٍ علىٰ خِلافِ ما يَذهَبُ إلَيه مُخالِفو الإماميَّةِ‌؛ و إن ظَهَرَ</w:t>
      </w:r>
      <w:r>
        <w:rPr>
          <w:rStyle w:val="FootnoteAnchor"/>
          <w:rtl w:val="true"/>
        </w:rPr>
        <w:footnoteReference w:id="869"/>
      </w:r>
      <w:r>
        <w:rPr>
          <w:rFonts w:ascii="Amiri" w:hAnsi="Amiri" w:eastAsia="Amiri" w:cs="Amiri"/>
          <w:color w:val="111111"/>
          <w:sz w:val="28"/>
          <w:sz w:val="28"/>
          <w:szCs w:val="28"/>
          <w:rtl w:val="true"/>
          <w:lang w:bidi="ar-SA"/>
        </w:rPr>
        <w:t>شَكٌّ في ذلكَ كُلِّهِ‌</w:t>
      </w:r>
      <w:r>
        <w:rPr>
          <w:rStyle w:val="FootnoteAnchor"/>
          <w:rtl w:val="true"/>
        </w:rPr>
        <w:footnoteReference w:id="870"/>
      </w:r>
      <w:r>
        <w:rPr>
          <w:rFonts w:ascii="Amiri" w:hAnsi="Amiri" w:eastAsia="Amiri" w:cs="Amiri"/>
          <w:color w:val="111111"/>
          <w:sz w:val="28"/>
          <w:sz w:val="28"/>
          <w:szCs w:val="28"/>
          <w:rtl w:val="true"/>
          <w:lang w:bidi="ar-SA"/>
        </w:rPr>
        <w:t>فلا شَكَّ و لا شُبهَةَ علىٰ مُنصِفٍ في أنَّهُم لَم يَكونُوا على مَذهَبِ الفِرَقِ‌</w:t>
      </w:r>
      <w:r>
        <w:rPr>
          <w:rStyle w:val="FootnoteAnchor"/>
          <w:rtl w:val="true"/>
        </w:rPr>
        <w:footnoteReference w:id="871"/>
      </w:r>
      <w:r>
        <w:rPr>
          <w:rFonts w:ascii="Amiri" w:hAnsi="Amiri" w:eastAsia="Amiri" w:cs="Amiri"/>
          <w:color w:val="111111"/>
          <w:sz w:val="28"/>
          <w:sz w:val="28"/>
          <w:szCs w:val="28"/>
          <w:rtl w:val="true"/>
          <w:lang w:bidi="ar-SA"/>
        </w:rPr>
        <w:t xml:space="preserve">المُختلِفَةِ‌ </w:t>
      </w:r>
    </w:p>
    <w:p>
      <w:pPr>
        <w:pStyle w:val="BookText"/>
        <w:rPr/>
      </w:pPr>
      <w:r>
        <w:rPr>
          <w:rFonts w:ascii="Amiri" w:hAnsi="Amiri" w:eastAsia="Amiri" w:cs="Amiri"/>
          <w:color w:val="111111"/>
          <w:sz w:val="28"/>
          <w:sz w:val="28"/>
          <w:szCs w:val="28"/>
          <w:rtl w:val="true"/>
          <w:lang w:bidi="ar-SA"/>
        </w:rPr>
        <w:t>المُجتَمِعَةِ‌</w:t>
      </w:r>
      <w:r>
        <w:rPr>
          <w:rStyle w:val="FootnoteAnchor"/>
          <w:rtl w:val="true"/>
        </w:rPr>
        <w:footnoteReference w:id="872"/>
      </w:r>
      <w:r>
        <w:rPr>
          <w:rFonts w:ascii="Amiri" w:hAnsi="Amiri" w:eastAsia="Amiri" w:cs="Amiri"/>
          <w:color w:val="111111"/>
          <w:sz w:val="28"/>
          <w:sz w:val="28"/>
          <w:szCs w:val="28"/>
          <w:rtl w:val="true"/>
          <w:lang w:bidi="ar-SA"/>
        </w:rPr>
        <w:t>علىٰ تَعظيمِهِم و التَّقَرُّبِ إلَى اللّٰهِ تَعالىٰ بِهِم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يَعترِضُ رَيبٌ فيما ذَكَرناهُ‌</w:t>
      </w:r>
      <w:r>
        <w:rPr>
          <w:rStyle w:val="FootnoteAnchor"/>
          <w:rtl w:val="true"/>
        </w:rPr>
        <w:footnoteReference w:id="873"/>
      </w:r>
      <w:r>
        <w:rPr>
          <w:rFonts w:ascii="Amiri" w:hAnsi="Amiri" w:eastAsia="Amiri" w:cs="Amiri"/>
          <w:color w:val="111111"/>
          <w:sz w:val="28"/>
          <w:sz w:val="28"/>
          <w:szCs w:val="28"/>
          <w:rtl w:val="true"/>
          <w:lang w:bidi="ar-SA"/>
        </w:rPr>
        <w:t>، و مَعلومٌ ضَرورةً أنَّ شُيوخَ الإماميَّةِ و سَلَفَهُم في تلكَ الأزمانِ‌</w:t>
      </w:r>
      <w:r>
        <w:rPr>
          <w:rStyle w:val="FootnoteAnchor"/>
          <w:rtl w:val="true"/>
        </w:rPr>
        <w:footnoteReference w:id="874"/>
      </w:r>
      <w:r>
        <w:rPr>
          <w:rFonts w:ascii="Amiri" w:hAnsi="Amiri" w:eastAsia="Amiri" w:cs="Amiri"/>
          <w:color w:val="111111"/>
          <w:sz w:val="28"/>
          <w:sz w:val="28"/>
          <w:szCs w:val="28"/>
          <w:rtl w:val="true"/>
          <w:lang w:bidi="ar-SA"/>
        </w:rPr>
        <w:t>كانوا بِطانَةً للباقِرِ</w:t>
      </w:r>
      <w:r>
        <w:rPr>
          <w:rStyle w:val="FootnoteAnchor"/>
          <w:rtl w:val="true"/>
        </w:rPr>
        <w:footnoteReference w:id="875"/>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w:t>
      </w:r>
      <w:r>
        <w:rPr>
          <w:rStyle w:val="FootnoteAnchor"/>
          <w:rtl w:val="true"/>
        </w:rPr>
        <w:footnoteReference w:id="876"/>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وَلِيَهما عليهم السلامُ‌</w:t>
      </w:r>
      <w:r>
        <w:rPr>
          <w:rStyle w:val="FootnoteAnchor"/>
          <w:rtl w:val="true"/>
        </w:rPr>
        <w:footnoteReference w:id="877"/>
      </w:r>
      <w:r>
        <w:rPr>
          <w:rFonts w:ascii="Amiri" w:hAnsi="Amiri" w:eastAsia="Amiri" w:cs="Amiri"/>
          <w:color w:val="111111"/>
          <w:sz w:val="28"/>
          <w:sz w:val="28"/>
          <w:szCs w:val="28"/>
          <w:rtl w:val="true"/>
          <w:lang w:bidi="ar-SA"/>
        </w:rPr>
        <w:t>، و مُلازِمِينَ لَهُم، و مُتَمسِّكينَ بِهِم، و مُظهِرينَ أنَّ كُلَّ شَيءٍ يَعتَقِدونَه و يَنتَحِلونَه و يُصَحِّحونَه أو يُبطِلونَه</w:t>
      </w:r>
      <w:r>
        <w:rPr>
          <w:rStyle w:val="FootnoteAnchor"/>
          <w:rtl w:val="true"/>
        </w:rPr>
        <w:footnoteReference w:id="878"/>
      </w:r>
      <w:r>
        <w:rPr>
          <w:rFonts w:ascii="Amiri" w:hAnsi="Amiri" w:eastAsia="Amiri" w:cs="Amiri"/>
          <w:color w:val="111111"/>
          <w:sz w:val="28"/>
          <w:sz w:val="28"/>
          <w:szCs w:val="28"/>
          <w:rtl w:val="true"/>
          <w:lang w:bidi="ar-SA"/>
        </w:rPr>
        <w:t>فعَنهُم</w:t>
      </w:r>
      <w:r>
        <w:rPr>
          <w:rStyle w:val="FootnoteAnchor"/>
          <w:rtl w:val="true"/>
        </w:rPr>
        <w:footnoteReference w:id="879"/>
      </w:r>
      <w:r>
        <w:rPr>
          <w:rFonts w:ascii="Amiri" w:hAnsi="Amiri" w:eastAsia="Amiri" w:cs="Amiri"/>
          <w:color w:val="111111"/>
          <w:sz w:val="28"/>
          <w:sz w:val="28"/>
          <w:szCs w:val="28"/>
          <w:rtl w:val="true"/>
          <w:lang w:bidi="ar-SA"/>
        </w:rPr>
        <w:t>تَلَقَّوهُ و مِنهم 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يَكونوا عليهمُ السلامُ‌</w:t>
      </w:r>
      <w:r>
        <w:rPr>
          <w:rStyle w:val="FootnoteAnchor"/>
          <w:rtl w:val="true"/>
        </w:rPr>
        <w:footnoteReference w:id="880"/>
      </w:r>
      <w:r>
        <w:rPr>
          <w:rFonts w:ascii="Amiri" w:hAnsi="Amiri" w:eastAsia="Amiri" w:cs="Amiri"/>
          <w:color w:val="111111"/>
          <w:sz w:val="28"/>
          <w:sz w:val="28"/>
          <w:szCs w:val="28"/>
          <w:rtl w:val="true"/>
          <w:lang w:bidi="ar-SA"/>
        </w:rPr>
        <w:t>بذلكَ راضِينَ و علَيه مُقِرِّينَ لأَبَوا علَيهم نِسبةَ تلكَ المَذاهِبِ إلَيهم و هُم</w:t>
      </w:r>
      <w:r>
        <w:rPr>
          <w:rStyle w:val="FootnoteAnchor"/>
          <w:rtl w:val="true"/>
        </w:rPr>
        <w:footnoteReference w:id="881"/>
      </w:r>
      <w:r>
        <w:rPr>
          <w:rFonts w:ascii="Amiri" w:hAnsi="Amiri" w:eastAsia="Amiri" w:cs="Amiri"/>
          <w:color w:val="111111"/>
          <w:sz w:val="28"/>
          <w:sz w:val="28"/>
          <w:szCs w:val="28"/>
          <w:rtl w:val="true"/>
          <w:lang w:bidi="ar-SA"/>
        </w:rPr>
        <w:t>مِنها بَريئونَ خَلِيُّونَ‌، و لَنَفَوا ما بَينَهم مِن مُواصَلةٍ و مُجالَسَةٍ و مُلازَمَةٍ و مُوالاةٍ و مُصافاةٍ و مَدحٍ و إطراءٍ و ثَناءٍ‌، و لأََبدَلوه</w:t>
      </w:r>
      <w:r>
        <w:rPr>
          <w:rStyle w:val="FootnoteAnchor"/>
          <w:rtl w:val="true"/>
        </w:rPr>
        <w:footnoteReference w:id="882"/>
      </w:r>
      <w:r>
        <w:rPr>
          <w:rFonts w:ascii="Amiri" w:hAnsi="Amiri" w:eastAsia="Amiri" w:cs="Amiri"/>
          <w:color w:val="111111"/>
          <w:sz w:val="28"/>
          <w:sz w:val="28"/>
          <w:szCs w:val="28"/>
          <w:rtl w:val="true"/>
          <w:lang w:bidi="ar-SA"/>
        </w:rPr>
        <w:t>بالذَّمِّ و اللَّومِ و البَراءَةِ و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أنّهم</w:t>
      </w:r>
      <w:r>
        <w:rPr>
          <w:rStyle w:val="FootnoteAnchor"/>
          <w:rtl w:val="true"/>
        </w:rPr>
        <w:footnoteReference w:id="883"/>
      </w:r>
      <w:r>
        <w:rPr>
          <w:rFonts w:ascii="Amiri" w:hAnsi="Amiri" w:eastAsia="Amiri" w:cs="Amiri"/>
          <w:color w:val="111111"/>
          <w:sz w:val="28"/>
          <w:sz w:val="28"/>
          <w:szCs w:val="28"/>
          <w:rtl w:val="true"/>
          <w:lang w:bidi="ar-SA"/>
        </w:rPr>
        <w:t>علَيهمُ السَّلامُ‌</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لهذِه المَذاهِبِ مُعتَقِدونَ‌، و بِها راضونَ‌، لَبانَ لَنا و اتَّضَحَ‌؛ و لَو لَم يَكُن إلّاهذِه الدَّلالةُ‌، لَكَفَت و أَغنَت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يَطيبُ قَلبُ عاقلٍ أو يَسُوغُ في الدِّينِ لأِحَدٍ أن يُعَظِّمَ في الدِّينِ مَن هوَ علىٰ خِلافِ ما يَعتَقِدُ أنَّه الحَقُّ و ما سِواهُ باطلٌ‌، ثُمَّ يَنتَهيَ في التعظيماتِ و الكَراماتِ إلىٰ أَبعَدِ الغاياتِ و أَقصَى النِّهاياتِ؟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جَرَت بمِثلِ ذلك</w:t>
      </w:r>
      <w:r>
        <w:rPr>
          <w:rStyle w:val="FootnoteAnchor"/>
          <w:rtl w:val="true"/>
        </w:rPr>
        <w:footnoteReference w:id="885"/>
      </w:r>
      <w:r>
        <w:rPr>
          <w:rFonts w:ascii="Amiri" w:hAnsi="Amiri" w:eastAsia="Amiri" w:cs="Amiri"/>
          <w:color w:val="111111"/>
          <w:sz w:val="28"/>
          <w:sz w:val="28"/>
          <w:szCs w:val="28"/>
          <w:rtl w:val="true"/>
          <w:lang w:bidi="ar-SA"/>
        </w:rPr>
        <w:t>عادَةٌ‌، أو مَضَت علَيه سُنَّةٌ؟</w:t>
      </w:r>
    </w:p>
    <w:p>
      <w:pPr>
        <w:pStyle w:val="BookText"/>
        <w:rPr/>
      </w:pPr>
      <w:r>
        <w:rPr>
          <w:rFonts w:ascii="Amiri" w:hAnsi="Amiri" w:eastAsia="Amiri" w:cs="Amiri"/>
          <w:color w:val="111111"/>
          <w:sz w:val="28"/>
          <w:sz w:val="28"/>
          <w:szCs w:val="28"/>
          <w:rtl w:val="true"/>
          <w:lang w:bidi="ar-SA"/>
        </w:rPr>
        <w:t>أ وَ لا يَرَونَ أنَّ الإماميَّةَ لا تَلتَفِتُ إلىٰ مَن خالَفَها مِنَ العِترَةِ و حادَ عن جادَّتِها في الدِّيانَةِ و مَحَجَّتِها في الوِلايَةِ‌، و لا تَسمَحُ لَه بشَيءٍ مِنَ المَدحِ و التعظيمِ فَضلاً عَن غايَتِه و أَقصىٰ نِهايَتِه؛ بَل تَبَرّأُ</w:t>
      </w:r>
      <w:r>
        <w:rPr>
          <w:rStyle w:val="FootnoteAnchor"/>
          <w:rtl w:val="true"/>
        </w:rPr>
        <w:footnoteReference w:id="886"/>
      </w:r>
      <w:r>
        <w:rPr>
          <w:rFonts w:ascii="Amiri" w:hAnsi="Amiri" w:eastAsia="Amiri" w:cs="Amiri"/>
          <w:color w:val="111111"/>
          <w:sz w:val="28"/>
          <w:sz w:val="28"/>
          <w:szCs w:val="28"/>
          <w:rtl w:val="true"/>
          <w:lang w:bidi="ar-SA"/>
        </w:rPr>
        <w:t>مِنه، و تُعاديهِ‌، و تُجريهِ في جَميعِ الأَحكامِ مَجرىٰ مَن لا نَسَبَ لَه و لا حَسَبَ‌</w:t>
      </w:r>
      <w:r>
        <w:rPr>
          <w:rStyle w:val="FootnoteAnchor"/>
          <w:rtl w:val="true"/>
        </w:rPr>
        <w:footnoteReference w:id="887"/>
      </w:r>
      <w:r>
        <w:rPr>
          <w:rFonts w:ascii="Amiri" w:hAnsi="Amiri" w:eastAsia="Amiri" w:cs="Amiri"/>
          <w:color w:val="111111"/>
          <w:sz w:val="28"/>
          <w:sz w:val="28"/>
          <w:szCs w:val="28"/>
          <w:rtl w:val="true"/>
          <w:lang w:bidi="ar-SA"/>
        </w:rPr>
        <w:t>و لا قَرابَةَ و لا عُلقَةَ؟</w:t>
      </w:r>
    </w:p>
    <w:p>
      <w:pPr>
        <w:pStyle w:val="BookText"/>
        <w:rPr/>
      </w:pPr>
      <w:r>
        <w:rPr>
          <w:rFonts w:ascii="Amiri" w:hAnsi="Amiri" w:eastAsia="Amiri" w:cs="Amiri"/>
          <w:color w:val="111111"/>
          <w:sz w:val="28"/>
          <w:sz w:val="28"/>
          <w:szCs w:val="28"/>
          <w:rtl w:val="true"/>
          <w:lang w:bidi="ar-SA"/>
        </w:rPr>
        <w:t>و هذا يُوقِظُ علىٰ أنَّ اللّٰهَ تَعالىٰ خَرَقَ في هذِه العِصابَةِ العاداتِ‌، و قلَبَ الجِبِلّاتِ‌؛ لِيُبِينَ عن</w:t>
      </w:r>
      <w:r>
        <w:rPr>
          <w:rStyle w:val="FootnoteAnchor"/>
          <w:rtl w:val="true"/>
        </w:rPr>
        <w:footnoteReference w:id="888"/>
      </w:r>
      <w:r>
        <w:rPr>
          <w:rFonts w:ascii="Amiri" w:hAnsi="Amiri" w:eastAsia="Amiri" w:cs="Amiri"/>
          <w:color w:val="111111"/>
          <w:sz w:val="28"/>
          <w:sz w:val="28"/>
          <w:szCs w:val="28"/>
          <w:rtl w:val="true"/>
          <w:lang w:bidi="ar-SA"/>
        </w:rPr>
        <w:t>عَظيمِ مَنزِلَتِهِم و شَريفِ مَرتَبَتِهم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فَضيلَةٌ تَزيدُ علَى الفَضائِلِ‌، و تُربِي</w:t>
      </w:r>
      <w:r>
        <w:rPr>
          <w:rStyle w:val="FootnoteAnchor"/>
          <w:rtl w:val="true"/>
        </w:rPr>
        <w:footnoteReference w:id="889"/>
      </w:r>
      <w:r>
        <w:rPr>
          <w:rFonts w:ascii="Amiri" w:hAnsi="Amiri" w:eastAsia="Amiri" w:cs="Amiri"/>
          <w:color w:val="111111"/>
          <w:sz w:val="28"/>
          <w:sz w:val="28"/>
          <w:szCs w:val="28"/>
          <w:rtl w:val="true"/>
          <w:lang w:bidi="ar-SA"/>
        </w:rPr>
        <w:t>علىٰ جَميعِ الخَصائِصِ و المَناقِبِ‌، و كَفىٰ بِها بُرهاناً لائِحاً و ميزاناً راجِحاً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466" w:name="pg16425_221724"/>
    </w:p>
    <w:p>
      <w:pPr>
        <w:pStyle w:val="Heading3"/>
        <w:numPr>
          <w:ilvl w:val="2"/>
          <w:numId w:val="1"/>
        </w:numPr>
        <w:rPr/>
      </w:pPr>
      <w:bookmarkStart w:id="467" w:name="__RefHeading___Toc7830205_1280447820"/>
      <w:bookmarkStart w:id="468" w:name="_Toc151"/>
      <w:bookmarkEnd w:id="466"/>
      <w:bookmarkEnd w:id="467"/>
      <w:r>
        <w:rPr>
          <w:rtl w:val="true"/>
        </w:rPr>
        <w:t>(</w:t>
      </w:r>
      <w:r>
        <w:rPr/>
        <w:t>55</w:t>
      </w:r>
      <w:r>
        <w:rPr>
          <w:rtl w:val="true"/>
        </w:rPr>
        <w:t xml:space="preserve">) </w:t>
      </w:r>
      <w:r>
        <w:rPr>
          <w:rtl w:val="true"/>
        </w:rPr>
        <w:t>مسألةٌ في وجهِ اختصاصِ الأئمّةِ الِاثنَي عَشَرَ عليهم السلام بالإمامةِ دونَ سائرِ أهلِ البيتِ‌</w:t>
      </w:r>
      <w:bookmarkEnd w:id="46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9" w:name="__RefHeading___Toc7830207_1280447820"/>
      <w:bookmarkStart w:id="470" w:name="_Toc152"/>
      <w:bookmarkEnd w:id="469"/>
      <w:r>
        <w:rPr>
          <w:rtl w:val="true"/>
        </w:rPr>
        <w:t>اشارة</w:t>
      </w:r>
      <w:bookmarkEnd w:id="47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16425_221726"/>
      <w:bookmarkStart w:id="472" w:name="pg16425_221726"/>
      <w:bookmarkEnd w:id="472"/>
    </w:p>
    <w:p>
      <w:pPr>
        <w:pStyle w:val="Heading4"/>
        <w:numPr>
          <w:ilvl w:val="3"/>
          <w:numId w:val="1"/>
        </w:numPr>
        <w:rPr/>
      </w:pPr>
      <w:bookmarkStart w:id="473" w:name="pg16425_221726"/>
      <w:bookmarkStart w:id="474" w:name="__RefHeading___Toc7830209_1280447820"/>
      <w:bookmarkStart w:id="475" w:name="_Toc153"/>
      <w:bookmarkEnd w:id="473"/>
      <w:bookmarkEnd w:id="474"/>
      <w:r>
        <w:rPr>
          <w:rtl w:val="true"/>
        </w:rPr>
        <w:t>مقدّمة التحقيق</w:t>
      </w:r>
      <w:bookmarkEnd w:id="475"/>
    </w:p>
    <w:p>
      <w:pPr>
        <w:pStyle w:val="Heading5"/>
        <w:numPr>
          <w:ilvl w:val="4"/>
          <w:numId w:val="1"/>
        </w:numPr>
        <w:rPr/>
      </w:pPr>
      <w:bookmarkStart w:id="476" w:name="__RefHeading___Toc7830211_1280447820"/>
      <w:bookmarkStart w:id="477" w:name="_Toc154"/>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سُئل الشريف المرتضى في هذه الرسالة أن يذكر الدليل على حصر الأئمّة عليهم السلامُ في اثني عشر إماماً لا أكثر، بحيث لا تشمل الإمامة غيرَهم من أهل البيت، فأجاب بطرح دليلين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الاعتبار، و قد ركّز في هذا الدليل على ما برز عن الأئمّة الاثني عشر عليهم السلامُ من علوم و معارف فاقوا بها كلّ من عاصرهم، و لذلك استحقّوا الإمامة دون غيرهم، و ذكر أمثلة لعلومهم، و فصّل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دليل النصّ‌، حيث نقل حديث الأئمّة الاثني عشر من كتب العامّة و الخاصّة، و نقل بهذا الصدد روايتين مسندتين عن طريق شيخه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حالة نادرة في كتب و رسائل الشريف المرتضى، فإنّه لا يذكر عادة اسم الشيخ المفيد، كما لا ينقل روايات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نقل حديث اللوح الأخضر، و ذكر أنّه مشهور بين الطائفة</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7830213_1280447820"/>
      <w:bookmarkStart w:id="479" w:name="_Toc155"/>
      <w:bookmarkEnd w:id="478"/>
      <w:r>
        <w:rPr>
          <w:rtl w:val="true"/>
        </w:rPr>
        <w:t>نسبتها إلى المؤلّف</w:t>
      </w:r>
      <w:bookmarkEnd w:id="47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الرسالة هي من الرسائل الجديدة التي تمّ العثور عليها في ضمن رسائل الشريف المرتضى الأُخرى المخطوطة، و قد نقل منها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مقطَعاً بتصرّف، و لم يصرّح بأنّه نقله من إحدى رسائل الشريف المرتضى</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480" w:name="pg16425_221727"/>
    </w:p>
    <w:p>
      <w:pPr>
        <w:pStyle w:val="BookText"/>
        <w:rPr/>
      </w:pPr>
      <w:bookmarkEnd w:id="480"/>
      <w:r>
        <w:rPr>
          <w:rFonts w:ascii="Amiri" w:hAnsi="Amiri" w:eastAsia="Amiri" w:cs="Amiri"/>
          <w:color w:val="111111"/>
          <w:sz w:val="28"/>
          <w:sz w:val="28"/>
          <w:szCs w:val="28"/>
          <w:rtl w:val="true"/>
          <w:lang w:bidi="ar-SA"/>
        </w:rPr>
        <w:t>ثمّ الغريب في الدليل الأوّل المتقدّم هو أنّ الشريف المرتضى عندما تعرّض إلى بحث الأئمّة الاثني عشر في بعض كتبه لم يُشر إليه، و إنّما ذكر دليلاً آخر، و عبّر عنه بأنّه من قويّ ما يُعتمد عليه، و هو أنّه قد ثبت وجوب عصمة الإمام، و وجوب ثبوت الإمامة في كلّ عصر، و إذا لاحظنا شرط العصمة، نجده غير متوفّر إلّافي الأئمّة الاثني عشر عليهم السلامُ‌، و هذا يدلّ علىٰ إمامتهم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تفاصيل أُخرى في الدليل تراجع في محلّها</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تعرّض الشريف المرتضى إلى هذا الدليل في هذه الرسالة قد يثير بعض الشكوك حول نسبة الرسالة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فالرسالة قديمة؛ فإنّها من مصادر الطبرسي كما تقدّم، كما أنّها من تأليف أحد تلامذة الشيخ المفيد، حيث تقدّم وجود روايتين في الرسالة ينقلها المؤلّف عن الشيخ المفيد مباشرة، و هذا الأمر يعطي قيمة خاصّة للرسالة؛ فإنّها إذا لم تكن للشريف المرتضى، فهي لبعض معاصريه من تلامذة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الجدير بالذكر أنّ المحقّق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من تلامذة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ألّف رسالة أُخرىٰ حول نفس الموضوع،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في النص على الأئمّة الأطهار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فيها على إمامة الأئمّة الاثني عشر عليهم السلامُ بالنصوص المرويّة من طرق الخاصّة و العامّة</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7830215_1280447820"/>
      <w:bookmarkStart w:id="482" w:name="_Toc156"/>
      <w:bookmarkEnd w:id="481"/>
      <w:r>
        <w:rPr>
          <w:rtl w:val="true"/>
        </w:rPr>
        <w:t>مخطوطة الرسالة</w:t>
      </w:r>
      <w:bookmarkEnd w:id="482"/>
    </w:p>
    <w:p>
      <w:pPr>
        <w:pStyle w:val="BookText"/>
        <w:rPr/>
      </w:pPr>
      <w:r>
        <w:rPr>
          <w:rFonts w:ascii="Amiri" w:hAnsi="Amiri" w:eastAsia="Amiri" w:cs="Amiri"/>
          <w:color w:val="111111"/>
          <w:sz w:val="28"/>
          <w:sz w:val="28"/>
          <w:szCs w:val="28"/>
          <w:rtl w:val="true"/>
          <w:lang w:bidi="ar-SA"/>
        </w:rPr>
        <w:t>لقد تمّ العثور علىٰ مخطوطة واحدة لهذه الرسالة، و هي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7539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bookmarkStart w:id="483" w:name="pg16425_221728"/>
    </w:p>
    <w:p>
      <w:pPr>
        <w:pStyle w:val="BookText"/>
        <w:rPr/>
      </w:pPr>
      <w:bookmarkEnd w:id="48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7830217_1280447820"/>
      <w:bookmarkStart w:id="485" w:name="_Toc157"/>
      <w:bookmarkEnd w:id="484"/>
      <w:r>
        <w:rPr>
          <w:rtl w:val="true"/>
        </w:rPr>
        <w:t>مسألةٌ في وجهِ اختصاصِ الأئمّةِ الِاثنَي عَشَرَ عليهم السلام بالإمامةِ دونَ سائرِ أهلِ البيتِ‌</w:t>
      </w:r>
      <w:bookmarkEnd w:id="485"/>
    </w:p>
    <w:p>
      <w:pPr>
        <w:pStyle w:val="BookText"/>
        <w:rPr/>
      </w:pPr>
      <w:r>
        <w:rPr>
          <w:rFonts w:ascii="Amiri" w:hAnsi="Amiri" w:eastAsia="Amiri" w:cs="Amiri"/>
          <w:color w:val="111111"/>
          <w:sz w:val="28"/>
          <w:sz w:val="28"/>
          <w:szCs w:val="28"/>
          <w:rtl w:val="true"/>
          <w:lang w:bidi="ar-SA"/>
        </w:rPr>
        <w:t>مسألةٌ في وجهِ اختصاصِ الأئمّةِ الِاثنَي عَشَرَ عليهم السلام بالإمامةِ دونَ سائرِ أهلِ البيتِ‌</w:t>
      </w:r>
      <w:r>
        <w:rPr>
          <w:rStyle w:val="FootnoteAnchor"/>
          <w:rtl w:val="true"/>
        </w:rPr>
        <w:footnoteReference w:id="8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الشريفُ المرتَضىٰ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حِراستَكَ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الأئمّةَ اثنا عَشَرَ؟ و لِمَ اختَصَصتم أنتم بها</w:t>
      </w:r>
      <w:r>
        <w:rPr>
          <w:rStyle w:val="FootnoteAnchor"/>
          <w:rtl w:val="true"/>
        </w:rPr>
        <w:footnoteReference w:id="893"/>
      </w:r>
      <w:r>
        <w:rPr>
          <w:rFonts w:ascii="Amiri" w:hAnsi="Amiri" w:eastAsia="Amiri" w:cs="Amiri"/>
          <w:color w:val="111111"/>
          <w:sz w:val="28"/>
          <w:sz w:val="28"/>
          <w:szCs w:val="28"/>
          <w:rtl w:val="true"/>
          <w:lang w:bidi="ar-SA"/>
        </w:rPr>
        <w:t>دونَ أهلِ البَيتِ كُلِّهم‌؟ و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كِتابَ اللّٰهِ و عِترَتي أهلَ بَيتي؛ حَبلَينِ ممدودَينِ بَينَكم و بَينَ اللّٰهِ‌، ما إن تَمسَّكتم بِهما لَن تَضِلّوا</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فما وجهُ اختصاصِكم بهذا العَدَدِ</w:t>
      </w:r>
      <w:r>
        <w:rPr>
          <w:rStyle w:val="FootnoteAnchor"/>
          <w:rtl w:val="true"/>
        </w:rPr>
        <w:footnoteReference w:id="895"/>
      </w:r>
      <w:r>
        <w:rPr>
          <w:rFonts w:ascii="Amiri" w:hAnsi="Amiri" w:eastAsia="Amiri" w:cs="Amiri"/>
          <w:color w:val="111111"/>
          <w:sz w:val="28"/>
          <w:sz w:val="28"/>
          <w:szCs w:val="28"/>
          <w:rtl w:val="true"/>
          <w:lang w:bidi="ar-SA"/>
        </w:rPr>
        <w:t xml:space="preserve">دونَ ما زادَ عليه‌؟ </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نَعلَمُ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العَدَدَ المخصوصَ المُعبِّرَ عن</w:t>
      </w:r>
      <w:r>
        <w:rPr>
          <w:rStyle w:val="FootnoteAnchor"/>
          <w:rtl w:val="true"/>
        </w:rPr>
        <w:footnoteReference w:id="896"/>
      </w:r>
      <w:r>
        <w:rPr>
          <w:rFonts w:ascii="Amiri" w:hAnsi="Amiri" w:eastAsia="Amiri" w:cs="Amiri"/>
          <w:color w:val="111111"/>
          <w:sz w:val="28"/>
          <w:sz w:val="28"/>
          <w:szCs w:val="28"/>
          <w:rtl w:val="true"/>
          <w:lang w:bidi="ar-SA"/>
        </w:rPr>
        <w:t>جماعةِ أهلِ البيتِ عليهم السلامُ هُم الأئمّةُ دونَ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كثيرةٌ‌؛ أحَدُها الاعتبارُ، و الثانيةُ النصُّ مِن الرسولِ صلَّى اللّٰهُ عليه و آلِه علىٰ هذا العَدَدِ دونَ ما زادَ عليه أو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أذكُرُ لكَ هاتَينِ الطريقتَينِ و أقتَصِرُ عليهما؛ لأنّ إثباتَ جميعِ ذلكَ يَطولُ و يَخرُجُ عن الغرضِ المقصودِ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طريقةُ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ظَهَرَ مِن اعتبارِ الذين عَيَّنّاهم و مَيَّزناهم مِن العلوم التي تَفرَّقَ‌</w:t>
      </w:r>
      <w:r>
        <w:rPr>
          <w:rStyle w:val="FootnoteAnchor"/>
          <w:rtl w:val="true"/>
        </w:rPr>
        <w:footnoteReference w:id="897"/>
      </w:r>
      <w:r>
        <w:rPr>
          <w:rFonts w:ascii="Amiri" w:hAnsi="Amiri" w:eastAsia="Amiri" w:cs="Amiri"/>
          <w:color w:val="111111"/>
          <w:sz w:val="28"/>
          <w:sz w:val="28"/>
          <w:szCs w:val="28"/>
          <w:rtl w:val="true"/>
          <w:lang w:bidi="ar-SA"/>
        </w:rPr>
        <w:t>فيها الناسُ و اجتَمَعَ سائرُها فيهم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ظَهَرَ عن أميرِ المؤمنينَ عليه السلامُ مِن عِلمِ الدينِ ممّا بَهَرَ ذَوي العقولِ و الأذهانِ‌، حَتّى افتَقَرَ إليه كافّةُ أهلِ عصرِه مِن رئيسٍ و تابعٍ لرئيسٍ‌، و فَزِعَ إليه الفقهاءُ في عِلمِ الأحكامِ و الحَلالِ و الحَرامِ‌، و أخَذَ المُتكلِّمونَ أدلّةَ التوحيدِ مِن معنىٰ ألفاظِه و كلامِه، و حَفِظَ طالِبو تفسيرِ القُرآنِ ما أرادوه مِن ذلكَ مِن جِهتِه، و روىٰ عنه أهلُ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نَقَلوا عنه مَعانيَ‌</w:t>
      </w:r>
      <w:r>
        <w:rPr>
          <w:rStyle w:val="FootnoteAnchor"/>
          <w:rtl w:val="true"/>
        </w:rPr>
        <w:footnoteReference w:id="898"/>
      </w:r>
      <w:r>
        <w:rPr>
          <w:rFonts w:ascii="Amiri" w:hAnsi="Amiri" w:eastAsia="Amiri" w:cs="Amiri"/>
          <w:color w:val="111111"/>
          <w:sz w:val="28"/>
          <w:sz w:val="28"/>
          <w:szCs w:val="28"/>
          <w:rtl w:val="true"/>
          <w:lang w:bidi="ar-SA"/>
        </w:rPr>
        <w:t>اللُّغاتِ‌، و قالَ في الطبِّ ما استفادَ الأطبّاءُ‌</w:t>
      </w:r>
      <w:r>
        <w:rPr>
          <w:rStyle w:val="FootnoteAnchor"/>
          <w:rtl w:val="true"/>
        </w:rPr>
        <w:footnoteReference w:id="899"/>
      </w:r>
      <w:r>
        <w:rPr>
          <w:rFonts w:ascii="Amiri" w:hAnsi="Amiri" w:eastAsia="Amiri" w:cs="Amiri"/>
          <w:color w:val="111111"/>
          <w:sz w:val="28"/>
          <w:sz w:val="28"/>
          <w:szCs w:val="28"/>
          <w:rtl w:val="true"/>
          <w:lang w:bidi="ar-SA"/>
        </w:rPr>
        <w:t xml:space="preserve">عنه فيه، و اعتَرَفوا له بخصوصِه بعِلمِه دونَ مَن تَعاطاه مِن سائرِ الناسِ‌، و نَقَلَ الأُدباءُ عنه الآدابَ‌، و خَرَجَ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قَضاياه وَ كُتُبِه ما أَربىٰ و زادَ علىٰ ما رُويَ عن الحُكَماءِ‌، و استَشهَدَ الشُّعَراءُ في نَظمِهم بنَظمِه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نَثرِهم بنَثرِه الذي زادَ علىٰ كافّةِ الفُصَحاءِ‌، و خَبَّرَ عن الأُمورِ الماضيةِ و عن الأُمَمِ السالفةِ‌، و أَنبأَ عمّا يَكُونُ في مُستَقبَلِ الزمانِ كَما شوهِدَ و عُرِفَ ممّا لا يَخفىٰ علىٰ مُتأمِّلي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الخاصّةُ و العامّةُ عمّن مَيَّزناه و عَيَّنّاه مِن عترتِه عليه السلامُ مِثلَ ذلكَ مِن العلومِ و الحِكمةِ و الآدابِ‌، و لَم يُخالِفْ في</w:t>
      </w:r>
      <w:r>
        <w:rPr>
          <w:rStyle w:val="FootnoteAnchor"/>
          <w:rtl w:val="true"/>
        </w:rPr>
        <w:footnoteReference w:id="900"/>
      </w:r>
      <w:r>
        <w:rPr>
          <w:rFonts w:ascii="Amiri" w:hAnsi="Amiri" w:eastAsia="Amiri" w:cs="Amiri"/>
          <w:color w:val="111111"/>
          <w:sz w:val="28"/>
          <w:sz w:val="28"/>
          <w:szCs w:val="28"/>
          <w:rtl w:val="true"/>
          <w:lang w:bidi="ar-SA"/>
        </w:rPr>
        <w:t>تبريزِهم و تقديمِهم في هذه العلومِ أحَدٌ ممّن خالَطَ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إلىٰ ما ظَهَرَ عن مُحمّدِ بنِ عليِّ بنِ الحُسَينِ عليهم السلامُ لمّا تَمكَّنَ مِن الإظهارِ و زالَت عنه التقيّةُ التي كانَت علىٰ أبيه زَينِ العابدينَ عليهما السلامُ؟ فأجابَ عن الحلالِ و الحَرامِ و قالَ في الفُتيا و الأحكامِ ما سُمّيَ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سَلَّمَ له استحقاقَ هذا الاسمِ جميعُ الأنامِ‌، و رَوَى الناسُ عنه علومَ الكلامِ و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ظَهَرَ مِن الصادقِ عليه السلامُ حتّىٰ رَوىٰ عنه مِن مشهوري أهلِ العِلمِ أربَعةُ آلافِ إنسانٍ‌، و صُنِّفَ مِن جواباتِه في المسائلِ الأربَعمِائةِ كُتُبٌ معروفةٌ بكُتُبِ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السائلونَ له و لأبيه مِن قَبلِه و لابنِه موسىٰ عليهم السلامُ مِن بَعدِه، و لَم يَبقَ فَنٌّ مِن فُنونِ العِلمِ إلّارُويَت عنه فيه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كانَت حالُ ابنِه موسىٰ عليه السلامُ مِن بَعدِه في إظهارِ العلومِ‌، إلىٰ أن حَبَسَه سُلطانُ زمانِه و مَنَعَه مِن القولِ في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انتَشَرَ عن الرِّضا عليه السلامُ مِن ذلكَ و عن ابنِه</w:t>
      </w:r>
      <w:r>
        <w:rPr>
          <w:rStyle w:val="FootnoteAnchor"/>
          <w:rtl w:val="true"/>
        </w:rPr>
        <w:footnoteReference w:id="901"/>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شُهرتُه تُغني عن الشرحِ له و التفصيلِ‌، متىٰ رَجَعَ الإنسانُ إلىٰ كُتُبِ الآثارِ وَجَدَه هُناكَ‌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كانَت سَبيلُ أبي الحَسَن عليِّ بنِ مُحمّدٍ و أبي مُحمّدٍ الحَسَنِ بنِ عليٍّ عليهم السلامُ‌، و إن كانَ الذي ظَهَرَ عنهما أقَلَّ ممّا ظَهَرَ عن آبائهما؛ لأنّ تَقيّتَهما </w:t>
      </w:r>
    </w:p>
    <w:p>
      <w:pPr>
        <w:pStyle w:val="BookText"/>
        <w:rPr/>
      </w:pPr>
      <w:r>
        <w:rPr>
          <w:rFonts w:ascii="Amiri" w:hAnsi="Amiri" w:eastAsia="Amiri" w:cs="Amiri"/>
          <w:color w:val="111111"/>
          <w:sz w:val="28"/>
          <w:sz w:val="28"/>
          <w:szCs w:val="28"/>
          <w:rtl w:val="true"/>
          <w:lang w:bidi="ar-SA"/>
        </w:rPr>
        <w:t>كانَت أشَدَّ، و كانا محبوسَينِ في عَسكَرِ السلطانِ‌، و ممنوعَينِ مِن انبساطٍ في الفُتيا، و لَم يَلقَهما كُلُّ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في عليِّ بنِ الحُسَينِ زَينِ العابدينَ عليهما السلامُ‌، و إن لَم يُروَ عنه ما رُويَ عن ابنِه أبي جعفرٍ عليهما السلامُ‌، و السببُ فيه ما كانَ يَخافُه علىٰ نفسِه مِن يَزيدَ و مَن قامَ بَعدَه منِ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الحَسَنُ و الحُسَينُ عليهما السلامُ‌، فقَد رَوَت العامّةُ و الخاصّةُ عنهما جُمَلاً مِن العِلمِ علىٰ حَسَبِ تَمكُّنِهما مِن القولِ‌؛ لأنّ الحَسَنَ عليه السلامُ اشتَغَلَ بَعدَ أبيه بمعاويةَ و مَسيرِه إليه ثُمَّ بمُهادَنتِه، فانقَطَعَ الناسُ عنه خَوفاً مِن مُعاويةَ‌، و كانَت شيعتُه قَريبي العَهدِ بأميرِ المؤمنينَ عليه السلامُ‌، و فيهم مَن قد أتىٰ رسولَ اللّٰهِ صلَّى اللّٰهُ عليه و آلِه، فهُم أغنياءُ بما سَمِعوه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يَحتاجونَ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فقَلَّ الراوي عنه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الحُسَين عليه السلامُ مِن بَعدِه، فما طالَ به الزمانُ حتَّى استُشهِدَ، و صَعُبَ الزمانُ بَعدَه علَى ابنِه عليِّ بنِ الحُسَينِ عليه السلامُ حَسَبَ ما ذَكرناه؛ فلمّا زالَ أكثَرُ الخَوفِ و تَمكَّنَ مُحمّدُ بنُ عليٍّ عليهما السلامُ مِن الجلوسِ للناسِ نَشَرَ مِن العلومِ ما ذَكرناه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ثَبَتَ‌ عِلمُ مَن عَدَّدناه مِن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بَينونتُهم مِن سائرِ الأنامِ‌، و لَم يَتمكَّنْ أحَدٌ أن يَدَّعيَ أخذَهم هذه العلومَ عن رجالِ العامّةِ‌، و لا فَزِعوا فيه إلىٰ رؤسائِهم، و لا تَلَقَّوه مِن رُواتِهم و فقهائهم؛ لأنّه أكثَرُ ما رُويَ عنهم يُخالِفُ ما عليه العامّةُ‌، و لأنّه لَم يُرَ أحدٌ منهم يَخَتلِفُ إلىٰ أحَدٍ مِن الناسِ في تَعلُّمِ شَيءٍ منه، و لا ادَّعىٰ ذلكَ مُدَّعٍ مِن أعدائهم و لا أوليائهم، و كانت هذه العلومُ بأَسرِها قد ظَهَرَت </w:t>
      </w:r>
    </w:p>
    <w:p>
      <w:pPr>
        <w:pStyle w:val="BookText"/>
        <w:rPr/>
      </w:pPr>
      <w:r>
        <w:rPr>
          <w:rFonts w:ascii="Amiri" w:hAnsi="Amiri" w:eastAsia="Amiri" w:cs="Amiri"/>
          <w:color w:val="111111"/>
          <w:sz w:val="28"/>
          <w:sz w:val="28"/>
          <w:szCs w:val="28"/>
          <w:rtl w:val="true"/>
          <w:lang w:bidi="ar-SA"/>
        </w:rPr>
        <w:t>عنهم مع غَنائهم عن سائرِ الناسِ و نُقصانِ الكُلِّ عن رُتبتِهم فيما تَلَقَّوه</w:t>
      </w:r>
      <w:r>
        <w:rPr>
          <w:rStyle w:val="FootnoteAnchor"/>
          <w:rtl w:val="true"/>
        </w:rPr>
        <w:footnoteReference w:id="902"/>
      </w:r>
      <w:r>
        <w:rPr>
          <w:rFonts w:ascii="Amiri" w:hAnsi="Amiri" w:eastAsia="Amiri" w:cs="Amiri"/>
          <w:color w:val="111111"/>
          <w:sz w:val="28"/>
          <w:sz w:val="28"/>
          <w:szCs w:val="28"/>
          <w:rtl w:val="true"/>
          <w:lang w:bidi="ar-SA"/>
        </w:rPr>
        <w:t>منها و زيادتِهم علَى الكافّةِ في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أ نّهم إنّما أخَذوها عن النَّبيِّ صلَّى اللّٰهُ عليه و آلِه و أنّه أفرَدَهم بها ليَدُلَّ علىٰ إمامتِهم و فَرضِ طاعتِهم، و أنّهم أحَقُّ بالتقدُّمِ علىٰ سائرِ الناسِ‌؛ لفَقرِ الكُلِّ فيما يَحتاجونَ إليه و غِناهم عن سائرِ الخَلقِ‌، و كَونِهم مَفزَعاً لأُمَّتِه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في الدينِ و مَلجأً لهُم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جَرَوا في ذلكَ مَجرَى النبيِّ صَلَّى اللّٰهُ عليه و آلِه في تخصيصِ اللّٰهِ تَعالىٰ له بإعلامِه بما في كُتُبِه الأُوَلِ و ما فَنيَ مِن الأُمَمِ السالفةِ‌، مِن غيرِ أن يَلقىٰ أحَداً مِن أهلِ الكِتابِ‌، أو يَقرأَ كِتاباً فيما مضىٰ مِن الزمانِ‌، و جَعَلَ ذلكَ دالّاً علىٰ نُبوّتِه و عَلَماً علىٰ إبانتِه</w:t>
      </w:r>
      <w:r>
        <w:rPr>
          <w:rStyle w:val="FootnoteAnchor"/>
          <w:rtl w:val="true"/>
        </w:rPr>
        <w:footnoteReference w:id="903"/>
      </w:r>
      <w:r>
        <w:rPr>
          <w:rFonts w:ascii="Amiri" w:hAnsi="Amiri" w:eastAsia="Amiri" w:cs="Amiri"/>
          <w:color w:val="111111"/>
          <w:sz w:val="28"/>
          <w:sz w:val="28"/>
          <w:szCs w:val="28"/>
          <w:rtl w:val="true"/>
          <w:lang w:bidi="ar-SA"/>
        </w:rPr>
        <w:t>مِن كافّةِ أهلِ بَيتِه و 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أيضاً أنّ مَن تَقدَّمَ في العِلمِ و الفَضلِ أَولىٰ بالإمامةِ مِن المفضولِ‌؛ بحُكمِ اللّٰهِ سُبحانَه في القُرآنِ المُبينِ بذلكَ‌،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فنَفَى الاستواءَ بَينَ العالِمِ و مَن هو دونَه في العِلمِ‌،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المفضولُ فيه يَزيدُ علَى الفاضلِ في رُتبةِ الدينِ‌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ثُمَّ أبانَ عن الأتقىٰ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فدَلَّ علىٰ أنّ أعلَمَ الأُمّةِ أتقاها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أكرَمُها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فُطِرَت العقولُ علىٰ وجوبِ تقديمِ الفاضلِ و التعظيمِ له علَى المفضولِ و الاقتداءِ به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فدَلَّت هذه الجُملةُ علىٰ أنّ مَن ذَكرناه مِن آلِ مُحمّدٍ عليهم السلامُ هُم الأئمّةُ‌، دونَ مَن عَداهم ممّن لَم تَحصُلْ له هذه الصفاتُ‌، و إن شَمِلَهم الاسمُ و الانضيافُ إلَى النبيِّ صلَّى اللّٰهُ عليه و آلِه بالأهليّةِ‌، حَسَبَ 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وَرَدَت به الأخبارُ عن النبيِّ صَلَّى اللّٰهُ عليه و آلِه مِن طَريقِ العامّةِ و الخاصّةِ لهذا العَدَدِ المخصوصِ‌، و الأخبارُ إذا وَرَدَت به</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كَثُرت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إليه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فهو</w:t>
      </w:r>
      <w:r>
        <w:rPr>
          <w:rStyle w:val="FootnoteAnchor"/>
          <w:rtl w:val="true"/>
        </w:rPr>
        <w:footnoteReference w:id="907"/>
      </w:r>
      <w:r>
        <w:rPr>
          <w:rFonts w:ascii="Amiri" w:hAnsi="Amiri" w:eastAsia="Amiri" w:cs="Amiri"/>
          <w:color w:val="111111"/>
          <w:sz w:val="28"/>
          <w:sz w:val="28"/>
          <w:szCs w:val="28"/>
          <w:rtl w:val="true"/>
          <w:lang w:bidi="ar-SA"/>
        </w:rPr>
        <w:t xml:space="preserve">حَقٌّ لا مَحالةَ‌؛ بدَلالةِ أنّ العادةَ قد جَرَت بأنّ المُخالِفَ للشيءِ تَدعوه الدَّواعي إلىٰ كِتمانِ ما قَرأَه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صِحّتِه، فأَنبأَ عن حَقِّهِ و صِدقِ قائلِه؛ فإذا رأَيناه ناقِلاً له، عَلِمنا أنّ اللّٰهَ تَعالىٰ قد سَخَّرَه لذلكَ‌؛ لإظهارِ الحُجّةِ و إزالةِ الريبِ في الشيءِ الذي نَقَلَه، و الإبانةِ عن أ نّه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الأخبارِ التي رَواها المُخالِفونَ‌ و تَفرَّدوا بنَقلِها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عُثمانَ الذهَبيُّ‌</w:t>
      </w:r>
      <w:r>
        <w:rPr>
          <w:rStyle w:val="FootnoteAnchor"/>
          <w:rtl w:val="true"/>
        </w:rPr>
        <w:footnoteReference w:id="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w:t>
      </w:r>
      <w:r>
        <w:rPr>
          <w:rStyle w:val="FootnoteAnchor"/>
          <w:rtl w:val="true"/>
        </w:rPr>
        <w:footnoteReference w:id="909"/>
      </w:r>
      <w:r>
        <w:rPr>
          <w:rFonts w:ascii="Amiri" w:hAnsi="Amiri" w:eastAsia="Amiri" w:cs="Amiri"/>
          <w:color w:val="111111"/>
          <w:sz w:val="28"/>
          <w:sz w:val="28"/>
          <w:szCs w:val="28"/>
          <w:rtl w:val="true"/>
          <w:lang w:bidi="ar-SA"/>
        </w:rPr>
        <w:t>، عن مُجالِدٍ</w:t>
      </w:r>
      <w:r>
        <w:rPr>
          <w:rStyle w:val="FootnoteAnchor"/>
          <w:rtl w:val="true"/>
        </w:rPr>
        <w:footnoteReference w:id="910"/>
      </w:r>
      <w:r>
        <w:rPr>
          <w:rFonts w:ascii="Amiri" w:hAnsi="Amiri" w:eastAsia="Amiri" w:cs="Amiri"/>
          <w:color w:val="111111"/>
          <w:sz w:val="28"/>
          <w:sz w:val="28"/>
          <w:szCs w:val="28"/>
          <w:rtl w:val="true"/>
          <w:lang w:bidi="ar-SA"/>
        </w:rPr>
        <w:t>،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مسعودٍ، فقالَ له رجُلٌ‌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أحَدَّثَكم نَبيُّكم كَم يَكونُ بَعدَه مِن الخُلَفاءِ؟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سَألَني عنها أحَدٌ قَبلَكَ‌، و إنّكَ لأََحدَثُ القومِ سِنّاً؛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مِن الخُلَفاءِ عِدّةُ‌ </w:t>
      </w:r>
    </w:p>
    <w:p>
      <w:pPr>
        <w:pStyle w:val="BookText"/>
        <w:rPr/>
      </w:pPr>
      <w:r>
        <w:rPr>
          <w:rFonts w:ascii="Amiri" w:hAnsi="Amiri" w:eastAsia="Amiri" w:cs="Amiri"/>
          <w:color w:val="111111"/>
          <w:sz w:val="28"/>
          <w:sz w:val="28"/>
          <w:szCs w:val="28"/>
          <w:rtl w:val="true"/>
          <w:lang w:bidi="ar-SA"/>
        </w:rPr>
        <w:t>نُقَباءِ موسىٰ عليه السلامُ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بنُ أَبي أُميّةَ مَولىٰ مُجاشِعٍ‌، عن يَزيدَ الرَّقاشيِّ‌،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قائماً إلَى اثنَي عَشَرَ مِن قُرَيشٍ‌، فإذا مَضَوا ماجَت الأرضُ بأهلِها</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رَوىٰ‌ أبو بَكرِ بنُ أَبي خَيثَمةَ‌، عن عليِّ بنِ الجَعدِ، عن زُهَيرِ بنِ مُعاويةَ‌، عن زيادِ بنِ خَيثَمةَ‌، عن الأسوَدِ بنِ سَعيدٍ الهَمْدانيِّ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بَعدي اثنا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الهَرْجُ‌</w:t>
      </w:r>
      <w:r>
        <w:rPr>
          <w:rFonts w:eastAsia="Amiri" w:cs="Amiri" w:ascii="Amiri" w:hAnsi="Amiri"/>
          <w:color w:val="111111"/>
          <w:sz w:val="28"/>
          <w:szCs w:val="28"/>
          <w:rtl w:val="true"/>
          <w:lang w:bidi="ar-SA"/>
        </w:rPr>
        <w:t>».</w:t>
      </w:r>
      <w:r>
        <w:rPr>
          <w:rStyle w:val="FootnoteAnchor"/>
          <w:rtl w:val="true"/>
        </w:rPr>
        <w:footnoteReference w:id="91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الشَّعبيِّ‌، عن جابرِ بنِ سَمُرةَ‌،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أهلُ هذا الدينِ يُنصَرونَ علىٰ مَن ناواهُم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الناسُ يَقومونَ و يَقعُدونَ‌، فتَكلَّمَ بكَلِمةٍ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أخبارُ العامّةِ و ما أَورَدوه في هذا المعنىٰ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انفَرَدَ أصحابُنا بنَقلِه،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أَخبَرَنا به الشيخُ المُفيدُ أبو عبدِ اللّٰهِ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 عن مُحمّدِ بنِ يَعقوبَ الكُلَينيِّ‌، عن مُحمّدِ بنِ يَحيىٰ‌</w:t>
      </w:r>
      <w:r>
        <w:rPr>
          <w:rStyle w:val="FootnoteAnchor"/>
          <w:rtl w:val="true"/>
        </w:rPr>
        <w:footnoteReference w:id="915"/>
      </w:r>
      <w:r>
        <w:rPr>
          <w:rFonts w:ascii="Amiri" w:hAnsi="Amiri" w:eastAsia="Amiri" w:cs="Amiri"/>
          <w:color w:val="111111"/>
          <w:sz w:val="28"/>
          <w:sz w:val="28"/>
          <w:szCs w:val="28"/>
          <w:rtl w:val="true"/>
          <w:lang w:bidi="ar-SA"/>
        </w:rPr>
        <w:t xml:space="preserve">، عن مُحمّدِ بنِ أحمَدَ، عن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العُصفُريِّ‌، عن عَمرِو بنِ ثابتٍ‌، عن أبي الجارودِ، عن أبي جَعفرٍ مُحمّدِ بنِ عليِّ بنِ الحُسَينِ‌،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 اثنَي عَشَرَ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أوتادُ الأرضِ التي أَمسَكَها اللّٰهُ تَعالىٰ بنا أن تَسيخَ بأهلِها، فإذا ذَهَبَ الِاثنا عَشَرَ مِن أهلي ساخَت الأرضُ بأهلِها و لَم يُنظَروا</w:t>
      </w:r>
      <w:r>
        <w:rPr>
          <w:rFonts w:eastAsia="Amiri" w:cs="Amiri" w:ascii="Amiri" w:hAnsi="Amiri"/>
          <w:color w:val="111111"/>
          <w:sz w:val="28"/>
          <w:szCs w:val="28"/>
          <w:rtl w:val="true"/>
          <w:lang w:bidi="ar-SA"/>
        </w:rPr>
        <w:t>».</w:t>
      </w:r>
      <w:r>
        <w:rPr>
          <w:rStyle w:val="FootnoteAnchor"/>
          <w:rtl w:val="true"/>
        </w:rPr>
        <w:footnoteReference w:id="91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أبي سَعيدٍ، رَفَعَه إلىٰ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بَيتي اثنا عَشَرَ نَقيباً نَجيباً، مُحدَّثونَ مُفهَّمونَ‌،</w:t>
      </w:r>
      <w:r>
        <w:rPr>
          <w:rStyle w:val="FootnoteAnchor"/>
          <w:rtl w:val="true"/>
        </w:rPr>
        <w:footnoteReference w:id="917"/>
      </w:r>
      <w:r>
        <w:rPr>
          <w:rFonts w:ascii="Amiri" w:hAnsi="Amiri" w:eastAsia="Amiri" w:cs="Amiri"/>
          <w:color w:val="111111"/>
          <w:sz w:val="28"/>
          <w:sz w:val="28"/>
          <w:szCs w:val="28"/>
          <w:rtl w:val="true"/>
          <w:lang w:bidi="ar-SA"/>
        </w:rPr>
        <w:t>آخِرُهم القائمُ بالحَقِّ‌، يملَؤها عَدلاً كَما مُلِئَت جَوراً</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مِن ذلكَ‌ أيضاً ما رَواه ابنُ أبي عُمَيرٍ، عن سَعيدِ بنِ غَزوانَ‌، عن أبي بَصيرٍ، عن أبي عبدِ اللّٰهِ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الأيّامِ الجُمُعةَ‌، و مِن الشُّهورِ رَمَضانَ‌، و مِن الليالي لَيلةَ القَدرِ، و اختارَ مِن الناسِ الأنبياءَ‌، و اختارَ مِن الأنبياءِ المُرسَلينَ‌، و اختارَني مِن المُرسَلينَ‌، و اختارَ مِنّي عليّاً، و اختارَ مِن عليٍّ الحَسَنَ و الحُسَينَ‌، و اختارَ مِن الحُسَينِ‌</w:t>
      </w:r>
      <w:r>
        <w:rPr>
          <w:rStyle w:val="FootnoteAnchor"/>
          <w:rtl w:val="true"/>
        </w:rPr>
        <w:footnoteReference w:id="919"/>
      </w:r>
      <w:r>
        <w:rPr>
          <w:rFonts w:ascii="Amiri" w:hAnsi="Amiri" w:eastAsia="Amiri" w:cs="Amiri"/>
          <w:color w:val="111111"/>
          <w:sz w:val="28"/>
          <w:sz w:val="28"/>
          <w:szCs w:val="28"/>
          <w:rtl w:val="true"/>
          <w:lang w:bidi="ar-SA"/>
        </w:rPr>
        <w:t>الأوصياءَ‌، و هُم تِسعةٌ مِن ولدِ الحُسَينِ عليهم السلامُ جميعاً؛ يَنفونَ عن هذا الدينِ تحريفَ الغالينَ و انتحالَ المُبطِلينَ و تأويلَ الجاهلينَ‌، تاسعُهم باطنُهم و ظاهرُهم و هو قائمُهم</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و مِن ذلكَ‌ ما رَواه وَردانُ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و قد أَجلَسَ الحُسَينَ بنَ عليٍّ علىٰ فَخِذِه، و تَفرَّسَ في 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إمامٌ‌، ابنُ إ مامٍ‌، أخو إمامٍ‌، أبو أئمّةٍ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قائمُهم أفضَلُهم أحكَمُهم</w:t>
      </w:r>
      <w:r>
        <w:rPr>
          <w:rStyle w:val="FootnoteAnchor"/>
          <w:rtl w:val="true"/>
        </w:rPr>
        <w:footnoteReference w:id="921"/>
      </w:r>
      <w:r>
        <w:rPr>
          <w:rFonts w:ascii="Amiri" w:hAnsi="Amiri" w:eastAsia="Amiri" w:cs="Amiri"/>
          <w:color w:val="111111"/>
          <w:sz w:val="28"/>
          <w:sz w:val="28"/>
          <w:szCs w:val="28"/>
          <w:rtl w:val="true"/>
          <w:lang w:bidi="ar-SA"/>
        </w:rPr>
        <w:t>أعلَمُهم</w:t>
      </w:r>
      <w:r>
        <w:rPr>
          <w:rFonts w:eastAsia="Amiri" w:cs="Amiri" w:ascii="Amiri" w:hAnsi="Amiri"/>
          <w:color w:val="111111"/>
          <w:sz w:val="28"/>
          <w:szCs w:val="28"/>
          <w:rtl w:val="true"/>
          <w:lang w:bidi="ar-SA"/>
        </w:rPr>
        <w:t>».</w:t>
      </w:r>
      <w:r>
        <w:rPr>
          <w:rStyle w:val="FootnoteAnchor"/>
          <w:rtl w:val="true"/>
        </w:rPr>
        <w:footnoteReference w:id="92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حَديثُ الخَضِرِ عليه السلامُ و سؤالِه</w:t>
      </w:r>
      <w:r>
        <w:rPr>
          <w:rStyle w:val="FootnoteAnchor"/>
          <w:rtl w:val="true"/>
        </w:rPr>
        <w:footnoteReference w:id="923"/>
      </w:r>
      <w:r>
        <w:rPr>
          <w:rFonts w:ascii="Amiri" w:hAnsi="Amiri" w:eastAsia="Amiri" w:cs="Amiri"/>
          <w:color w:val="111111"/>
          <w:sz w:val="28"/>
          <w:sz w:val="28"/>
          <w:szCs w:val="28"/>
          <w:rtl w:val="true"/>
          <w:lang w:bidi="ar-SA"/>
        </w:rPr>
        <w:t xml:space="preserve">أميرَ المؤمنينَ عليه السلامُ عن المَسائلِ‌، فأمَرَ الحُسَينَ عليه السلامُ بإجابتِه عنها، فأجابَه، فأظهَرَ الخَضِرُ عليه السلامُ بحَضرةِ الجماعةِ الإقرارَ للّٰهِ سُبحانَه بالربوبيّةِ‌، و لمُحمّدٍ صَلَّى اللّٰهُ عليه و آلِه بالنبوّةِ‌، و لأميرِ المؤمنينَ عليه السلامُ بالإمامةِ‌، و للحَسَنِ و الحُسَينِ عليهما السلامُ و التسعِة مِن ولدِ الحُسَينِ عليهم السلامُ و ذَكرَهم بأسمائهم؛ ثُمَّ انصَرَفَ‌ </w:t>
      </w:r>
    </w:p>
    <w:p>
      <w:pPr>
        <w:pStyle w:val="BookText"/>
        <w:rPr/>
      </w:pPr>
      <w:r>
        <w:rPr>
          <w:rFonts w:ascii="Amiri" w:hAnsi="Amiri" w:eastAsia="Amiri" w:cs="Amiri"/>
          <w:color w:val="111111"/>
          <w:sz w:val="28"/>
          <w:sz w:val="28"/>
          <w:szCs w:val="28"/>
          <w:rtl w:val="true"/>
          <w:lang w:bidi="ar-SA"/>
        </w:rPr>
        <w:t>و لَم يَعرِفِ القومُ مَن هو؟ فأخبَرَهم أميرُ المؤمنينَ عليه السلامُ أ نّه الخَضِرُ</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 الحَديثُ مُدوَّنٌ مشهورٌ في كُتُبِ أصحابِنا، و له شَرحٌ لَم أُورِدْه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أيضاً حَديثُ اللوحِ الذي أهبَطَه اللّٰهُ تَعالىٰ علىٰ نَبيِّه صَلَّى اللّٰهُ عليه و آلِه، فيه أسماءُ الأئمّةِ الاثنَي عَشَرَ</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و هو أيضاً مشهورٌ عندَ الطائفةِ مضروبٌ في حِياطِها</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هذا كَثيرةٌ لا تُحصىٰ‌، و لَو قَصَدتُ إلىٰ إثباتِها لَطالَ بها المَقالُ‌</w:t>
      </w:r>
      <w:r>
        <w:rPr>
          <w:rStyle w:val="FootnoteAnchor"/>
          <w:rtl w:val="true"/>
        </w:rPr>
        <w:footnoteReference w:id="927"/>
      </w:r>
      <w:r>
        <w:rPr>
          <w:rFonts w:ascii="Amiri" w:hAnsi="Amiri" w:eastAsia="Amiri" w:cs="Amiri"/>
          <w:color w:val="111111"/>
          <w:sz w:val="28"/>
          <w:sz w:val="28"/>
          <w:szCs w:val="28"/>
          <w:rtl w:val="true"/>
          <w:lang w:bidi="ar-SA"/>
        </w:rPr>
        <w:t xml:space="preserve">، و هذا كافٍ في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تَحرَّيناه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الذي أَورَدتَه مِن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ما إن تَمسَّكتم به لَن تَضِلّوا؛ كِتابَ اللّٰهِ و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المُرادُ به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اجتَمَعَ له الصفاتُ التي يَستَحِقُّ بها الاتّباعَ و يَكونُ المُتمسِّكُ به حينَئذٍ غيرَ ضالٍّ بهَديِه، و هذا غيرُ موجودٍ إلّافي أئمّتِنا عليهم السلامُ‌؛ بدَلالةِ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دَلَّ علىٰ أ نّهم هُم المَعنيّونَ بذلكَ دونَ مَن سِواهم، علىٰ ما رَتَّبناه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وَحدَه، و صَلَّى اللّٰهُ علىٰ سَيّدِنا مُحمّدٍ و آلِه الطيّبينَ الطاهرينَ‌، و سَلَّم تسليماً كَثيراً كَثيراً، آمينَ‌</w:t>
      </w:r>
      <w:r>
        <w:rPr>
          <w:rFonts w:eastAsia="Amiri" w:cs="Amiri" w:ascii="Amiri" w:hAnsi="Amiri"/>
          <w:color w:val="111111"/>
          <w:sz w:val="28"/>
          <w:szCs w:val="28"/>
          <w:rtl w:val="true"/>
          <w:lang w:bidi="ar-SA"/>
        </w:rPr>
        <w:t xml:space="preserve">. </w:t>
      </w:r>
      <w:bookmarkStart w:id="486" w:name="pg16425_221738"/>
    </w:p>
    <w:p>
      <w:pPr>
        <w:pStyle w:val="Heading3"/>
        <w:numPr>
          <w:ilvl w:val="2"/>
          <w:numId w:val="1"/>
        </w:numPr>
        <w:rPr/>
      </w:pPr>
      <w:bookmarkStart w:id="487" w:name="__RefHeading___Toc7830219_1280447820"/>
      <w:bookmarkStart w:id="488" w:name="_Toc158"/>
      <w:bookmarkEnd w:id="486"/>
      <w:bookmarkEnd w:id="487"/>
      <w:r>
        <w:rPr>
          <w:rtl w:val="true"/>
        </w:rPr>
        <w:t>(</w:t>
      </w:r>
      <w:r>
        <w:rPr/>
        <w:t>56</w:t>
      </w:r>
      <w:r>
        <w:rPr>
          <w:rtl w:val="true"/>
        </w:rPr>
        <w:t xml:space="preserve">) </w:t>
      </w:r>
      <w:r>
        <w:rPr>
          <w:rtl w:val="true"/>
        </w:rPr>
        <w:t>مسألةٌ فيمن يَتولّىٰ غُسلَ الإمامِ‌</w:t>
      </w:r>
      <w:bookmarkEnd w:id="48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9" w:name="__RefHeading___Toc7830221_1280447820"/>
      <w:bookmarkStart w:id="490" w:name="_Toc159"/>
      <w:bookmarkEnd w:id="489"/>
      <w:r>
        <w:rPr>
          <w:rtl w:val="true"/>
        </w:rPr>
        <w:t>اشارة</w:t>
      </w:r>
      <w:bookmarkEnd w:id="49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16425_221740"/>
      <w:bookmarkStart w:id="492" w:name="pg16425_221740"/>
      <w:bookmarkEnd w:id="492"/>
    </w:p>
    <w:p>
      <w:pPr>
        <w:pStyle w:val="Heading4"/>
        <w:numPr>
          <w:ilvl w:val="3"/>
          <w:numId w:val="1"/>
        </w:numPr>
        <w:rPr/>
      </w:pPr>
      <w:bookmarkStart w:id="493" w:name="pg16425_221740"/>
      <w:bookmarkStart w:id="494" w:name="__RefHeading___Toc7830223_1280447820"/>
      <w:bookmarkStart w:id="495" w:name="_Toc160"/>
      <w:bookmarkEnd w:id="493"/>
      <w:bookmarkEnd w:id="494"/>
      <w:r>
        <w:rPr>
          <w:rtl w:val="true"/>
        </w:rPr>
        <w:t>مقدّمة التحقيق</w:t>
      </w:r>
      <w:bookmarkEnd w:id="495"/>
    </w:p>
    <w:p>
      <w:pPr>
        <w:pStyle w:val="Heading5"/>
        <w:numPr>
          <w:ilvl w:val="4"/>
          <w:numId w:val="1"/>
        </w:numPr>
        <w:rPr/>
      </w:pPr>
      <w:bookmarkStart w:id="496" w:name="__RefHeading___Toc7830225_1280447820"/>
      <w:bookmarkStart w:id="497" w:name="_Toc161"/>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تعرّض الشريف المرتضى في هذه الرسالة إلى مسألة تغسيل الإمام اللاحق للإمام السابق، و أنّه هل هو الذي يتولّى تغسيله و الصلاة عليه دون غيره أو لا؟ فقام ببيان رأيه حول هذا الموضوع بصورة صريحة و احترافيّة، فقد كان في هذه الرسالة وفيّاً لمبانيه و آرائه الكلاميّة التي اختارها في كتبه المفصّلة، و حاول تطبيقها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الرسالة إضافة إلى فائدتها في التعريف برأي الشريف المرتضى حول مسألة المتولّي لتغسيل الإمام، فإنّها على الرغم من اختصارها تعرّفنا على مجموعة مهمّة من آرائه و مبانيه الكلاميّة، إضافة إلى أنّها تبيّن لنا نوع العقلانيّة التي كانت حاكمة على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رأى الشريف المرتضى أنّ دليل مسألة لزوم تغسيل الإمام اللاحق للسابق هو خبر واحد، و خبر الواحد ليس بحجّة، فإنّه لا يوجب علماً و لا يقيناً، و لهذا لا يمكن إثبات وجوب تغسيل الإمام اللاحق للسابق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تسليم صحّة الخبر الدالّ على ذلك، قام الشريف المرتضى بتقييده، من خلال حمله على الغالب و الأكثر بشرط القدرة و الإمكان، ففي أكثر الموارد كان الإمام اللاحق بقرب الإمام السابق، و كان قادراً على الوصول إليه بسهولة، فبطبيعة الحال يكون هو المتولّي للغسل، لكن إذا لم يمكن وصول الإمام اللاحق إلى مكان السابق بسبب بُعد المسافة بينهما، فالخبر لا يشمل هذه الحالة، و ذلك مثل حالة الإمام </w:t>
      </w:r>
    </w:p>
    <w:p>
      <w:pPr>
        <w:pStyle w:val="BookText"/>
        <w:rPr/>
      </w:pPr>
      <w:r>
        <w:rPr>
          <w:rFonts w:ascii="Amiri" w:hAnsi="Amiri" w:eastAsia="Amiri" w:cs="Amiri"/>
          <w:color w:val="111111"/>
          <w:sz w:val="28"/>
          <w:sz w:val="28"/>
          <w:szCs w:val="28"/>
          <w:rtl w:val="true"/>
          <w:lang w:bidi="ar-SA"/>
        </w:rPr>
        <w:t>الكاظم و الرضا عليهما السلامُ‌، فقد كان الكاظم عند شهادته في بغداد و الرضا في المدينة، أو حالة الإمام الرضا الذي استشهد في طوس، و ابنه الجواد في المدينة، فإنّه لا يمكن لمن كان في المدينة أن يغسّل من هو في بغداد أو طوس، و ذلك بسبب بُعد المسافة، و عدم إمكان الوصول إليه في وقت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ليس الخبر الدالّ على تغسيل الإمام اللاحق للسابق شاملاً لمثل هذه الحالات الخارجة عن القدرة و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الشريف المرتضى عن بعض الإماميّة جواباً على ذلك، و هو أنّه يمكن أن ينقل اللّٰه تعالى الإمام عليه السلامُ إلى أماكن بعيدة في أسرع وقت، و بذلك يمكن أن ينتقل من المدينة إلى بغداد أو طوس في فترة قصيرة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ظهور المعجزات على يد غير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هذه النقطة يشير الشريف المرتضى إلى مسألة خلافيّة بين المتكلّمين، و هي هل يمكن أن تظهر المعجزات على يد غير الانبياء أو لا؟ حيث ذهب جمهور علماء الإماميّة</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الشريف المرتضى</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إمكان ذلك، فيما رفض معظم الفِرق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إمكانه، و حصروا ظهور المعجزات بالأنبياء عليهم السلامُ‌</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لقد أجاب الشريف المرتضى على ما تقدّم من كلام بعض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ظهور المعجزات على يد غير الأنبياء، و منهم الأئمّة عليهم السلامُ‌، و لكنّ للمعجزة شرطاً، و هو أن لا تكون مستحيلة في حدّ ذاتها، فإنّ المعجزة لا تحقّق المستحيلات، و انتقال الإمام إلى مناطق بعيدة جدّاً في فترة قصيرة يعتبر أمراً مستحيلاً و غير مقدور؛ لأنّ انتقال الجسم من مكان إلىٰ آخر يحتاج إلىٰ زمان معيّن </w:t>
      </w:r>
    </w:p>
    <w:p>
      <w:pPr>
        <w:pStyle w:val="BookText"/>
        <w:rPr/>
      </w:pPr>
      <w:r>
        <w:rPr>
          <w:rFonts w:ascii="Amiri" w:hAnsi="Amiri" w:eastAsia="Amiri" w:cs="Amiri"/>
          <w:color w:val="111111"/>
          <w:sz w:val="28"/>
          <w:sz w:val="28"/>
          <w:szCs w:val="28"/>
          <w:rtl w:val="true"/>
          <w:lang w:bidi="ar-SA"/>
        </w:rPr>
        <w:t>و متناسب مع المسافة المقطوعة، و يستحيل أن يقطع الجسم المسافة البعيدة في فترة قصيرة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الإجابة على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إشكال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طرحه الشريف المرتضى، قام بطرح جوابين للدلالة على إمكان هذا الانتقال السريع إلى أماكن بعيدة، ثمّ ناقشهما،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يَنتقل الإمام عليه السلامُ كما يَنتقل الطائر إلى أماكن بعيدة في فترة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الشريف المرتضى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قصدتم أنّ اللّٰه تعالى يجعل للإمام جناحاً لينتقل كما ينتقل الطائر، فهو أمر ممكن و غير منكر في حدّ ذاته، لكن الطائر الثقيل لا يكون طيرانه في السرعة و الخفّة مثل الطائر الصغير، و نحن نعلم أنّ الطائر الصغير لا يمكنه الطيران من المدينة إلى طوس في يوم واحد، فمن الأَولى أن لا يتمكّن الإنسان من ذلك و إن كان له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يقوم اللّٰه تعالى بإعدام الإمام في المدينة، ثمّ إيجاده في اللحظة التالية في بغداد أو 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الشريف المرتضى بأنّ هذا مستحيل؛ لأنّ عدم بعض الأجسام لا يكون إلّا بالضدّ الذي هو الفناء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في هذه النقطة يشير إلى مسألة كلاميّة أُخرى، و هي أنّه كيف يمكن إعدام الأجسام و الجواهر؟ فكان رأيه أنّ هذا يكون من خلال إيجاد ضدّها و هو الفناء فتنعدم؛ لأنّ الجواهر باقية، و الباقي لا يخرج من الوجود إلّابضدّ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أنّ الجوهر لا يحتاج إلى غيره فينتفي بانتفائه كما في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يجب متى انتفى الجوهر أن ينتفي من خلال إيجاد ضدٍّ ينفيه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لقد أجاب الشريف المرتضى على النقطة الثانية المتقدّمة بأنّ إعدام الإمام ثمّ‌ </w:t>
      </w:r>
    </w:p>
    <w:p>
      <w:pPr>
        <w:pStyle w:val="BookText"/>
        <w:rPr/>
      </w:pPr>
      <w:r>
        <w:rPr>
          <w:rFonts w:ascii="Amiri" w:hAnsi="Amiri" w:eastAsia="Amiri" w:cs="Amiri"/>
          <w:color w:val="111111"/>
          <w:sz w:val="28"/>
          <w:sz w:val="28"/>
          <w:szCs w:val="28"/>
          <w:rtl w:val="true"/>
          <w:lang w:bidi="ar-SA"/>
        </w:rPr>
        <w:t>إيجاده يعتبر أمراً مستحيلاً؛ لأنّ عدم بعض الأجسام لا يكون إلّابالضدّ و هو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 من جهة أُخرى فإنّ فناء بعض الجواهر فناءٌ لجميعها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هنا يشير إلى مسألة كلاميّة أُخرى، و هي ما ذهب إليه بعض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الإعدام لا يجوز على جسم دون آخر، بل إذا أراد اللّٰه تعالى إعدام جسم فيجب أن يعدم جميع الأجسام</w:t>
      </w:r>
      <w:r>
        <w:rPr>
          <w:rStyle w:val="FootnoteAnchor"/>
          <w:rtl w:val="true"/>
        </w:rPr>
        <w:footnoteReference w:id="932"/>
      </w:r>
      <w:r>
        <w:rPr>
          <w:rFonts w:ascii="Amiri" w:hAnsi="Amiri" w:eastAsia="Amiri" w:cs="Amiri"/>
          <w:color w:val="111111"/>
          <w:sz w:val="28"/>
          <w:sz w:val="28"/>
          <w:szCs w:val="28"/>
          <w:rtl w:val="true"/>
          <w:lang w:bidi="ar-SA"/>
        </w:rPr>
        <w:t>، فإذا أراد أن يعدم الإمامَ‌، فيجب أن يعدم جميع الأجسام معه، و هو أمر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تبرّع الشريف المرتضى للإجابة على إشكال الاستحالة المتقدّم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يوجد اللّٰه تعالى رياحاً عواصف تحمل الإمام من المدينة إلى طوس بسرعة هائلة تزيد على سرعة الطائر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أجاب عليه أيضاً بجواب عام يصلح أن يكون جواباً لكلّ مَن يذهب إلى ضرورة أن يغسل الإمامُ اللاحق الإمامَ السابق، و هو أنّه على فرض صحّة جميع ما تقدّم من توجيهات أو بعضها، فيردُ عليها كلّها أنّه لو ذهب الإمام عليه السلامُ من المدينة إلى بغداد أو طوس، لرآه الناس الحاضرون هناك؛ لأنّه جسم، و الجسم لا بدّ أن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هنا طرح مسألة كلاميّة أُخرى، و هي حقيقة الإنسان، فهل هي هذا الجسم المُشاهَد، أو أنّها عبارة عن روحه المجردة‌؟ و قد ذهب الشريف المرتضى إلى القول بأنّ حقيقة الإنسان هو هذا الجسم المُشاهَد</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لو ذهب الإمام عليه السلامُ إلى بغداد أو طوس لشاهده الناس؛ لأنّ حقيقة الإمام ككلّ إنسان آخر عبارة عن هذا الجسم المُشاهَد، و الجسم لا بدّ أن يراه كلّ صحيح العين، فكيف يمكن هذا مع أنّه قد نُقل في كتب التاريخ أسماء الأشخاص الذين غسلوا الإمام الكاظم و الرضا عليهما السلامُ‌، فإنّهم لم يكونوا الأئمّة اللاحقين، </w:t>
      </w:r>
      <w:bookmarkStart w:id="498" w:name="pg16425_221744"/>
    </w:p>
    <w:p>
      <w:pPr>
        <w:pStyle w:val="BookText"/>
        <w:rPr/>
      </w:pPr>
      <w:bookmarkEnd w:id="498"/>
      <w:r>
        <w:rPr>
          <w:rFonts w:ascii="Amiri" w:hAnsi="Amiri" w:eastAsia="Amiri" w:cs="Amiri"/>
          <w:color w:val="111111"/>
          <w:sz w:val="28"/>
          <w:sz w:val="28"/>
          <w:szCs w:val="28"/>
          <w:rtl w:val="true"/>
          <w:lang w:bidi="ar-SA"/>
        </w:rPr>
        <w:t>و هذا يقتضي أن يكون الأمر على ما اختاره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تغسيل الإمام اللاحق للسابق مرويّة بأخبار آحاد ليست حجّة، و على فرض التسليم بها، فإنّ الانتقال إلى أماكن بعيدة في فترة قصيرة أمر مستحيل و غير ممكن في حدّ ذاته، و على فرض كونه ممكناً لكان الحاضرون في تلك الأماكن يشاهدون الأئمّة المنتقلين من الأماكن البعيدة، و ينقلونه لنا، لكن لم يحصل شيء من ذلك، بل على العكس لقد نُقلت لنا أسماء أشخاص آخرين قاموا بتغسيل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قراءة هذه الرسالة على اختصارها أمر مُمتع، بسبب ما احتوت عليه من تطبيق لمختلف الآراء و المباني الكلاميّة</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7830227_1280447820"/>
      <w:bookmarkStart w:id="500" w:name="_Toc162"/>
      <w:bookmarkEnd w:id="499"/>
      <w:r>
        <w:rPr>
          <w:rtl w:val="true"/>
        </w:rPr>
        <w:t>نسبتها إلى المؤّلف</w:t>
      </w:r>
      <w:bookmarkEnd w:id="500"/>
    </w:p>
    <w:p>
      <w:pPr>
        <w:pStyle w:val="BookText"/>
        <w:rPr/>
      </w:pPr>
      <w:r>
        <w:rPr>
          <w:rFonts w:ascii="Amiri" w:hAnsi="Amiri" w:eastAsia="Amiri" w:cs="Amiri"/>
          <w:color w:val="111111"/>
          <w:sz w:val="28"/>
          <w:sz w:val="28"/>
          <w:szCs w:val="28"/>
          <w:rtl w:val="true"/>
          <w:lang w:bidi="ar-SA"/>
        </w:rPr>
        <w:t xml:space="preserve">لقد أشار الشريف المرتضى في هذه الرسالة إلى كتابه الذخيرة، كما نقل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منها و نسبه إلى الشريف المرتضى</w:t>
      </w:r>
      <w:r>
        <w:rPr>
          <w:rStyle w:val="FootnoteAnchor"/>
          <w:rtl w:val="true"/>
        </w:rPr>
        <w:footnoteReference w:id="934"/>
      </w:r>
      <w:r>
        <w:rPr>
          <w:rFonts w:ascii="Amiri" w:hAnsi="Amiri" w:eastAsia="Amiri" w:cs="Amiri"/>
          <w:color w:val="111111"/>
          <w:sz w:val="28"/>
          <w:sz w:val="28"/>
          <w:szCs w:val="28"/>
          <w:rtl w:val="true"/>
          <w:lang w:bidi="ar-SA"/>
        </w:rPr>
        <w:t>و هذا يدلّ علىٰ صحّة نسبة الرسالة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هذه الرسالة قد طبعت في ضمن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7830229_1280447820"/>
      <w:bookmarkStart w:id="502" w:name="_Toc163"/>
      <w:bookmarkEnd w:id="501"/>
      <w:r>
        <w:rPr>
          <w:rtl w:val="true"/>
        </w:rPr>
        <w:t>مخطوطات الرسالة</w:t>
      </w:r>
      <w:bookmarkEnd w:id="502"/>
    </w:p>
    <w:p>
      <w:pPr>
        <w:pStyle w:val="Heading6"/>
        <w:numPr>
          <w:ilvl w:val="5"/>
          <w:numId w:val="1"/>
        </w:numPr>
        <w:rPr/>
      </w:pPr>
      <w:bookmarkStart w:id="503" w:name="__RefHeading___Toc7830231_1280447820"/>
      <w:bookmarkStart w:id="504" w:name="_Toc164"/>
      <w:bookmarkEnd w:id="503"/>
      <w:r>
        <w:rPr>
          <w:rtl w:val="true"/>
        </w:rPr>
        <w:t>ألف</w:t>
      </w:r>
      <w:r>
        <w:rPr>
          <w:rtl w:val="true"/>
        </w:rPr>
        <w:t xml:space="preserve">) </w:t>
      </w:r>
      <w:r>
        <w:rPr>
          <w:rtl w:val="true"/>
        </w:rPr>
        <w:t>النسخ المعتمدة</w:t>
      </w:r>
      <w:r>
        <w:rPr>
          <w:rtl w:val="true"/>
        </w:rPr>
        <w:t>:</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bookmarkStart w:id="505" w:name="pg16425_221745"/>
    </w:p>
    <w:p>
      <w:pPr>
        <w:pStyle w:val="BookText"/>
        <w:rPr/>
      </w:pPr>
      <w:bookmarkEnd w:id="50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تكرّرت أيضاً في ا 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7830233_1280447820"/>
      <w:bookmarkStart w:id="507" w:name="_Toc165"/>
      <w:bookmarkEnd w:id="506"/>
      <w:r>
        <w:rPr>
          <w:rtl w:val="true"/>
        </w:rPr>
        <w:t>ب</w:t>
      </w:r>
      <w:r>
        <w:rPr>
          <w:rtl w:val="true"/>
        </w:rPr>
        <w:t xml:space="preserve">) </w:t>
      </w:r>
      <w:r>
        <w:rPr>
          <w:rtl w:val="true"/>
        </w:rPr>
        <w:t>سائر النسخ</w:t>
      </w:r>
      <w:r>
        <w:rPr>
          <w:rtl w:val="true"/>
        </w:rPr>
        <w:t>:</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تكرّرت أيضاً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438/9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bookmarkStart w:id="508" w:name="pg16425_221746"/>
    </w:p>
    <w:p>
      <w:pPr>
        <w:pStyle w:val="BookText"/>
        <w:rPr/>
      </w:pPr>
      <w:bookmarkEnd w:id="508"/>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7830235_1280447820"/>
      <w:bookmarkStart w:id="510" w:name="_Toc166"/>
      <w:bookmarkEnd w:id="509"/>
      <w:r>
        <w:rPr>
          <w:rtl w:val="true"/>
        </w:rPr>
        <w:t>مسألةٌ فيمن يَتولّىٰ غُسلَ الإمامِ‌</w:t>
      </w:r>
      <w:bookmarkEnd w:id="5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مسألةٌ‌</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المُتوَلّي لغُسلِ الإمامِ الماضي و الصلاةِ عليه‌؟ و هَل ذلكَ موقوفٌ علىٰ تَولّي الإمامِ بَعدَه له، أم يَجوزُ أن يَتوَلّاه غيرُه‌؟</w:t>
      </w:r>
    </w:p>
    <w:p>
      <w:pPr>
        <w:pStyle w:val="BookText"/>
        <w:rPr/>
      </w:pPr>
      <w:r>
        <w:rPr>
          <w:rFonts w:ascii="Amiri" w:hAnsi="Amiri" w:eastAsia="Amiri" w:cs="Amiri"/>
          <w:color w:val="111111"/>
          <w:sz w:val="28"/>
          <w:sz w:val="28"/>
          <w:szCs w:val="28"/>
          <w:rtl w:val="true"/>
          <w:lang w:bidi="ar-SA"/>
        </w:rPr>
        <w:t>الجوابُ‌</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رَوَت الشيعةُ الإماميّةُ أنّ غُسلَ الإمامِ و الصلاةَ عليه مَوقوفانِ‌</w:t>
      </w:r>
      <w:r>
        <w:rPr>
          <w:rStyle w:val="FootnoteAnchor"/>
          <w:rtl w:val="true"/>
        </w:rPr>
        <w:footnoteReference w:id="937"/>
      </w:r>
      <w:r>
        <w:rPr>
          <w:rFonts w:ascii="Amiri" w:hAnsi="Amiri" w:eastAsia="Amiri" w:cs="Amiri"/>
          <w:color w:val="111111"/>
          <w:sz w:val="28"/>
          <w:sz w:val="28"/>
          <w:szCs w:val="28"/>
          <w:rtl w:val="true"/>
          <w:lang w:bidi="ar-SA"/>
        </w:rPr>
        <w:t>علَى الإمامِ الذي يَتوَلَّى الأمرَ</w:t>
      </w:r>
      <w:r>
        <w:rPr>
          <w:rStyle w:val="FootnoteAnchor"/>
          <w:rtl w:val="true"/>
        </w:rPr>
        <w:footnoteReference w:id="938"/>
      </w:r>
      <w:r>
        <w:rPr>
          <w:rFonts w:ascii="Amiri" w:hAnsi="Amiri" w:eastAsia="Amiri" w:cs="Amiri"/>
          <w:color w:val="111111"/>
          <w:sz w:val="28"/>
          <w:sz w:val="28"/>
          <w:szCs w:val="28"/>
          <w:rtl w:val="true"/>
          <w:lang w:bidi="ar-SA"/>
        </w:rPr>
        <w:t>بَعدَه،</w:t>
      </w:r>
      <w:r>
        <w:rPr>
          <w:rStyle w:val="FootnoteAnchor"/>
          <w:rtl w:val="true"/>
        </w:rPr>
        <w:footnoteReference w:id="939"/>
      </w:r>
      <w:r>
        <w:rPr>
          <w:rFonts w:ascii="Amiri" w:hAnsi="Amiri" w:eastAsia="Amiri" w:cs="Amiri"/>
          <w:color w:val="111111"/>
          <w:sz w:val="28"/>
          <w:sz w:val="28"/>
          <w:szCs w:val="28"/>
          <w:rtl w:val="true"/>
          <w:lang w:bidi="ar-SA"/>
        </w:rPr>
        <w:t>و تَعسَّفوا لها فيما ظاهرُه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المُتضمِّنةُ لِما ذَكرناه واردةٌ مِن طَريقِ الآحادِ، التي لا توجِبُ‌</w:t>
      </w:r>
      <w:r>
        <w:rPr>
          <w:rStyle w:val="FootnoteAnchor"/>
          <w:rtl w:val="true"/>
        </w:rPr>
        <w:footnoteReference w:id="940"/>
      </w:r>
      <w:r>
        <w:rPr>
          <w:rFonts w:ascii="Amiri" w:hAnsi="Amiri" w:eastAsia="Amiri" w:cs="Amiri"/>
          <w:color w:val="111111"/>
          <w:sz w:val="28"/>
          <w:sz w:val="28"/>
          <w:szCs w:val="28"/>
          <w:rtl w:val="true"/>
          <w:lang w:bidi="ar-SA"/>
        </w:rPr>
        <w:t>عِلماً، و لا يُقطَعُ بمِثلِها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يَمتَنِعُ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بها الأكثَرُ الأغلَبُ‌، و مع الإمكانِ و القُدرةِ‌؛ لأنّا قد شاهَدنا</w:t>
      </w:r>
      <w:r>
        <w:rPr>
          <w:rStyle w:val="FootnoteAnchor"/>
          <w:rtl w:val="true"/>
        </w:rPr>
        <w:footnoteReference w:id="941"/>
      </w:r>
      <w:r>
        <w:rPr>
          <w:rFonts w:ascii="Amiri" w:hAnsi="Amiri" w:eastAsia="Amiri" w:cs="Amiri"/>
          <w:color w:val="111111"/>
          <w:sz w:val="28"/>
          <w:sz w:val="28"/>
          <w:szCs w:val="28"/>
          <w:rtl w:val="true"/>
          <w:lang w:bidi="ar-SA"/>
        </w:rPr>
        <w:t xml:space="preserve">ما جَرىٰ علىٰ خِلافِ ذلكَ‌؛ لأنّ موسَى بنَ جَعفَرٍ </w:t>
      </w:r>
    </w:p>
    <w:p>
      <w:pPr>
        <w:pStyle w:val="BookText"/>
        <w:rPr/>
      </w:pPr>
      <w:r>
        <w:rPr>
          <w:rFonts w:ascii="Amiri" w:hAnsi="Amiri" w:eastAsia="Amiri" w:cs="Amiri"/>
          <w:color w:val="111111"/>
          <w:sz w:val="28"/>
          <w:sz w:val="28"/>
          <w:szCs w:val="28"/>
          <w:rtl w:val="true"/>
          <w:lang w:bidi="ar-SA"/>
        </w:rPr>
        <w:t>عليهما السلامُ تُوفّيَ بمَدينةِ السَّلامِ و الإمامُ بَعدَه عليُّ بنُ موسَى الرِّضا عليه السلامُ بالمَدينةِ‌، و عليَّ بنَ موسىٰ‌</w:t>
      </w:r>
      <w:r>
        <w:rPr>
          <w:rStyle w:val="FootnoteAnchor"/>
          <w:rtl w:val="true"/>
        </w:rPr>
        <w:footnoteReference w:id="942"/>
      </w:r>
      <w:r>
        <w:rPr>
          <w:rFonts w:ascii="Amiri" w:hAnsi="Amiri" w:eastAsia="Amiri" w:cs="Amiri"/>
          <w:color w:val="111111"/>
          <w:sz w:val="28"/>
          <w:sz w:val="28"/>
          <w:szCs w:val="28"/>
          <w:rtl w:val="true"/>
          <w:lang w:bidi="ar-SA"/>
        </w:rPr>
        <w:t>عليه السلامُ تُوفّيَ بِطوسَ و</w:t>
      </w:r>
      <w:r>
        <w:rPr>
          <w:rStyle w:val="FootnoteAnchor"/>
          <w:rtl w:val="true"/>
        </w:rPr>
        <w:footnoteReference w:id="943"/>
      </w:r>
      <w:r>
        <w:rPr>
          <w:rFonts w:ascii="Amiri" w:hAnsi="Amiri" w:eastAsia="Amiri" w:cs="Amiri"/>
          <w:color w:val="111111"/>
          <w:sz w:val="28"/>
          <w:sz w:val="28"/>
          <w:szCs w:val="28"/>
          <w:rtl w:val="true"/>
          <w:lang w:bidi="ar-SA"/>
        </w:rPr>
        <w:t>ابنُه محمّدٌ عليه السلامُ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يَتَمكَّنُ‌</w:t>
      </w:r>
      <w:r>
        <w:rPr>
          <w:rStyle w:val="FootnoteAnchor"/>
          <w:rtl w:val="true"/>
        </w:rPr>
        <w:footnoteReference w:id="944"/>
      </w:r>
      <w:r>
        <w:rPr>
          <w:rFonts w:ascii="Amiri" w:hAnsi="Amiri" w:eastAsia="Amiri" w:cs="Amiri"/>
          <w:color w:val="111111"/>
          <w:sz w:val="28"/>
          <w:sz w:val="28"/>
          <w:szCs w:val="28"/>
          <w:rtl w:val="true"/>
          <w:lang w:bidi="ar-SA"/>
        </w:rPr>
        <w:t>أن يَتولّىٰ مَن بالمَدينةِ غُسلَ مَن ماتَ‌</w:t>
      </w:r>
      <w:r>
        <w:rPr>
          <w:rStyle w:val="FootnoteAnchor"/>
          <w:rtl w:val="true"/>
        </w:rPr>
        <w:footnoteReference w:id="945"/>
      </w:r>
      <w:r>
        <w:rPr>
          <w:rFonts w:ascii="Amiri" w:hAnsi="Amiri" w:eastAsia="Amiri" w:cs="Amiri"/>
          <w:color w:val="111111"/>
          <w:sz w:val="28"/>
          <w:sz w:val="28"/>
          <w:szCs w:val="28"/>
          <w:rtl w:val="true"/>
          <w:lang w:bidi="ar-SA"/>
        </w:rPr>
        <w:t>بِطوسَ‌، أو</w:t>
      </w:r>
      <w:r>
        <w:rPr>
          <w:rStyle w:val="FootnoteAnchor"/>
          <w:rtl w:val="true"/>
        </w:rPr>
        <w:footnoteReference w:id="946"/>
      </w:r>
      <w:r>
        <w:rPr>
          <w:rFonts w:ascii="Amiri" w:hAnsi="Amiri" w:eastAsia="Amiri" w:cs="Amiri"/>
          <w:color w:val="111111"/>
          <w:sz w:val="28"/>
          <w:sz w:val="28"/>
          <w:szCs w:val="28"/>
          <w:rtl w:val="true"/>
          <w:lang w:bidi="ar-SA"/>
        </w:rPr>
        <w:t>بمَدينةِ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تَعسَّفَ بعضُ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مُمتَنِعٍ أن يَنقُلَ اللّٰهُ تَعالَى الإمامَ مِن المكانِ الشاسِعِ‌</w:t>
      </w:r>
      <w:r>
        <w:rPr>
          <w:rStyle w:val="FootnoteAnchor"/>
          <w:rtl w:val="true"/>
        </w:rPr>
        <w:footnoteReference w:id="947"/>
      </w:r>
      <w:r>
        <w:rPr>
          <w:rFonts w:ascii="Amiri" w:hAnsi="Amiri" w:eastAsia="Amiri" w:cs="Amiri"/>
          <w:color w:val="111111"/>
          <w:sz w:val="28"/>
          <w:sz w:val="28"/>
          <w:szCs w:val="28"/>
          <w:rtl w:val="true"/>
          <w:lang w:bidi="ar-SA"/>
        </w:rPr>
        <w:t>في أقرَبِ الأوقاتِ و يَطويَ له البَعيدَ، فيَجوزُ أن يَنتقلَ مَن بالمَدينةِ‌</w:t>
      </w:r>
      <w:r>
        <w:rPr>
          <w:rStyle w:val="FootnoteAnchor"/>
          <w:rtl w:val="true"/>
        </w:rPr>
        <w:footnoteReference w:id="948"/>
      </w:r>
      <w:r>
        <w:rPr>
          <w:rFonts w:ascii="Amiri" w:hAnsi="Amiri" w:eastAsia="Amiri" w:cs="Amiri"/>
          <w:color w:val="111111"/>
          <w:sz w:val="28"/>
          <w:sz w:val="28"/>
          <w:szCs w:val="28"/>
          <w:rtl w:val="true"/>
          <w:lang w:bidi="ar-SA"/>
        </w:rPr>
        <w:t>إلىٰ مَدينةِ‌</w:t>
      </w:r>
      <w:r>
        <w:rPr>
          <w:rStyle w:val="FootnoteAnchor"/>
          <w:rtl w:val="true"/>
        </w:rPr>
        <w:footnoteReference w:id="949"/>
      </w:r>
      <w:r>
        <w:rPr>
          <w:rFonts w:ascii="Amiri" w:hAnsi="Amiri" w:eastAsia="Amiri" w:cs="Amiri"/>
          <w:color w:val="111111"/>
          <w:sz w:val="28"/>
          <w:sz w:val="28"/>
          <w:szCs w:val="28"/>
          <w:rtl w:val="true"/>
          <w:lang w:bidi="ar-SA"/>
        </w:rPr>
        <w:t>السَّلامِ و طوسَ في الوقتِ‌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Style w:val="FootnoteAnchor"/>
          <w:rtl w:val="true"/>
        </w:rPr>
        <w:footnoteReference w:id="950"/>
      </w:r>
      <w:r>
        <w:rPr>
          <w:rFonts w:ascii="Amiri" w:hAnsi="Amiri" w:eastAsia="Amiri" w:cs="Amiri"/>
          <w:color w:val="111111"/>
          <w:sz w:val="28"/>
          <w:sz w:val="28"/>
          <w:szCs w:val="28"/>
          <w:rtl w:val="true"/>
          <w:lang w:bidi="ar-SA"/>
        </w:rPr>
        <w:t>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نَمنَعُ‌</w:t>
      </w:r>
      <w:r>
        <w:rPr>
          <w:rStyle w:val="FootnoteAnchor"/>
          <w:rtl w:val="true"/>
        </w:rPr>
        <w:footnoteReference w:id="951"/>
      </w:r>
      <w:r>
        <w:rPr>
          <w:rFonts w:ascii="Amiri" w:hAnsi="Amiri" w:eastAsia="Amiri" w:cs="Amiri"/>
          <w:color w:val="111111"/>
          <w:sz w:val="28"/>
          <w:sz w:val="28"/>
          <w:szCs w:val="28"/>
          <w:rtl w:val="true"/>
          <w:lang w:bidi="ar-SA"/>
        </w:rPr>
        <w:t>مِن إظهارِ المُعجِزاتِ و خَرقِ العاداتِ للأئمّةِ عليهم السلامُ‌، إلّاأنّ خَرقَ العادةِ إنّما هو في إيجادِ المقدورِ دونَ المُستَحيلِ‌؛ و الجسمُ‌</w:t>
      </w:r>
      <w:r>
        <w:rPr>
          <w:rStyle w:val="FootnoteAnchor"/>
          <w:rtl w:val="true"/>
        </w:rPr>
        <w:footnoteReference w:id="952"/>
      </w:r>
      <w:r>
        <w:rPr>
          <w:rFonts w:ascii="Amiri" w:hAnsi="Amiri" w:eastAsia="Amiri" w:cs="Amiri"/>
          <w:color w:val="111111"/>
          <w:sz w:val="28"/>
          <w:sz w:val="28"/>
          <w:szCs w:val="28"/>
          <w:rtl w:val="true"/>
          <w:lang w:bidi="ar-SA"/>
        </w:rPr>
        <w:t>لا يَجوزُ أن يَكونَ مُنتَقِلاً إلَى الأماكِنِ البَعيدةِ إلّافي أزمِنةٍ مخصوصةٍ‌، فأمّا أن يَنتَقِلَ إلَى البَعيدِ مِن غيرِ زمانٍ مُحالٌ‌؛ و ما بَينَ المَدينةِ و بَغدادَ و</w:t>
      </w:r>
      <w:r>
        <w:rPr>
          <w:rStyle w:val="FootnoteAnchor"/>
          <w:rtl w:val="true"/>
        </w:rPr>
        <w:footnoteReference w:id="953"/>
      </w:r>
      <w:r>
        <w:rPr>
          <w:rFonts w:ascii="Amiri" w:hAnsi="Amiri" w:eastAsia="Amiri" w:cs="Amiri"/>
          <w:color w:val="111111"/>
          <w:sz w:val="28"/>
          <w:sz w:val="28"/>
          <w:szCs w:val="28"/>
          <w:rtl w:val="true"/>
          <w:lang w:bidi="ar-SA"/>
        </w:rPr>
        <w:t xml:space="preserve">طوسَ‌ </w:t>
      </w:r>
    </w:p>
    <w:p>
      <w:pPr>
        <w:pStyle w:val="BookText"/>
        <w:rPr/>
      </w:pPr>
      <w:r>
        <w:rPr>
          <w:rFonts w:ascii="Amiri" w:hAnsi="Amiri" w:eastAsia="Amiri" w:cs="Amiri"/>
          <w:color w:val="111111"/>
          <w:sz w:val="28"/>
          <w:sz w:val="28"/>
          <w:szCs w:val="28"/>
          <w:rtl w:val="true"/>
          <w:lang w:bidi="ar-SA"/>
        </w:rPr>
        <w:t>مِن المَسافةِ لا يَقطَعُها الجسمُ إلّافي أزمانٍ لا يُمكِنُ معها أن يَتولّىٰ مَن هو بالمَدينةِ غُسلَ مَن هو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95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ألّاانتَقَلَ كما يَنتَقِلُ الطائرُ مِن البَعيدِ في أقرَبِ مُدّةٍ؟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نُنكِرُ</w:t>
      </w:r>
      <w:r>
        <w:rPr>
          <w:rStyle w:val="FootnoteAnchor"/>
          <w:rtl w:val="true"/>
        </w:rPr>
        <w:footnoteReference w:id="955"/>
      </w:r>
      <w:r>
        <w:rPr>
          <w:rFonts w:ascii="Amiri" w:hAnsi="Amiri" w:eastAsia="Amiri" w:cs="Amiri"/>
          <w:color w:val="111111"/>
          <w:sz w:val="28"/>
          <w:sz w:val="28"/>
          <w:szCs w:val="28"/>
          <w:rtl w:val="true"/>
          <w:lang w:bidi="ar-SA"/>
        </w:rPr>
        <w:t>اختلافَ انتقالِ الأجسامِ بحَسَبِ الصُّوَرِ و الهَيَئاتِ‌؛ فإن أرَدتم أنّ الإمامَ يُجعَلُ له جَناحٌ يَطيرُ به، فهو غيرُ مُنكَرٍ، إلّاأنّ الثقيلَ الكبيرَ مِن الأجسامِ لا يَكونُ طَيَرانُه في الخِفّةِ مِثلَ الصغيرِ الجسمِ‌؛ و لهذا لا يَكونُ طَيَرانُ الكَراكيِّ‌</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شاكَلَها في عِظَمِ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كسُرعةِ الطُّيورِ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w:t>
      </w:r>
      <w:r>
        <w:rPr>
          <w:rStyle w:val="FootnoteAnchor"/>
          <w:rtl w:val="true"/>
        </w:rPr>
        <w:footnoteReference w:id="957"/>
      </w:r>
      <w:r>
        <w:rPr>
          <w:rFonts w:ascii="Amiri" w:hAnsi="Amiri" w:eastAsia="Amiri" w:cs="Amiri"/>
          <w:color w:val="111111"/>
          <w:sz w:val="28"/>
          <w:sz w:val="28"/>
          <w:szCs w:val="28"/>
          <w:rtl w:val="true"/>
          <w:lang w:bidi="ar-SA"/>
        </w:rPr>
        <w:t>كانَ الطائرُ الخفيفُ الجسمِ إنّما لَم يَقطَعْ في يَومٍ واحدٍ مِن المَدينةِ إلىٰ طوسَ‌، فأجدَرُ أن لا يَتمكَّنَ مِن ذلكَ الإنسانُ إذا كانَ له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يُقالَ‌</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يُعدِمُ الإمامَ مِن هُناكَ‌، و يوجِدُه في الحالِ الثانيةِ‌</w:t>
      </w:r>
      <w:r>
        <w:rPr>
          <w:rStyle w:val="FootnoteAnchor"/>
          <w:rtl w:val="true"/>
        </w:rPr>
        <w:footnoteReference w:id="959"/>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هذا أيضاً</w:t>
      </w:r>
      <w:r>
        <w:rPr>
          <w:rStyle w:val="FootnoteAnchor"/>
          <w:rtl w:val="true"/>
        </w:rPr>
        <w:footnoteReference w:id="960"/>
      </w:r>
      <w:r>
        <w:rPr>
          <w:rFonts w:ascii="Amiri" w:hAnsi="Amiri" w:eastAsia="Amiri" w:cs="Amiri"/>
          <w:color w:val="111111"/>
          <w:sz w:val="28"/>
          <w:sz w:val="28"/>
          <w:szCs w:val="28"/>
          <w:rtl w:val="true"/>
          <w:lang w:bidi="ar-SA"/>
        </w:rPr>
        <w:t xml:space="preserve">مُستَحيلٌ مِن وجهٍ آخَرَ؛ لأنّ عَدَمَ بعضِ الأجسامِ لا يَكونُ إلّا بالضدِّ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فَناءُ بعضِ الجواهرِ فَناءٌ لجَميعِها، فلَيسَ‌</w:t>
      </w:r>
      <w:r>
        <w:rPr>
          <w:rStyle w:val="FootnoteAnchor"/>
          <w:rtl w:val="true"/>
        </w:rPr>
        <w:footnoteReference w:id="961"/>
      </w:r>
      <w:r>
        <w:rPr>
          <w:rFonts w:ascii="Amiri" w:hAnsi="Amiri" w:eastAsia="Amiri" w:cs="Amiri"/>
          <w:color w:val="111111"/>
          <w:sz w:val="28"/>
          <w:sz w:val="28"/>
          <w:szCs w:val="28"/>
          <w:rtl w:val="true"/>
          <w:lang w:bidi="ar-SA"/>
        </w:rPr>
        <w:t xml:space="preserve">يُمكِنُ أن </w:t>
      </w:r>
    </w:p>
    <w:p>
      <w:pPr>
        <w:pStyle w:val="BookText"/>
        <w:rPr/>
      </w:pPr>
      <w:r>
        <w:rPr>
          <w:rFonts w:ascii="Amiri" w:hAnsi="Amiri" w:eastAsia="Amiri" w:cs="Amiri"/>
          <w:color w:val="111111"/>
          <w:sz w:val="28"/>
          <w:sz w:val="28"/>
          <w:szCs w:val="28"/>
          <w:rtl w:val="true"/>
          <w:lang w:bidi="ar-SA"/>
        </w:rPr>
        <w:t>يَفنىٰ جَوهرٌ مع بَقاءِ جَواهِرَ</w:t>
      </w:r>
      <w:r>
        <w:rPr>
          <w:rStyle w:val="FootnoteAnchor"/>
          <w:rtl w:val="true"/>
        </w:rPr>
        <w:footnoteReference w:id="962"/>
      </w:r>
      <w:r>
        <w:rPr>
          <w:rFonts w:ascii="Amiri" w:hAnsi="Amiri" w:eastAsia="Amiri" w:cs="Amiri"/>
          <w:color w:val="111111"/>
          <w:sz w:val="28"/>
          <w:sz w:val="28"/>
          <w:szCs w:val="28"/>
          <w:rtl w:val="true"/>
          <w:lang w:bidi="ar-SA"/>
        </w:rPr>
        <w:t>أُخَرَ؛ علىٰ ما دَلَّلنا عليه في كَثيرٍ مِن كلامِنا، لا سِيَّما في الكتابِ‌</w:t>
      </w:r>
      <w:r>
        <w:rPr>
          <w:rStyle w:val="FootnoteAnchor"/>
          <w:rtl w:val="true"/>
        </w:rPr>
        <w:footnoteReference w:id="963"/>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إلّا أنّه يُمكِنُ مَن ذَهَبَ مِن أصحابِنا إلىٰ ما حَكَيناه أن يَقولَ نُصرةً لطَريقتِه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يَمنَعُ مِن أن يَنقُلَ‌</w:t>
      </w:r>
      <w:r>
        <w:rPr>
          <w:rStyle w:val="FootnoteAnchor"/>
          <w:rtl w:val="true"/>
        </w:rPr>
        <w:footnoteReference w:id="965"/>
      </w:r>
      <w:r>
        <w:rPr>
          <w:rFonts w:ascii="Amiri" w:hAnsi="Amiri" w:eastAsia="Amiri" w:cs="Amiri"/>
          <w:color w:val="111111"/>
          <w:sz w:val="28"/>
          <w:sz w:val="28"/>
          <w:szCs w:val="28"/>
          <w:rtl w:val="true"/>
          <w:lang w:bidi="ar-SA"/>
        </w:rPr>
        <w:t>اللّٰهُ تَعالَى الإمامَ مِن المَدينةِ إلىٰ طوسَ بالرياحِ العَواصفِ التي لا نِهايةَ لِما يَقدِرُ اللّٰهُ تَعالىٰ عليه مِن فِعلِ الِاعتماداتِ‌</w:t>
      </w:r>
      <w:r>
        <w:rPr>
          <w:rStyle w:val="FootnoteAnchor"/>
          <w:rtl w:val="true"/>
        </w:rPr>
        <w:footnoteReference w:id="966"/>
      </w:r>
      <w:r>
        <w:rPr>
          <w:rFonts w:ascii="Amiri" w:hAnsi="Amiri" w:eastAsia="Amiri" w:cs="Amiri"/>
          <w:color w:val="111111"/>
          <w:sz w:val="28"/>
          <w:sz w:val="28"/>
          <w:szCs w:val="28"/>
          <w:rtl w:val="true"/>
          <w:lang w:bidi="ar-SA"/>
        </w:rPr>
        <w:t>فيها؟ و ما المُنكَرُ مِن أن يَكونَ‌</w:t>
      </w:r>
      <w:r>
        <w:rPr>
          <w:rStyle w:val="FootnoteAnchor"/>
          <w:rtl w:val="true"/>
        </w:rPr>
        <w:footnoteReference w:id="967"/>
      </w:r>
      <w:r>
        <w:rPr>
          <w:rFonts w:ascii="Amiri" w:hAnsi="Amiri" w:eastAsia="Amiri" w:cs="Amiri"/>
          <w:color w:val="111111"/>
          <w:sz w:val="28"/>
          <w:sz w:val="28"/>
          <w:szCs w:val="28"/>
          <w:rtl w:val="true"/>
          <w:lang w:bidi="ar-SA"/>
        </w:rPr>
        <w:t>في هذه</w:t>
      </w:r>
      <w:r>
        <w:rPr>
          <w:rStyle w:val="FootnoteAnchor"/>
          <w:rtl w:val="true"/>
        </w:rPr>
        <w:footnoteReference w:id="968"/>
      </w:r>
      <w:r>
        <w:rPr>
          <w:rFonts w:ascii="Amiri" w:hAnsi="Amiri" w:eastAsia="Amiri" w:cs="Amiri"/>
          <w:color w:val="111111"/>
          <w:sz w:val="28"/>
          <w:sz w:val="28"/>
          <w:szCs w:val="28"/>
          <w:rtl w:val="true"/>
          <w:lang w:bidi="ar-SA"/>
        </w:rPr>
        <w:t>الريحِ التي تَنقُلُه ما يَزيدُ معه علىٰ سُرعةِ الطائرِ الخَفيفِ المُسرِعِ‌، فيَنتَقِلَ في أقرَبِ الأوقاتِ؟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يُبطِلُ هذه التقديراتِ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أو صَحَّ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w:t>
      </w:r>
      <w:r>
        <w:rPr>
          <w:rStyle w:val="FootnoteAnchor"/>
          <w:rtl w:val="true"/>
        </w:rPr>
        <w:footnoteReference w:id="969"/>
      </w:r>
      <w:r>
        <w:rPr>
          <w:rFonts w:ascii="Amiri" w:hAnsi="Amiri" w:eastAsia="Amiri" w:cs="Amiri"/>
          <w:color w:val="111111"/>
          <w:sz w:val="28"/>
          <w:sz w:val="28"/>
          <w:szCs w:val="28"/>
          <w:rtl w:val="true"/>
          <w:lang w:bidi="ar-SA"/>
        </w:rPr>
        <w:t>عَلِمنا أنّ الإمامَ لَو</w:t>
      </w:r>
      <w:r>
        <w:rPr>
          <w:rStyle w:val="FootnoteAnchor"/>
          <w:rtl w:val="true"/>
        </w:rPr>
        <w:footnoteReference w:id="970"/>
      </w:r>
      <w:r>
        <w:rPr>
          <w:rFonts w:ascii="Amiri" w:hAnsi="Amiri" w:eastAsia="Amiri" w:cs="Amiri"/>
          <w:color w:val="111111"/>
          <w:sz w:val="28"/>
          <w:sz w:val="28"/>
          <w:szCs w:val="28"/>
          <w:rtl w:val="true"/>
          <w:lang w:bidi="ar-SA"/>
        </w:rPr>
        <w:t>انتَقَلَ مِن المَدينةِ إلىٰ بَغدادَ أو طوسَ لِغُسلِ المُتوفّىٰ و الصلاةِ عليه، لَشوهِدَ في مَوضِعِ الغُسلِ و الصلاةِ‌؛ لأنّه جسمٌ‌، و الجسمُ لا بُدَّ مِن أن يَراه كُلُّ صحيحِ العَينِ‌</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شوهِدَ</w:t>
      </w:r>
      <w:r>
        <w:rPr>
          <w:rStyle w:val="FootnoteAnchor"/>
          <w:rtl w:val="true"/>
        </w:rPr>
        <w:footnoteReference w:id="972"/>
      </w:r>
      <w:r>
        <w:rPr>
          <w:rFonts w:ascii="Amiri" w:hAnsi="Amiri" w:eastAsia="Amiri" w:cs="Amiri"/>
          <w:color w:val="111111"/>
          <w:sz w:val="28"/>
          <w:sz w:val="28"/>
          <w:szCs w:val="28"/>
          <w:rtl w:val="true"/>
          <w:lang w:bidi="ar-SA"/>
        </w:rPr>
        <w:t>لَعُلِمَ‌</w:t>
      </w:r>
      <w:r>
        <w:rPr>
          <w:rStyle w:val="FootnoteAnchor"/>
          <w:rtl w:val="true"/>
        </w:rPr>
        <w:footnoteReference w:id="973"/>
      </w:r>
      <w:r>
        <w:rPr>
          <w:rFonts w:ascii="Amiri" w:hAnsi="Amiri" w:eastAsia="Amiri" w:cs="Amiri"/>
          <w:color w:val="111111"/>
          <w:sz w:val="28"/>
          <w:sz w:val="28"/>
          <w:szCs w:val="28"/>
          <w:rtl w:val="true"/>
          <w:lang w:bidi="ar-SA"/>
        </w:rPr>
        <w:t>و عُرِفَ‌</w:t>
      </w:r>
      <w:r>
        <w:rPr>
          <w:rStyle w:val="FootnoteAnchor"/>
          <w:rtl w:val="true"/>
        </w:rPr>
        <w:footnoteReference w:id="974"/>
      </w:r>
      <w:r>
        <w:rPr>
          <w:rFonts w:ascii="Amiri" w:hAnsi="Amiri" w:eastAsia="Amiri" w:cs="Amiri"/>
          <w:color w:val="111111"/>
          <w:sz w:val="28"/>
          <w:sz w:val="28"/>
          <w:szCs w:val="28"/>
          <w:rtl w:val="true"/>
          <w:lang w:bidi="ar-SA"/>
        </w:rPr>
        <w:t>حالُه و نُقِلَ خبرُه و لَم يَخفَ علَى الحاضرينَ‌؛ و كَيفَ‌</w:t>
      </w:r>
      <w:r>
        <w:rPr>
          <w:rStyle w:val="FootnoteAnchor"/>
          <w:rtl w:val="true"/>
        </w:rPr>
        <w:footnoteReference w:id="975"/>
      </w:r>
      <w:r>
        <w:rPr>
          <w:rFonts w:ascii="Amiri" w:hAnsi="Amiri" w:eastAsia="Amiri" w:cs="Amiri"/>
          <w:color w:val="111111"/>
          <w:sz w:val="28"/>
          <w:sz w:val="28"/>
          <w:szCs w:val="28"/>
          <w:rtl w:val="true"/>
          <w:lang w:bidi="ar-SA"/>
        </w:rPr>
        <w:t>يَجوزُ ذلكَ و قد نُقِلَ في التواريخِ مَن تَولّىٰ غُسلَ هذَينِ الإمامَينِ عليهما السلامُ و الصلاةَ عليهما و سُمِّيَ و عُيِّنَ‌</w:t>
      </w:r>
      <w:r>
        <w:rPr>
          <w:rStyle w:val="FootnoteAnchor"/>
          <w:rtl w:val="true"/>
        </w:rPr>
        <w:footnoteReference w:id="976"/>
      </w:r>
      <w:r>
        <w:rPr>
          <w:rFonts w:ascii="Amiri" w:hAnsi="Amiri" w:eastAsia="Amiri" w:cs="Amiri"/>
          <w:color w:val="111111"/>
          <w:sz w:val="28"/>
          <w:sz w:val="28"/>
          <w:szCs w:val="28"/>
          <w:rtl w:val="true"/>
          <w:lang w:bidi="ar-SA"/>
        </w:rPr>
        <w:t>؟ و هذا يَقتَضي أنّ الأمرَ علىٰ ما اختَرناه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6425_221752"/>
      <w:bookmarkStart w:id="512" w:name="pg16425_221752"/>
      <w:bookmarkEnd w:id="512"/>
    </w:p>
    <w:p>
      <w:pPr>
        <w:pStyle w:val="Heading3"/>
        <w:numPr>
          <w:ilvl w:val="2"/>
          <w:numId w:val="1"/>
        </w:numPr>
        <w:rPr/>
      </w:pPr>
      <w:bookmarkStart w:id="513" w:name="pg16425_221752"/>
      <w:bookmarkStart w:id="514" w:name="__RefHeading___Toc7830237_1280447820"/>
      <w:bookmarkStart w:id="515" w:name="_Toc167"/>
      <w:bookmarkEnd w:id="513"/>
      <w:bookmarkEnd w:id="514"/>
      <w:r>
        <w:rPr>
          <w:rtl w:val="true"/>
        </w:rPr>
        <w:t>(</w:t>
      </w:r>
      <w:r>
        <w:rPr/>
        <w:t>57</w:t>
      </w:r>
      <w:r>
        <w:rPr>
          <w:rtl w:val="true"/>
        </w:rPr>
        <w:t xml:space="preserve">) </w:t>
      </w:r>
      <w:r>
        <w:rPr>
          <w:rtl w:val="true"/>
        </w:rPr>
        <w:t>مسألةٌ في عِلمِ الوصيِّ بساعةِ وفاتهِ و عدمِه</w:t>
      </w:r>
      <w:bookmarkEnd w:id="51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6" w:name="__RefHeading___Toc7830239_1280447820"/>
      <w:bookmarkStart w:id="517" w:name="_Toc168"/>
      <w:bookmarkEnd w:id="516"/>
      <w:r>
        <w:rPr>
          <w:rtl w:val="true"/>
        </w:rPr>
        <w:t>اشارة</w:t>
      </w:r>
      <w:bookmarkEnd w:id="51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6425_221754"/>
      <w:bookmarkStart w:id="519" w:name="pg16425_221754"/>
      <w:bookmarkEnd w:id="519"/>
    </w:p>
    <w:p>
      <w:pPr>
        <w:pStyle w:val="Heading4"/>
        <w:numPr>
          <w:ilvl w:val="3"/>
          <w:numId w:val="1"/>
        </w:numPr>
        <w:rPr/>
      </w:pPr>
      <w:bookmarkStart w:id="520" w:name="pg16425_221754"/>
      <w:bookmarkStart w:id="521" w:name="__RefHeading___Toc7830241_1280447820"/>
      <w:bookmarkStart w:id="522" w:name="_Toc169"/>
      <w:bookmarkEnd w:id="520"/>
      <w:bookmarkEnd w:id="521"/>
      <w:r>
        <w:rPr>
          <w:rtl w:val="true"/>
        </w:rPr>
        <w:t>مقدّمة التحقيق</w:t>
      </w:r>
      <w:bookmarkEnd w:id="522"/>
    </w:p>
    <w:p>
      <w:pPr>
        <w:pStyle w:val="Heading5"/>
        <w:numPr>
          <w:ilvl w:val="4"/>
          <w:numId w:val="1"/>
        </w:numPr>
        <w:rPr/>
      </w:pPr>
      <w:bookmarkStart w:id="523" w:name="__RefHeading___Toc7830243_1280447820"/>
      <w:bookmarkStart w:id="524" w:name="_Toc170"/>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تتعرّض الأفكار و المفاهيم عادة إلى طروء تغيّرات و تطوّرات مختلفة، مثل توسعة أو تضييق المفاهيم، و ذلك من خلال رفع قيود عنها أو اضافتها إليها، كما يمكن أن تولَد بعضُ المفاهيم أو تزول بمرور الزمن و يعود ذلك إلى أسباب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نظريّات و حقائق جديدة ممّا يؤدّي إلى تعميق النظرة إلى مفهوم من المفاهيم؛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العلوم ممّا يؤدّي إلى تأثير بعضها على بعض، فيؤدّي هذا التأثير إلى تغيير بعض المفاهيم؛ و غير ذلك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أمثلة هذه التغيّرات في المفاهيم التغيّر الذي طرأ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الرؤية العامّة عند المتقدّمين من متكلّمي الإماميّة هي إنكار نسبة علم الغيب إلى الأئمّة عليهم السلامُ‌، و اعتبار ذلك نوعاً من الكفر</w:t>
      </w:r>
      <w:r>
        <w:rPr>
          <w:rStyle w:val="FootnoteAnchor"/>
          <w:rtl w:val="true"/>
        </w:rPr>
        <w:footnoteReference w:id="978"/>
      </w:r>
      <w:r>
        <w:rPr>
          <w:rFonts w:ascii="Amiri" w:hAnsi="Amiri" w:eastAsia="Amiri" w:cs="Amiri"/>
          <w:color w:val="111111"/>
          <w:sz w:val="28"/>
          <w:sz w:val="28"/>
          <w:szCs w:val="28"/>
          <w:rtl w:val="true"/>
          <w:lang w:bidi="ar-SA"/>
        </w:rPr>
        <w:t xml:space="preserve">و يرجع ذلك إلى أنّهم عرّفوا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علم ذاتيّ غير مُستفاد، أي أنّه مقتضى ذاتِ العالِم، فهو لم يستفده و لم يأخذه من موجود غيره، أو من آلة، أو غير 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هذا النوع من العلم لا يتناسب إلّامع علم اللّٰه تعالى الذي يَعلم الأشياء بذاته؛ و أمّا الإمام عليه السلامُ فهو غير مستقلّ في علومه، و إنّما يأخذها من الإمام الذي قبله، أو من رسول اللّٰه صلّى اللّٰهُ عليه و آلِه، أو غير ذلك من مصادر علوم الأئمّة عليهم السلامُ‌؛ و لذلك عندما تحدّث أمير المؤمنين عليه السلامُ في بعض </w:t>
      </w:r>
    </w:p>
    <w:p>
      <w:pPr>
        <w:pStyle w:val="BookText"/>
        <w:rPr/>
      </w:pPr>
      <w:r>
        <w:rPr>
          <w:rFonts w:ascii="Amiri" w:hAnsi="Amiri" w:eastAsia="Amiri" w:cs="Amiri"/>
          <w:color w:val="111111"/>
          <w:sz w:val="28"/>
          <w:sz w:val="28"/>
          <w:szCs w:val="28"/>
          <w:rtl w:val="true"/>
          <w:lang w:bidi="ar-SA"/>
        </w:rPr>
        <w:t>كلامه عن بعض الأحداث المستقبليّة، و قال له 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قد أُعطي علم الغيب؛ نجد الإمام يضحك من هذا الكلام، و يرفض أن يكون ذلك من علم الغيب، و إنّما هو تعلّمٌ من ذي علم</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صرّح المتقدّمون من متكلّمي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الرؤية، أي رفض نسبة علم الغيب إلى الأئمّة عليهم السلامُ‌، و اعتبار ذلك نوعاً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رفض ابن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علم الغيب إلى الأئمّة عليهم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ينحل للأ ئمّة عليهم السلامُ علم الغيب، فهذا كفر باللّٰه، و خروج عن الإسلام عندنا</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الإمام عليه السلامُ أيضاً لم يقف على كلّ هذه التخاليط التي رويت؛ لأنّه لا يَعلم الغيب</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 لصاحب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أكثرتَ في ذكر علم الغيب، و الغيب لا يعلمه إلّااللّٰه، و ما ادّعاه لبشر إلّامُشرك كافر</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 قد أيّده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خلال ردّه على أحد المخالفين الذي نسب في تفسيره إلى الإماميّة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عليهم السلامُ يعلمون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ردّه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ظلم منه لهؤلاء القوم؛ فإنّا لا نعلم أحداً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أحداً من 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أحداً من الناس بعلم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وصف مخلوقاً بذلك فقد فارق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الإماميّة بُرَآء من هذا القول؛ فمن نسبهم إلى ذلك، فاللّٰه فيما بينه و بينهم</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كما بيّن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الإماميّة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علم استقلاليّ غير مُستفاد من الغير،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إطلاق القول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يعلمون الغيب، فهو منكَر بيّن الفساد؛ لأنّ الوصف بذلك إنّما يستحقّه مَن عَلِمَ الأشياء بنفسه لا بعلم مستفاد</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و قال ابن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بعلم الغيب هو العلم الذي لا يكون مستفاداً عن سبب يفيده، و ذلك إنّما يصدق في حقّ اللّٰه تعالى؛ إذ كلّ علم لذي علم عداه فهو مستفاد من جوده، إمّا بواسطة أو بغير واسطة؛ فلا يكون علمَ غيب و إن كان اطّلاعاً على أمر غيبيّ‌</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قد أيّد الطبرسي هذا التعريف، حيث قال في موضع آخر من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نعلم أحداً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استجاز الوصف بعلم الغيب لأحد من الخلق، فإنّما يستحقّ الوصف بذلك مَن يعلم جميع المعلومات لا بعلم مستفاد</w:t>
      </w:r>
      <w:r>
        <w:rPr>
          <w:rFonts w:eastAsia="Amiri" w:cs="Amiri" w:ascii="Amiri" w:hAnsi="Amiri"/>
          <w:color w:val="111111"/>
          <w:sz w:val="28"/>
          <w:szCs w:val="28"/>
          <w:rtl w:val="true"/>
          <w:lang w:bidi="ar-SA"/>
        </w:rPr>
        <w:t>.</w:t>
      </w:r>
      <w:r>
        <w:rPr>
          <w:rStyle w:val="FootnoteAnchor"/>
          <w:rtl w:val="true"/>
        </w:rPr>
        <w:footnoteReference w:id="98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كان تعريفهم لعلم الغيب يحتوي على هذه النقطة، و هي أنّه عِلم غير مستفاد؛ أمّا لو عَلم شخصٌ بالغيب بعلم 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يأخذه من رسول اللّٰه صلّى اللّٰهُ عليه و آلِه الذي أخذه هو بدوره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ابن قبة بوجود علم الغيب المستفاد عند الأئمّة عليهم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فعَلِمنا أنّ أسلافنا لم يعلموا الغيب، و أنّ الأئمّة عليهم السلامُ أعلموهم ذلك بخبر الرسول صلّى اللّٰهُ عليه و آلِه</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إذن لا تصحّ نسبة علم الغيب إلى الأئمّة عليهم السلامُ بصورة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ينصرف إلى العلم الاستقلاليّ غير المستفاد؛ و أمّا تقييد تلك النسبة بأنّه مستفاد من رسول اللّٰه صلّى اللّٰهُ عليه و آلِه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العلم غير المستفاد، فهو من مختصّات اللّٰه تعالى، و لا يشاركه أحد فيه، و قد قال أمير المؤمنين عليه السلامُ عند وصفه لعلمه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بلا اكتساب، و لا ازدياد، و لا علم مستفاد</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و الجدير بالذكر أنّه وفقاً لهذه الرؤية حول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تمكّن الإنسان من معرفة ما في الأرحام من ذكر أو أنثى مثلاً من خلال الأجهزة المتطوّرة، فإنّ هذا لا يعتبر علم غيب؛ لأنّه علم مستفاد من الآلات و الأجهزة، و هو لا يُعدّ علم غيب عند المتقدّمين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تمّ إدخال تغيير على المفهوم، و أخذ الإماميّة يطلقون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الأئمّة عليهم السلامُ‌، و ذلك من خلال إضافة 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التعبير عن علم الأئمّة عليهم السلامُ بأنّه علم تبعيّ قائم باللّٰه تعالى</w:t>
      </w:r>
      <w:r>
        <w:rPr>
          <w:rStyle w:val="FootnoteAnchor"/>
          <w:rtl w:val="true"/>
        </w:rPr>
        <w:footnoteReference w:id="989"/>
      </w:r>
      <w:r>
        <w:rPr>
          <w:rFonts w:ascii="Amiri" w:hAnsi="Amiri" w:eastAsia="Amiri" w:cs="Amiri"/>
          <w:color w:val="111111"/>
          <w:sz w:val="28"/>
          <w:sz w:val="28"/>
          <w:szCs w:val="28"/>
          <w:rtl w:val="true"/>
          <w:lang w:bidi="ar-SA"/>
        </w:rPr>
        <w:t xml:space="preserve">فصار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خاصّ بالعلم الذاتيّ الاستقلاليّ‌، بل أعمّ منه و من العلم المستفاد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ذلك كان ناشئاً من تأثيرات اختلاط علم الكلام بالفلسفة، فقد أطلق الفلاسفة بعضَ المفاهيم المختصّة باللّٰه تعالى على الممكنات، 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أطلقوه على الممكن الموجود، لكنّهم قيّدوه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 بالغير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أمّا الشريف المرتضى فهو لم يخرج عن الرؤية العامّة لمتقدّمي الإماميّة من إنكار نسبة علم الغيب إلى الأئمّة عليهم السلامُ‌</w:t>
      </w:r>
      <w:r>
        <w:rPr>
          <w:rFonts w:eastAsia="Amiri" w:cs="Amiri" w:ascii="Amiri" w:hAnsi="Amiri"/>
          <w:color w:val="111111"/>
          <w:sz w:val="28"/>
          <w:szCs w:val="28"/>
          <w:rtl w:val="true"/>
          <w:lang w:bidi="ar-SA"/>
        </w:rPr>
        <w:t xml:space="preserve">. </w:t>
      </w:r>
      <w:bookmarkStart w:id="525" w:name="pg16425_221758"/>
    </w:p>
    <w:p>
      <w:pPr>
        <w:pStyle w:val="Heading5"/>
        <w:numPr>
          <w:ilvl w:val="4"/>
          <w:numId w:val="1"/>
        </w:numPr>
        <w:rPr/>
      </w:pPr>
      <w:bookmarkStart w:id="526" w:name="__RefHeading___Toc7830245_1280447820"/>
      <w:bookmarkStart w:id="527" w:name="_Toc171"/>
      <w:bookmarkEnd w:id="525"/>
      <w:bookmarkEnd w:id="526"/>
      <w:r>
        <w:rPr>
          <w:rtl w:val="true"/>
        </w:rPr>
        <w:t>محتوى الرسالة و نسبتها إلى المؤلّف</w:t>
      </w:r>
      <w:bookmarkEnd w:id="527"/>
    </w:p>
    <w:p>
      <w:pPr>
        <w:pStyle w:val="BookText"/>
        <w:rPr/>
      </w:pPr>
      <w:r>
        <w:rPr>
          <w:rFonts w:ascii="Amiri" w:hAnsi="Amiri" w:eastAsia="Amiri" w:cs="Amiri"/>
          <w:color w:val="111111"/>
          <w:sz w:val="28"/>
          <w:sz w:val="28"/>
          <w:szCs w:val="28"/>
          <w:rtl w:val="true"/>
          <w:lang w:bidi="ar-SA"/>
        </w:rPr>
        <w:t>و قد سُئل الشريف المرتضىٰ في الرسالة محلّ البحث عن مسألة متعلّقة بعلم الغيب عند الأئمّة عليهم السلامُ‌، و هو سؤال لم ينقطع السؤال عنه على طول التاريخ، و هو أنّه إذا كان الإمام عليه السلامُ يعلم الغيب، فلماذا لم يدفع الموت عن نفسه‌؟ و أنّه هل كان يعلم ساعة قتله على التعيين أو لا؟ فإن لم يكن يعلم، فهو مخالف لعلم الإمام بالغيب؛ و إن كان يعلم، فلماذا لم يدفعه عن نفسه‌؟ أ ليس هذا إلقاءً للنفس في التهلكة‌؟</w:t>
      </w:r>
    </w:p>
    <w:p>
      <w:pPr>
        <w:pStyle w:val="BookText"/>
        <w:rPr/>
      </w:pPr>
      <w:r>
        <w:rPr>
          <w:rFonts w:ascii="Amiri" w:hAnsi="Amiri" w:eastAsia="Amiri" w:cs="Amiri"/>
          <w:color w:val="111111"/>
          <w:sz w:val="28"/>
          <w:sz w:val="28"/>
          <w:szCs w:val="28"/>
          <w:rtl w:val="true"/>
          <w:lang w:bidi="ar-SA"/>
        </w:rPr>
        <w:t>و قد طرح السائل في هذه الرسالة هذا السؤال بصورة مختصرة، و التفصيل الذي ذكرناه يمكن أن يُفهم من جواب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بالإجابة عن السؤال بشقّيه من خلال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أنكر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الإماميّة في عصره و العصور القريبة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علمَ الإمام بالغيب؛ لأنّه يؤدّي إلى محاذير، و هي أن يكون مشاركاً للقديم تعالى في جميع معلوماته، فتكون معلوماته لا متناهية، و يكون عالماً بنفسه، و هذه اللوازم باطلة؛ لأنّه قد ثبت أنّ الإمام عالم بعلم مُحدَث زائد علىٰ ذاته، و أنّ العلم الواحد الزائد على الذات لا يتعلّق على التفصيل إلّابمعلوم واحد؛ فلو علم بما لا يتناهى من العلوم، لوجب وجود ما لا يتناهى من المعلومات؛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الشريف المرتضى قد ذكر هذا الاستدلال أيضاً في المسألة الثانية من المسائل الرازيّة، و المسألة الثامنة من الطرابلسيّات الثالثة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 في هذين الموضعين، و في الرسالة محلّ البحث إلى تأليفه رسالة مفردة حول علم الإمام، بيّن فيها موقفه من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تكرار إحالته على هذه الرسالة المفردة يدلّ على أهمّيّتها؛ لكن مع الأسف هي مفقودة، و قد تكون الفائدة الوحيدة التي يمكن استفادتها من هذه الرسالة المفقودة هي تصحيح نسبة الرسالة محلّ بحثنا </w:t>
      </w:r>
    </w:p>
    <w:p>
      <w:pPr>
        <w:pStyle w:val="BookText"/>
        <w:rPr/>
      </w:pPr>
      <w:r>
        <w:rPr>
          <w:rFonts w:ascii="Amiri" w:hAnsi="Amiri" w:eastAsia="Amiri" w:cs="Amiri"/>
          <w:color w:val="111111"/>
          <w:sz w:val="28"/>
          <w:sz w:val="28"/>
          <w:szCs w:val="28"/>
          <w:rtl w:val="true"/>
          <w:lang w:bidi="ar-SA"/>
        </w:rPr>
        <w:t>إليه، حيث أحال فيها إلى هذه الرسالة المفقودة التي نعلم أنّها من مؤلّفاته، بدليل أنّه أحال إليها في المسائل الرازيّة و الطرابلسيّات الثالثة كما تقدّم، و المسائل الأخيرة من تأليفاته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رأي الشريف المرتضى حول علم الإمام هو أنّه لا يعلم الغيب، و أنّ هذا غير واجب في منصب الإمامة، فإنّ هذا المنصب لا يقتضي علم الإمام بالغيب، و إنّما يقتضي علمه بعلوم الدين و الشريعة، نعم يمكن أن يعلم الغائبات بإعلام من اللّٰه تعالى، إلّاأنّه غير واجب</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لن يكون من الواجب أن يعلم الإمام بوقت وفاته أو قتله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تحدّث الشريف المرتضى في النقطة السابقة عن عدم وجوب علم الإمام بوقت قتله على التعيين، تحدّث في هذه النقطة عمّا روي من أنّ أمير المؤمنين عليه السلامُ كان يعلم أنّه مقتول، و أنّ قاتله هو ابن ملجم لعنه اللّٰه، و وجهِ تخريج هذه الروايات، فقد أجاب مرّة أُخرى بما تقدّم من أنّ الإمام عليه السلامُ ما كان يعلم وقت القتل على نحو التعيين و التفصيل، فإنّه لو كان عالماً بذلك بالتفصيل لكان يجب أن يدفعه عن نفسه، و إلّاكان إلقاءً للنفس في التهلكة، و إنّما كان يعلم ذلك على نحو الإجمال، و العلم الإجمالي لا يوجب الدفع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الإشارة إلى أنّه قد حصل خلاف بين الإماميّة في هذه النقطة بالتحديد، و هي هل يمكن أن يعلم الإمام وقت قتله على التفصيل و التعيين أو لا؟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ذهب بعض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يجوز أن يعلم الإمام بوقت قتله على نحو التفصيل، و في هذه الصورة يكون متعبَّداً بالصبر على الشهادة لكي يبلغه اللّٰه تعالى درجات ما كان ليبلغها لولا ذلك، و بذلك لا يكون </w:t>
      </w:r>
      <w:bookmarkStart w:id="528" w:name="pg16425_221760"/>
    </w:p>
    <w:p>
      <w:pPr>
        <w:pStyle w:val="BookText"/>
        <w:rPr/>
      </w:pPr>
      <w:bookmarkEnd w:id="528"/>
      <w:r>
        <w:rPr>
          <w:rFonts w:ascii="Amiri" w:hAnsi="Amiri" w:eastAsia="Amiri" w:cs="Amiri"/>
          <w:color w:val="111111"/>
          <w:sz w:val="28"/>
          <w:sz w:val="28"/>
          <w:szCs w:val="28"/>
          <w:rtl w:val="true"/>
          <w:lang w:bidi="ar-SA"/>
        </w:rPr>
        <w:t>أمير المؤمنين عليه السلامُ ملقياً بنفسه إلى التهلكة، و لا معيناً على نفسه معونة مستقبحة في العقول</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ذهب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جواز أن يعلم الإمام بوقت قتله على التفصيل؛ لأنّ دفع الضرر عن النفس واجب عقلاً و شرعاً، و لا يجوز أن يُتعبَّد بالصبر على القبيح، و إنّما يُتعبَّد بالصبر على الحسن، و من المسلّم أنّ قتل الإمام كان قبيحاً، بل من أقبح القبيح، و لذلك تأوّل ما دلّ على علم أمير المؤمنين عليه السلامُ بوقت قتله بأنّه كان يعلم بذلك على نحو الإجمال كما تقدّم، و أنّه كان يعلم الليلة التي يُقتل فيها، لكنّه ما كان يعلم الوقت الذي يحدث فيه ذلك بالتحديد</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النهاية لا بأس بالإشارة إلى أنّ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معظم عبارات الرسالة محلّ البحث؛ لكنّه أضاف النبيّ إلى الإمام، و تحدّث عنهما معاً، و لذلك جاءت عباراته بصيغة التثنية</w:t>
      </w:r>
      <w:r>
        <w:rPr>
          <w:rStyle w:val="FootnoteAnchor"/>
          <w:rtl w:val="true"/>
        </w:rPr>
        <w:footnoteReference w:id="993"/>
      </w:r>
      <w:r>
        <w:rPr>
          <w:rFonts w:ascii="Amiri" w:hAnsi="Amiri" w:eastAsia="Amiri" w:cs="Amiri"/>
          <w:color w:val="111111"/>
          <w:sz w:val="28"/>
          <w:sz w:val="28"/>
          <w:szCs w:val="28"/>
          <w:rtl w:val="true"/>
          <w:lang w:bidi="ar-SA"/>
        </w:rPr>
        <w:t>، بينما تحدّث الشريف المرتضى هنا عن الإمام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7830247_1280447820"/>
      <w:bookmarkStart w:id="530" w:name="_Toc172"/>
      <w:bookmarkEnd w:id="529"/>
      <w:r>
        <w:rPr>
          <w:rtl w:val="true"/>
        </w:rPr>
        <w:t>مخطوطات الرسالة</w:t>
      </w:r>
      <w:bookmarkEnd w:id="5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تكرّرت أيضاً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تكرّرت أيضاً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531" w:name="pg16425_221762"/>
    </w:p>
    <w:p>
      <w:pPr>
        <w:pStyle w:val="BookText"/>
        <w:rPr/>
      </w:pPr>
      <w:bookmarkEnd w:id="53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7830249_1280447820"/>
      <w:bookmarkStart w:id="533" w:name="_Toc173"/>
      <w:bookmarkEnd w:id="532"/>
      <w:r>
        <w:rPr>
          <w:rtl w:val="true"/>
        </w:rPr>
        <w:t>مسألةٌ في عِلمِ الوصيِّ بساعةِ وفاتهِ و عدمِه</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عِلمُ الوصيِّ بساعةِ‌</w:t>
      </w:r>
      <w:r>
        <w:rPr>
          <w:rStyle w:val="FootnoteAnchor"/>
          <w:rtl w:val="true"/>
        </w:rPr>
        <w:footnoteReference w:id="994"/>
      </w:r>
      <w:r>
        <w:rPr>
          <w:rFonts w:ascii="Amiri" w:hAnsi="Amiri" w:eastAsia="Amiri" w:cs="Amiri"/>
          <w:color w:val="111111"/>
          <w:sz w:val="28"/>
          <w:sz w:val="28"/>
          <w:szCs w:val="28"/>
          <w:rtl w:val="true"/>
          <w:lang w:bidi="ar-SA"/>
        </w:rPr>
        <w:t>وفاتِه أو قَتلِه علَى التعيينِ‌، أَم ذلكَ مَطويٌّ عنه‌؟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 مسألةٍ أملَيناها مُنفَرِدةً ما يَجِبُ أن يَعلَمَه الإمامُ و ما لا يَجِبُ أن يَعلَمَه</w:t>
      </w:r>
      <w:r>
        <w:rPr>
          <w:rFonts w:eastAsia="Amiri" w:cs="Amiri" w:ascii="Amiri" w:hAnsi="Amiri"/>
          <w:color w:val="111111"/>
          <w:sz w:val="28"/>
          <w:szCs w:val="28"/>
          <w:rtl w:val="true"/>
          <w:lang w:bidi="ar-SA"/>
        </w:rPr>
        <w:t>.</w:t>
      </w:r>
      <w:r>
        <w:rPr>
          <w:rStyle w:val="FootnoteAnchor"/>
          <w:rtl w:val="true"/>
        </w:rPr>
        <w:footnoteReference w:id="99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996"/>
      </w:r>
      <w:r>
        <w:rPr>
          <w:rFonts w:ascii="Amiri" w:hAnsi="Amiri" w:eastAsia="Amiri" w:cs="Amiri"/>
          <w:color w:val="111111"/>
          <w:sz w:val="28"/>
          <w:sz w:val="28"/>
          <w:szCs w:val="28"/>
          <w:rtl w:val="true"/>
          <w:lang w:bidi="ar-SA"/>
        </w:rPr>
        <w:t>الإمامَ لا يَجِبُ أن يَعلَمَ الغُيوبَ و ما كانَ و ما يَكونُ‌؛ لأنّ ذلكَ يؤَدّي إلىٰ أنّه مُشارِكٌ للقَديمِ تَعالىٰ في جميعِ معلوماتِه، و أنّ معلوماتِه لا تَتَناهىٰ‌</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و أنّه يوجِبُ أن يَكونَ عالِماً لنفسِه،</w:t>
      </w:r>
      <w:r>
        <w:rPr>
          <w:rStyle w:val="FootnoteAnchor"/>
          <w:rtl w:val="true"/>
        </w:rPr>
        <w:footnoteReference w:id="998"/>
      </w:r>
      <w:r>
        <w:rPr>
          <w:rFonts w:ascii="Amiri" w:hAnsi="Amiri" w:eastAsia="Amiri" w:cs="Amiri"/>
          <w:color w:val="111111"/>
          <w:sz w:val="28"/>
          <w:sz w:val="28"/>
          <w:szCs w:val="28"/>
          <w:rtl w:val="true"/>
          <w:lang w:bidi="ar-SA"/>
        </w:rPr>
        <w:t>و قد ثَبَتَ أنّه عالِمٌ بعِلمٍ مُحدَثٍ‌</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w:t>
      </w:r>
      <w:r>
        <w:rPr>
          <w:rStyle w:val="FootnoteAnchor"/>
          <w:rtl w:val="true"/>
        </w:rPr>
        <w:footnoteReference w:id="1000"/>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يَتعلَّقُ علَى التفصيلِ إلّابمعلومٍ واحدٍ، و لَو</w:t>
      </w:r>
      <w:r>
        <w:rPr>
          <w:rStyle w:val="FootnoteAnchor"/>
          <w:rtl w:val="true"/>
        </w:rPr>
        <w:footnoteReference w:id="1001"/>
      </w:r>
      <w:r>
        <w:rPr>
          <w:rFonts w:ascii="Amiri" w:hAnsi="Amiri" w:eastAsia="Amiri" w:cs="Amiri"/>
          <w:color w:val="111111"/>
          <w:sz w:val="28"/>
          <w:sz w:val="28"/>
          <w:szCs w:val="28"/>
          <w:rtl w:val="true"/>
          <w:lang w:bidi="ar-SA"/>
        </w:rPr>
        <w:t>عَلِمَ ما لا يَتَناهىٰ لَوَجَبَ وجودُ ما لا يَتَناهىٰ مِن المعلوماتِ‌؛ و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بيّنّا أنّ الذي يَجِبُ أن يَعلَمَه علومُ الدينِ و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الغائباتُ‌</w:t>
      </w:r>
      <w:r>
        <w:rPr>
          <w:rStyle w:val="FootnoteAnchor"/>
          <w:rtl w:val="true"/>
        </w:rPr>
        <w:footnoteReference w:id="1002"/>
      </w:r>
      <w:r>
        <w:rPr>
          <w:rFonts w:ascii="Amiri" w:hAnsi="Amiri" w:eastAsia="Amiri" w:cs="Amiri"/>
          <w:color w:val="111111"/>
          <w:sz w:val="28"/>
          <w:sz w:val="28"/>
          <w:szCs w:val="28"/>
          <w:rtl w:val="true"/>
          <w:lang w:bidi="ar-SA"/>
        </w:rPr>
        <w:t>و الكائناتُ‌</w:t>
      </w:r>
      <w:r>
        <w:rPr>
          <w:rStyle w:val="FootnoteAnchor"/>
          <w:rtl w:val="true"/>
        </w:rPr>
        <w:footnoteReference w:id="1003"/>
      </w:r>
      <w:r>
        <w:rPr>
          <w:rFonts w:ascii="Amiri" w:hAnsi="Amiri" w:eastAsia="Amiri" w:cs="Amiri"/>
          <w:color w:val="111111"/>
          <w:sz w:val="28"/>
          <w:sz w:val="28"/>
          <w:szCs w:val="28"/>
          <w:rtl w:val="true"/>
          <w:lang w:bidi="ar-SA"/>
        </w:rPr>
        <w:t>الماضياتُ أو المُستَقبَلاتُ‌</w:t>
      </w:r>
      <w:r>
        <w:rPr>
          <w:rStyle w:val="FootnoteAnchor"/>
          <w:rtl w:val="true"/>
        </w:rPr>
        <w:footnoteReference w:id="1004"/>
      </w:r>
      <w:r>
        <w:rPr>
          <w:rFonts w:ascii="IRNazanin" w:hAnsi="IRNazanin" w:eastAsia="IRNazanin"/>
          <w:color w:val="111111"/>
          <w:sz w:val="28"/>
          <w:sz w:val="28"/>
          <w:szCs w:val="28"/>
          <w:rtl w:val="true"/>
          <w:lang w:bidi="fa-IR"/>
        </w:rPr>
        <w:t>، فإن</w:t>
      </w:r>
      <w:r>
        <w:rPr>
          <w:rStyle w:val="FootnoteAnchor"/>
          <w:rtl w:val="true"/>
        </w:rPr>
        <w:footnoteReference w:id="1005"/>
      </w:r>
      <w:r>
        <w:rPr>
          <w:rFonts w:ascii="Amiri" w:hAnsi="Amiri" w:eastAsia="Amiri" w:cs="Amiri"/>
          <w:color w:val="111111"/>
          <w:sz w:val="28"/>
          <w:sz w:val="28"/>
          <w:szCs w:val="28"/>
          <w:rtl w:val="true"/>
          <w:lang w:bidi="ar-SA"/>
        </w:rPr>
        <w:t>عَلِمَ بإعلامِ اللّٰهِ تَعالىٰ شَيئاً منها</w:t>
      </w:r>
      <w:r>
        <w:rPr>
          <w:rStyle w:val="FootnoteAnchor"/>
          <w:rtl w:val="true"/>
        </w:rPr>
        <w:footnoteReference w:id="1006"/>
      </w:r>
      <w:r>
        <w:rPr>
          <w:rFonts w:ascii="Amiri" w:hAnsi="Amiri" w:eastAsia="Amiri" w:cs="Amiri"/>
          <w:color w:val="111111"/>
          <w:sz w:val="28"/>
          <w:sz w:val="28"/>
          <w:szCs w:val="28"/>
          <w:rtl w:val="true"/>
          <w:lang w:bidi="ar-SA"/>
        </w:rPr>
        <w:t>فجائزٌ، و إلّافذلكَ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الأصلِ لَيسَ مِن الواجبِ عِلمُ الإمامِ بوَقتِ وفاتِه أو قَتلِه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أميرَ المؤمنينَ عليه السلامُ في أخبارٍ كَثيرةٍ‌</w:t>
      </w:r>
      <w:r>
        <w:rPr>
          <w:rStyle w:val="FootnoteAnchor"/>
          <w:rtl w:val="true"/>
        </w:rPr>
        <w:footnoteReference w:id="1007"/>
      </w:r>
      <w:r>
        <w:rPr>
          <w:rFonts w:ascii="Amiri" w:hAnsi="Amiri" w:eastAsia="Amiri" w:cs="Amiri"/>
          <w:color w:val="111111"/>
          <w:sz w:val="28"/>
          <w:sz w:val="28"/>
          <w:szCs w:val="28"/>
          <w:rtl w:val="true"/>
          <w:lang w:bidi="ar-SA"/>
        </w:rPr>
        <w:t xml:space="preserve">كانَ يَعلَمُ أنّه مقتولٌ‌، و أنّ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w:t>
      </w:r>
      <w:r>
        <w:rPr>
          <w:rFonts w:eastAsia="Amiri" w:cs="Amiri" w:ascii="Amiri" w:hAnsi="Amiri"/>
          <w:color w:val="111111"/>
          <w:sz w:val="28"/>
          <w:szCs w:val="28"/>
          <w:rtl w:val="true"/>
          <w:lang w:bidi="ar-SA"/>
        </w:rPr>
        <w:t>.</w:t>
      </w:r>
      <w:r>
        <w:rPr>
          <w:rStyle w:val="FootnoteAnchor"/>
          <w:rtl w:val="true"/>
        </w:rPr>
        <w:footnoteReference w:id="100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يَكونَ عالِماً بالوقتِ الذي يَقتُلُه فيه علَى التحديدِ و التعيينِ‌؛ لأنّه لَو عَلِمَ ذلكَ لَوَجَبَ عليه</w:t>
      </w:r>
      <w:r>
        <w:rPr>
          <w:rStyle w:val="FootnoteAnchor"/>
          <w:rtl w:val="true"/>
        </w:rPr>
        <w:footnoteReference w:id="1009"/>
      </w:r>
      <w:r>
        <w:rPr>
          <w:rFonts w:ascii="Amiri" w:hAnsi="Amiri" w:eastAsia="Amiri" w:cs="Amiri"/>
          <w:color w:val="111111"/>
          <w:sz w:val="28"/>
          <w:sz w:val="28"/>
          <w:szCs w:val="28"/>
          <w:rtl w:val="true"/>
          <w:lang w:bidi="ar-SA"/>
        </w:rPr>
        <w:t>أن يَدفَعَه عن نفسِه، و لا يُلقيَ بيَدِه إلَى التهلُكةِ‌، و أنّ هذا في عِلمِ الجُملةِ غيرُ واجبٍ‌</w:t>
      </w:r>
      <w:r>
        <w:rPr>
          <w:rFonts w:eastAsia="Amiri" w:cs="Amiri" w:ascii="Amiri" w:hAnsi="Amiri"/>
          <w:color w:val="111111"/>
          <w:sz w:val="28"/>
          <w:szCs w:val="28"/>
          <w:rtl w:val="true"/>
          <w:lang w:bidi="ar-SA"/>
        </w:rPr>
        <w:t xml:space="preserve">. </w:t>
      </w:r>
      <w:bookmarkStart w:id="534" w:name="pg16425_221764"/>
    </w:p>
    <w:p>
      <w:pPr>
        <w:pStyle w:val="Heading3"/>
        <w:numPr>
          <w:ilvl w:val="2"/>
          <w:numId w:val="1"/>
        </w:numPr>
        <w:rPr/>
      </w:pPr>
      <w:bookmarkStart w:id="535" w:name="__RefHeading___Toc7830251_1280447820"/>
      <w:bookmarkStart w:id="536" w:name="_Toc174"/>
      <w:bookmarkEnd w:id="534"/>
      <w:bookmarkEnd w:id="535"/>
      <w:r>
        <w:rPr>
          <w:rtl w:val="true"/>
        </w:rPr>
        <w:t>(</w:t>
      </w:r>
      <w:r>
        <w:rPr/>
        <w:t>58</w:t>
      </w:r>
      <w:r>
        <w:rPr>
          <w:rtl w:val="true"/>
        </w:rPr>
        <w:t xml:space="preserve">) </w:t>
      </w:r>
      <w:r>
        <w:rPr>
          <w:rtl w:val="true"/>
        </w:rPr>
        <w:t>مسألةٌ في مُشاهَدةِ المُحتَضَرِ الإمامَ قَبلَ مَوتِه</w:t>
      </w:r>
      <w:bookmarkEnd w:id="53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7" w:name="__RefHeading___Toc7830253_1280447820"/>
      <w:bookmarkStart w:id="538" w:name="_Toc175"/>
      <w:bookmarkEnd w:id="537"/>
      <w:r>
        <w:rPr>
          <w:rtl w:val="true"/>
        </w:rPr>
        <w:t>اشارة</w:t>
      </w:r>
      <w:bookmarkEnd w:id="53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9" w:name="pg16425_221766"/>
      <w:bookmarkStart w:id="540" w:name="pg16425_221766"/>
      <w:bookmarkEnd w:id="540"/>
    </w:p>
    <w:p>
      <w:pPr>
        <w:pStyle w:val="Heading4"/>
        <w:numPr>
          <w:ilvl w:val="3"/>
          <w:numId w:val="1"/>
        </w:numPr>
        <w:rPr/>
      </w:pPr>
      <w:bookmarkStart w:id="541" w:name="pg16425_221766"/>
      <w:bookmarkStart w:id="542" w:name="__RefHeading___Toc7830255_1280447820"/>
      <w:bookmarkStart w:id="543" w:name="_Toc176"/>
      <w:bookmarkEnd w:id="541"/>
      <w:bookmarkEnd w:id="542"/>
      <w:r>
        <w:rPr>
          <w:rtl w:val="true"/>
        </w:rPr>
        <w:t>مقدّمة التحقيق</w:t>
      </w:r>
      <w:bookmarkEnd w:id="543"/>
    </w:p>
    <w:p>
      <w:pPr>
        <w:pStyle w:val="Heading5"/>
        <w:numPr>
          <w:ilvl w:val="4"/>
          <w:numId w:val="1"/>
        </w:numPr>
        <w:rPr/>
      </w:pPr>
      <w:bookmarkStart w:id="544" w:name="__RefHeading___Toc7830257_1280447820"/>
      <w:bookmarkStart w:id="545" w:name="_Toc177"/>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من المسائل المهمّة التي أُثيرت في تاريخ الفكر الإسلامي و التي أدّت إلى حصول خلافات و نزاعات كبيرة بين علماء الإسلام و مفكريه، هي ظاهرة تعارض العقل و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تتعارض معطيات العقل القطعيّة أحياناً مع ظواهر السمع؛ و حينئذ كان لابدّ من رفع هذا التعارض الظاهري، و في هذه النقطة بالتحديد برز الخلاف بين مَن أصرّ على تقديم معطيات العقل و تأويل السمع بما يتناسب مع تلك المعطيات و بين مَن وجد أنّه لا مناص من التمسّك بنتائج السمع و وضع معطيات العقل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روّاد النظريّة الأُولى، فيما تمسّك بعض أصحاب الحديث و الحشويّة خاصّة بالنظريّة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واجه الإماميّة هذه الإشكاليّة و التعارض في بعض المسائل المنقولة في تراثهم الروائي، منها مسألة رؤية المحتضَر لأمير المؤمنين عليه السلامُ عند احتضاره؛ فقد دلّت على ذلك روايات بلغت حدّ التواتر، كما أجمع الإماميّة عليه، و لم يخالفوا فيه</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وَجَدَ روّاد مدرسة بغداد الإماميّة و منهم الشريف المرتضى أنّ هذه الروايات تتعارض مع معطيات العقل؛ فإنّه وفقاً لنظريّة الشريف المرتضى حول </w:t>
      </w:r>
    </w:p>
    <w:p>
      <w:pPr>
        <w:pStyle w:val="BookText"/>
        <w:rPr/>
      </w:pPr>
      <w:r>
        <w:rPr>
          <w:rFonts w:ascii="Amiri" w:hAnsi="Amiri" w:eastAsia="Amiri" w:cs="Amiri"/>
          <w:color w:val="111111"/>
          <w:sz w:val="28"/>
          <w:sz w:val="28"/>
          <w:szCs w:val="28"/>
          <w:rtl w:val="true"/>
          <w:lang w:bidi="ar-SA"/>
        </w:rPr>
        <w:t>حقيقة الإنسان الدالّة على أنّ الانسان ليس إلّاهذا الجسم، و أنّه ليست فيه أيّ جهة مجرّدة، فإنّه وفقاً لهذه النظريّة سوف تكون حقيقة أمير المؤمنين عليه السلامُ هي الجسم أيضاً، و إذا كان كذلك فكيف يمكن للجسم أن يكون في وقت واحد في أماكن عديدة، و ذلك فيما لو كان هناك محتضَرون عديدون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أجاب الشريف المرتضى في هذه الرسالة على السؤال عن مشاهدة المحتَضَر لجسم الإمام عليه السلامُ بعدم قبول تلك الروايات على حقيقتها، و ضرورة تأويلها بأنّ المحتضَر يشاهد في تلك الحالة ثمرة ولاية أمير المؤمنين عليه السلامُ‌، و الانحراف عنه، و لا يشاهد شخصه و جسمه، و يشهد له أنّه روي أنّه إذا عاين الإنسان الموت و قاربه، أري في تلك الحالة ما يدلّه على أنّه من أهل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عُمّم هذا البحث إلى ملك الموت؛ فقد 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وصفهم الشريف المرتضى بالمحصّلين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ملك الموت واحداً، و في نفس الوقت يقوم بقبض أرواح جميع البشر؛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 الجسم لا يمكن أن يكون في وقت واحد في أماكن كثيرة؛ و لذلك تأوّلوا الآيات الدالّة بظاهرها على وجود ملك واحد لقبض الأرواح بأنّ المراد بها جنسُ ملك الموت، لا الشخص الواحد؛ و ذهبوا إلى أنّ هناك أكثر من ملك موت واحد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الجدير بالذكر 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يؤمن بأنّ حقيقة الإنسان هي الروح المجرّدة، لا هذا الجسم</w:t>
      </w:r>
      <w:r>
        <w:rPr>
          <w:rStyle w:val="FootnoteAnchor"/>
          <w:rtl w:val="true"/>
        </w:rPr>
        <w:footnoteReference w:id="1011"/>
      </w:r>
      <w:r>
        <w:rPr>
          <w:rFonts w:ascii="Amiri" w:hAnsi="Amiri" w:eastAsia="Amiri" w:cs="Amiri"/>
          <w:color w:val="111111"/>
          <w:sz w:val="28"/>
          <w:sz w:val="28"/>
          <w:szCs w:val="28"/>
          <w:rtl w:val="true"/>
          <w:lang w:bidi="ar-SA"/>
        </w:rPr>
        <w:t>، خلافاً لما ذهب إليه الشريف المرتضى؛ و لكنّه مع ذلك قام بتأويل روايات رؤية المحتَضَر لأمير المؤمنين عليه السلامُ بنفس التأويل المذكور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لم يذكر الدليل الذي دعاه إلى هذا التأويل، لكنّ الظاهر أنّ السبب هو أنّ تلك الروايات تدلّ بظاهرها على أنّ الإمام يحضر بجسمه عند المحتضَر، </w:t>
      </w:r>
      <w:bookmarkStart w:id="546" w:name="pg16425_221768"/>
    </w:p>
    <w:p>
      <w:pPr>
        <w:pStyle w:val="BookText"/>
        <w:rPr/>
      </w:pPr>
      <w:bookmarkEnd w:id="546"/>
      <w:r>
        <w:rPr>
          <w:rFonts w:ascii="Amiri" w:hAnsi="Amiri" w:eastAsia="Amiri" w:cs="Amiri"/>
          <w:color w:val="111111"/>
          <w:sz w:val="28"/>
          <w:sz w:val="28"/>
          <w:szCs w:val="28"/>
          <w:rtl w:val="true"/>
          <w:lang w:bidi="ar-SA"/>
        </w:rPr>
        <w:t>و الجسم لا يمكن أن يحضر في وقت واحد في أماكن كثيرة، فلا بدّ من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الظاهر أنّ سبب تأويل أخبار الاحتضار عند المفيد و المرتضى واحد، و لا ارتباط لذلك برأيهما حول حقيقة الإنسان؛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7830259_1280447820"/>
      <w:bookmarkStart w:id="548" w:name="_Toc178"/>
      <w:bookmarkEnd w:id="547"/>
      <w:r>
        <w:rPr>
          <w:rtl w:val="true"/>
        </w:rPr>
        <w:t>نسبتها إلى المؤلّف</w:t>
      </w:r>
      <w:bookmarkEnd w:id="548"/>
    </w:p>
    <w:p>
      <w:pPr>
        <w:pStyle w:val="BookText"/>
        <w:rPr/>
      </w:pPr>
      <w:r>
        <w:rPr>
          <w:rFonts w:ascii="Amiri" w:hAnsi="Amiri" w:eastAsia="Amiri" w:cs="Amiri"/>
          <w:color w:val="111111"/>
          <w:sz w:val="28"/>
          <w:sz w:val="28"/>
          <w:szCs w:val="28"/>
          <w:rtl w:val="true"/>
          <w:lang w:bidi="ar-SA"/>
        </w:rPr>
        <w:t xml:space="preserve">لقد نقل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معظم مطالب الرسالة محلّ البحث و لكن بتصرّف، و نسب تلك المطالب تارة إلى الشريف المرتضى، فيما لم يصرّح بنسبتها إليه تارة أُخرى</w:t>
      </w:r>
      <w:r>
        <w:rPr>
          <w:rStyle w:val="FootnoteAnchor"/>
          <w:rtl w:val="true"/>
        </w:rPr>
        <w:footnoteReference w:id="1012"/>
      </w:r>
      <w:r>
        <w:rPr>
          <w:rFonts w:ascii="Amiri" w:hAnsi="Amiri" w:eastAsia="Amiri" w:cs="Amiri"/>
          <w:color w:val="111111"/>
          <w:sz w:val="28"/>
          <w:sz w:val="28"/>
          <w:szCs w:val="28"/>
          <w:rtl w:val="true"/>
          <w:lang w:bidi="ar-SA"/>
        </w:rPr>
        <w:t>و إنّ نسبته هذه المطالب إلى الشريف المرتضى يمكن اعتباره قرينة جيّدة على تصحيح نسبة الرسالة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الشريف المرتضى تعرّض إلى روايات الاحتضار في 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الميّافارقيّات، و ذكر هناك نفس التأويل الذي ذكره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شاهد آخر علىٰ تصحيح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7830261_1280447820"/>
      <w:bookmarkStart w:id="550" w:name="_Toc179"/>
      <w:bookmarkEnd w:id="549"/>
      <w:r>
        <w:rPr>
          <w:rtl w:val="true"/>
        </w:rPr>
        <w:t>مخطوطات الرسالة</w:t>
      </w:r>
      <w:bookmarkEnd w:id="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551" w:name="pg16425_221770"/>
    </w:p>
    <w:p>
      <w:pPr>
        <w:pStyle w:val="Heading4"/>
        <w:numPr>
          <w:ilvl w:val="3"/>
          <w:numId w:val="1"/>
        </w:numPr>
        <w:rPr/>
      </w:pPr>
      <w:bookmarkStart w:id="552" w:name="__RefHeading___Toc7830263_1280447820"/>
      <w:bookmarkStart w:id="553" w:name="_Toc180"/>
      <w:bookmarkEnd w:id="551"/>
      <w:bookmarkEnd w:id="552"/>
      <w:r>
        <w:rPr>
          <w:rtl w:val="true"/>
        </w:rPr>
        <w:t>مسألةٌ في مُشاهَدةِ المُحتَضَرِ الإمامَ قَبلَ مَوتِه</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عن المُحتَضَرِ، هَل يُشاهِدُ في تلكَ الحالِ جسمَ الإمامِ نفسِه، أَم غيرَ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رَوَت الشيعةُ الإماميّةُ أنّ كُلَّ مُحتَضَرٍ يَرىٰ قَبلَ مَوتِه أميرَ المؤمنينَ عليه السلامُ‌</w:t>
      </w:r>
      <w:r>
        <w:rPr>
          <w:rStyle w:val="FootnoteAnchor"/>
          <w:rtl w:val="true"/>
        </w:rPr>
        <w:footnoteReference w:id="1013"/>
      </w:r>
      <w:r>
        <w:rPr>
          <w:rFonts w:ascii="Amiri" w:hAnsi="Amiri" w:eastAsia="Amiri" w:cs="Amiri"/>
          <w:color w:val="111111"/>
          <w:sz w:val="28"/>
          <w:sz w:val="28"/>
          <w:szCs w:val="28"/>
          <w:rtl w:val="true"/>
          <w:lang w:bidi="ar-SA"/>
        </w:rPr>
        <w:t>، و رُويَ عنه شِعرٌ يَتضمَّنُ ذلكَ‌،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 إذا صَحَّت هذه الروايةُ‌،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يَعلَمُ في تلكَ الحالِ ثَمرةَ وَلايتِه عليه السلامُ و انحرافِه عنه؛ لأنّ المُحتَضَرَ قد رُويَ أنّه إذا عايَنَ المَوتَ و قارَبَه، أُريَ في تلكَ الحالِ ما يَدُلُّه علىٰ أنّه مِن أهلِ الجَنّةِ أو مِن أهلِ النارِ</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و هذا معنىٰ قولِ أحَدِهم إذا قارَبَ الهَلاكَ‌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كِدتُ أَرىٰ أعمالي</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الجَزاءَ عليها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يَقولُ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ما يَتعلَّقُ مِن فعلٍ به</w:t>
      </w:r>
      <w:r>
        <w:rPr>
          <w:rStyle w:val="FootnoteAnchor"/>
          <w:rtl w:val="true"/>
        </w:rPr>
        <w:footnoteReference w:id="1017"/>
      </w:r>
      <w:r>
        <w:rPr>
          <w:rFonts w:ascii="Amiri" w:hAnsi="Amiri" w:eastAsia="Amiri" w:cs="Amiri"/>
          <w:color w:val="111111"/>
          <w:sz w:val="28"/>
          <w:sz w:val="28"/>
          <w:szCs w:val="28"/>
          <w:rtl w:val="true"/>
          <w:lang w:bidi="ar-SA"/>
        </w:rPr>
        <w:t>أو أمرٍ يَعودُ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اختَرنا هذا التأويلَ لأنّ أميرَ المؤمنينَ عليه السلامُ جسمٌ‌؛ فكَيفَ يُشاهِدُه كُلُّ مُحتَضَرٍ، و الجِسمُ لا يَجوزُ أن يَكونَ في الحالِ الواحدةِ في جِهاتٍ مُختَلِفةٍ؟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قالَ المُحصِّلونَ‌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الذي يَقبِضُ الأرواحَ لا يَجوزُ أن يَكونَ واحداً؛</w:t>
      </w:r>
      <w:r>
        <w:rPr>
          <w:rStyle w:val="FootnoteAnchor"/>
          <w:rtl w:val="true"/>
        </w:rPr>
        <w:footnoteReference w:id="1018"/>
      </w:r>
      <w:r>
        <w:rPr>
          <w:rFonts w:ascii="Amiri" w:hAnsi="Amiri" w:eastAsia="Amiri" w:cs="Amiri"/>
          <w:color w:val="111111"/>
          <w:sz w:val="28"/>
          <w:sz w:val="28"/>
          <w:szCs w:val="28"/>
          <w:rtl w:val="true"/>
          <w:lang w:bidi="ar-SA"/>
        </w:rPr>
        <w:t>لأنّه جسمٌ و الجسمُ لا يَصِحُّ أن يَكونَ في الأماكِنِ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تأوَّلوا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أنّه أرادَ بمَلَكِ المَوتِ الجنسَ دونَ الشخصِ الواحدِ؛ كَما قالَ‌</w:t>
      </w:r>
      <w:r>
        <w:rPr>
          <w:rStyle w:val="FootnoteAnchor"/>
          <w:rtl w:val="true"/>
        </w:rPr>
        <w:footnoteReference w:id="1020"/>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اَلْمَلَكُ عَلىٰ أَرْجٰائِهٰا</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و إنّما أرادَ جنسَ الملائكةِ‌</w:t>
      </w:r>
      <w:r>
        <w:rPr>
          <w:rFonts w:eastAsia="Amiri" w:cs="Amiri" w:ascii="Amiri" w:hAnsi="Amiri"/>
          <w:color w:val="111111"/>
          <w:sz w:val="28"/>
          <w:szCs w:val="28"/>
          <w:rtl w:val="true"/>
          <w:lang w:bidi="ar-SA"/>
        </w:rPr>
        <w:t xml:space="preserve">. </w:t>
      </w:r>
      <w:bookmarkStart w:id="554" w:name="pg16425_221772"/>
    </w:p>
    <w:p>
      <w:pPr>
        <w:pStyle w:val="Heading3"/>
        <w:numPr>
          <w:ilvl w:val="2"/>
          <w:numId w:val="1"/>
        </w:numPr>
        <w:rPr/>
      </w:pPr>
      <w:bookmarkStart w:id="555" w:name="__RefHeading___Toc7830265_1280447820"/>
      <w:bookmarkStart w:id="556" w:name="_Toc181"/>
      <w:bookmarkEnd w:id="554"/>
      <w:bookmarkEnd w:id="555"/>
      <w:r>
        <w:rPr>
          <w:rtl w:val="true"/>
        </w:rPr>
        <w:t>(</w:t>
      </w:r>
      <w:r>
        <w:rPr/>
        <w:t>59</w:t>
      </w:r>
      <w:r>
        <w:rPr>
          <w:rtl w:val="true"/>
        </w:rPr>
        <w:t xml:space="preserve">) </w:t>
      </w:r>
      <w:r>
        <w:rPr>
          <w:rtl w:val="true"/>
        </w:rPr>
        <w:t>مسألةٌ في معنىٰ ما يَقولُه الشيعةُ عندَ مَشاهدِ أئمّتِهم عليهم السلام</w:t>
      </w:r>
      <w:bookmarkEnd w:id="55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7" w:name="__RefHeading___Toc7830267_1280447820"/>
      <w:bookmarkStart w:id="558" w:name="_Toc182"/>
      <w:bookmarkEnd w:id="557"/>
      <w:r>
        <w:rPr>
          <w:rtl w:val="true"/>
        </w:rPr>
        <w:t>اشارة</w:t>
      </w:r>
      <w:bookmarkEnd w:id="55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16425_221774"/>
      <w:bookmarkStart w:id="560" w:name="pg16425_221774"/>
      <w:bookmarkEnd w:id="560"/>
    </w:p>
    <w:p>
      <w:pPr>
        <w:pStyle w:val="Heading4"/>
        <w:numPr>
          <w:ilvl w:val="3"/>
          <w:numId w:val="1"/>
        </w:numPr>
        <w:rPr/>
      </w:pPr>
      <w:bookmarkStart w:id="561" w:name="pg16425_221774"/>
      <w:bookmarkStart w:id="562" w:name="__RefHeading___Toc7830269_1280447820"/>
      <w:bookmarkStart w:id="563" w:name="_Toc183"/>
      <w:bookmarkEnd w:id="561"/>
      <w:bookmarkEnd w:id="562"/>
      <w:r>
        <w:rPr>
          <w:rtl w:val="true"/>
        </w:rPr>
        <w:t>مقدّمة التحقيق</w:t>
      </w:r>
      <w:bookmarkEnd w:id="563"/>
    </w:p>
    <w:p>
      <w:pPr>
        <w:pStyle w:val="Heading5"/>
        <w:numPr>
          <w:ilvl w:val="4"/>
          <w:numId w:val="1"/>
        </w:numPr>
        <w:rPr/>
      </w:pPr>
      <w:bookmarkStart w:id="564" w:name="__RefHeading___Toc7830271_1280447820"/>
      <w:bookmarkStart w:id="565" w:name="_Toc184"/>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سُئل الشريف المرتضى في هذه الرسالة من قِبَل بعض المخالفين عن ما يقوله الشيعة عند قبور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تسمع كلامي، و تردّ 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استبعد السائل أن يتمكّن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سماع الكلام، أو يقدروا على ردّ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الشريف المرتضى قد تعرّض في جواب المسائل الميّافارقيّات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البحث بصورة مختصرة، و استدلّ هناك بالإجماع على أنّ الأئمّة عليهم السلامُ يسمعون كلام الزائر لهم أو المصلّي عليهم، و يشاهدونه، و ذلك بأن يُبلغهم اللّٰه تعالى ذلك، أو يُعلمهم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يقتصر في هذا الحكم على الأئمّة عليهم السلامُ‌؛ بل عمّمه لسائر المؤمنين، فهم أيضاً يسمعون و يشاهدون من يزور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الرسالة تحدّث عن المسألة بصورة مفصّلة، و ركّز كلامه على عدم وجود مبرّر مقبول و عقلائي لرفض أن يَسمع الميّت أو يشاهِد مَن يزوره من الأحياء، و يمكن تصوّر حصول السمع و البصر للميّت من خلال صور و معاني مختلفة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السلام و ردّ الجواب هو حصول الثواب و المنفعة للزائر، </w:t>
      </w:r>
      <w:bookmarkStart w:id="566" w:name="pg16425_221775"/>
    </w:p>
    <w:p>
      <w:pPr>
        <w:pStyle w:val="BookText"/>
        <w:rPr/>
      </w:pPr>
      <w:bookmarkEnd w:id="566"/>
      <w:r>
        <w:rPr>
          <w:rFonts w:ascii="Amiri" w:hAnsi="Amiri" w:eastAsia="Amiri" w:cs="Amiri"/>
          <w:color w:val="111111"/>
          <w:sz w:val="28"/>
          <w:sz w:val="28"/>
          <w:szCs w:val="28"/>
          <w:rtl w:val="true"/>
          <w:lang w:bidi="ar-SA"/>
        </w:rPr>
        <w:t>فيكون المعنى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تبلغه الملائكة أنّ فلاناً قد زاره و 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يمكن تسميته سماعاً و 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قادر على حفظ الصوت و إيصاله إلى حواسّ الميّت فيسمعه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لا معنى لاستبعاد ذلك، إلّاأن يشكّك أحد بقدرة اللّٰه تعالى،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الرسالة هي رسالة جديدة، تمّ العثور عليها في ضمن رسائل الشريف المرتضى التي قامت الأمانة العامّة لألفية الشريف المرتضى بتحضير مخطوطاتها، و يوجد في نسختها سقط في موضعَين، تُرك بشكل بياض</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7830273_1280447820"/>
      <w:bookmarkStart w:id="568" w:name="_Toc185"/>
      <w:bookmarkEnd w:id="567"/>
      <w:r>
        <w:rPr>
          <w:rtl w:val="true"/>
        </w:rPr>
        <w:t>مخطوطة الرسالة</w:t>
      </w:r>
      <w:bookmarkEnd w:id="568"/>
    </w:p>
    <w:p>
      <w:pPr>
        <w:pStyle w:val="BookText"/>
        <w:rPr/>
      </w:pPr>
      <w:r>
        <w:rPr>
          <w:rFonts w:ascii="Amiri" w:hAnsi="Amiri" w:eastAsia="Amiri" w:cs="Amiri"/>
          <w:color w:val="111111"/>
          <w:sz w:val="28"/>
          <w:sz w:val="28"/>
          <w:szCs w:val="28"/>
          <w:rtl w:val="true"/>
          <w:lang w:bidi="ar-SA"/>
        </w:rPr>
        <w:t>لقد تمّ العثور علىٰ مخطوطة واحدة لهذه الرسالة، و هي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433/7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bookmarkStart w:id="569" w:name="pg16425_221776"/>
    </w:p>
    <w:p>
      <w:pPr>
        <w:pStyle w:val="BookText"/>
        <w:rPr/>
      </w:pPr>
      <w:bookmarkEnd w:id="56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7830275_1280447820"/>
      <w:bookmarkStart w:id="571" w:name="_Toc186"/>
      <w:bookmarkEnd w:id="570"/>
      <w:r>
        <w:rPr>
          <w:rtl w:val="true"/>
        </w:rPr>
        <w:t>مسألةٌ في معنىٰ ما يَقولُه الشيعةُ عندَ مَشاهدِ أئمّتِهم عليهم السلام</w:t>
      </w:r>
      <w:bookmarkEnd w:id="571"/>
    </w:p>
    <w:p>
      <w:pPr>
        <w:pStyle w:val="BookText"/>
        <w:rPr/>
      </w:pPr>
      <w:r>
        <w:rPr>
          <w:rFonts w:ascii="Amiri" w:hAnsi="Amiri" w:eastAsia="Amiri" w:cs="Amiri"/>
          <w:color w:val="111111"/>
          <w:sz w:val="28"/>
          <w:sz w:val="28"/>
          <w:szCs w:val="28"/>
          <w:rtl w:val="true"/>
          <w:lang w:bidi="ar-SA"/>
        </w:rPr>
        <w:t>مسألةٌ في معنىٰ ما يَقولُه الشيعةُ عندَ مَشاهدِ أئمّتِهم عليهم السلام</w:t>
      </w:r>
      <w:r>
        <w:rPr>
          <w:rStyle w:val="FootnoteAnchor"/>
          <w:rtl w:val="true"/>
        </w:rPr>
        <w:footnoteReference w:id="10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قولِكم عندَ الزيارةِ لمَشاهدِ أئمّتِكم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تَسمَعُ كلامي، و تَرُدُّ جَوابي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يُتصوَّرُ في الميّتِ سَماعُ الكلامِ و في المقبورِ رَدُّ الجوابِ؟ و هَل هذا إلّاسَهوٌ مِن قائلِه، و غَفلةٌ مِن مُورِدِه‌؟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السهوُ و الغَفلةُ بالمُتكلِّمِ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بالاستبعادِ و العَجَبِ قَبلَ الفكرِ و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أَليَقُ و به أَشبَهُ‌؛ فإنّه تَعجَّبَ ممّا لَو وَقَفَ عليه أَقَرَّ به أو بما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سَماعُ الكلامِ فيُستَعمَلُ في إدراكِه بآلةِ السمعِ‌، و يُستَعمَلُ في ترتيبِ فائدةٍ و نَفعٍ و ثَمرةٍ عليه؛ كَقَولِ‌</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فُلانٍ 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و السُّلطانُ لَيسَ يَسمَعُ كلامَ فُلانٍ و يَسمَعُ كلامَ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فيُتبِعونَ الوصفَ بالسَّماعِ لِما يُحصِّلُ فائدةً و يُثمِرُ نَفعاً، دونَ ما عَدا ذلكَ‌؛ و إن كانَ الجميعُ مُدرَكاً بحاسّةِ السمعِ معلوماً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رَدُّ الجوابِ فيُستَعمَلُ في رَدِّه بالكلامِ‌، و يُستَعمَلُ في فعلِ ما تَضمَّنَه </w:t>
      </w:r>
    </w:p>
    <w:p>
      <w:pPr>
        <w:pStyle w:val="BookText"/>
        <w:rPr/>
      </w:pPr>
      <w:r>
        <w:rPr>
          <w:rFonts w:ascii="Amiri" w:hAnsi="Amiri" w:eastAsia="Amiri" w:cs="Amiri"/>
          <w:color w:val="111111"/>
          <w:sz w:val="28"/>
          <w:sz w:val="28"/>
          <w:szCs w:val="28"/>
          <w:rtl w:val="true"/>
          <w:lang w:bidi="ar-SA"/>
        </w:rPr>
        <w:t>السؤالُ‌، كالذي يَسألُ غيرَه فعلاً، فَيفعَلُ المسؤولُ ما تَضمَّنَه سؤالُه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يَتكلَّمْ‌، و يُستَعمَلُ في فعلِ ما يَقتَضيهِ الحالُ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أجابَ إلىٰ أنّ ذلكَ يُستَعمَلُ في اللُّغةِ علىٰ هذه الوجوهِ‌،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 لَو صَرَفتَ ما سَألتَ عنه مِن سَماعِ الكلامِ و رَدِّ الجوابِ إلىٰ حصولِ الفائدةِ و إثمارِ المَنفَعةِ؟ فيَكونَ معنىٰ ذلكَ أنّ الزائرَ للمَشهَدِ إذا تَقرَّبَ إلَى اللّٰهِ تَعالىٰ بما يورِدُه مِن السلامِ علىٰ خِيَرة اللّٰهِ و صَفوَتِه، و الشهادةِ لهُم بما تَكلَّفوه و لَقوه و بما تَحمَّلوه و صَبَروا عليه، و البَراءةِ ممّن ظَلَمَهم و اللّعنةِ له و لِمَن أَعانَ‌</w:t>
      </w:r>
      <w:r>
        <w:rPr>
          <w:rStyle w:val="FootnoteAnchor"/>
          <w:rtl w:val="true"/>
        </w:rPr>
        <w:footnoteReference w:id="1024"/>
      </w:r>
      <w:r>
        <w:rPr>
          <w:rFonts w:ascii="Amiri" w:hAnsi="Amiri" w:eastAsia="Amiri" w:cs="Amiri"/>
          <w:color w:val="111111"/>
          <w:sz w:val="28"/>
          <w:sz w:val="28"/>
          <w:szCs w:val="28"/>
          <w:rtl w:val="true"/>
          <w:lang w:bidi="ar-SA"/>
        </w:rPr>
        <w:t xml:space="preserve">علىٰ قَتلِهم و رَضيَ به و لَم يُنكِرْه، و التوسُّلِ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الغُفرانِ لذُنوبِه و القَبولِ لأعمالِه، فإنّ هذا ممّا يُحصِّلُ الفَوائدَ و يُثمِرُ أجزَلَ المَنافعِ التي هي مَرجُوّةٌ مِن اللّٰهِ تَعالىٰ‌، و استحقاقَ الثوابِ الدائمِ و النعيمِ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أنكَرَ ما هذا حالُه ظَهَرَ جَهلُه و وَضَحَ عِنادُه، و إن أقَرَّ به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أَسرَعتَ إلَى التعجُّبِ و الاستبعادِ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و التأمُّلِ؟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فيه 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الأئمّةَ و الشهداءَ و الصالحينَ بَعدَ أن يَموتوا و يُفارِقوا الحياةَ في الدنيا أحْيٰاءٌ عِنْدَ رَبِّهِمْ يُرْزَقُونَ‌</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xml:space="preserve">تشريفاً لهم و تعظيماً لقَدرِهم، فإذا زارَهم الزائرُ و تَوسَّلَ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بَلَّغَتهم المَلائكةُ فَعلِموا بتبليغِهم مَن زارَ مَشهَدَهم و تَوسَّلَ بِهم، فشَفَعوا له إلَى اللّٰهِ تَعالىٰ و سَألوه غُفرانَ ذُنوبِهم و قبولَ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ذلكَ مَجرىٰ مَن له مَن يُبلِّغُه أعمالَ مَن بَعُدَ عنه، و يُخبِرُه بما يَكونُ منه،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سامعٌ لكلامِكَ‌، مُشاهِدٌ لأعمالِك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أ نّها تَصِلُ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وجهٌ في سَماعِ الكلامِ لا يَدفَعُه عاقلٌ و لا يُنكِرُه مُحصِّلٌ‌، فلِمَ عَدَلَ عن جُلِّ ما سَألَ عنه فأظهَرَ التعجُّبَ منه‌؟</w:t>
      </w:r>
    </w:p>
    <w:p>
      <w:pPr>
        <w:pStyle w:val="BookText"/>
        <w:rPr/>
      </w:pPr>
      <w:r>
        <w:rPr>
          <w:rFonts w:ascii="Amiri" w:hAnsi="Amiri" w:eastAsia="Amiri" w:cs="Amiri"/>
          <w:color w:val="111111"/>
          <w:sz w:val="28"/>
          <w:sz w:val="28"/>
          <w:szCs w:val="28"/>
          <w:rtl w:val="true"/>
          <w:lang w:bidi="ar-SA"/>
        </w:rPr>
        <w:t>علىٰ أنّ سائرَ المُسلِمينَ يَقولونَ عند استلامِ الحَجَرِ الأسوَدِ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أمانتي</w:t>
      </w:r>
      <w:r>
        <w:rPr>
          <w:rStyle w:val="FootnoteAnchor"/>
          <w:rtl w:val="true"/>
        </w:rPr>
        <w:footnoteReference w:id="1026"/>
      </w:r>
      <w:r>
        <w:rPr>
          <w:rFonts w:ascii="Amiri" w:hAnsi="Amiri" w:eastAsia="Amiri" w:cs="Amiri"/>
          <w:color w:val="111111"/>
          <w:sz w:val="28"/>
          <w:sz w:val="28"/>
          <w:szCs w:val="28"/>
          <w:rtl w:val="true"/>
          <w:lang w:bidi="ar-SA"/>
        </w:rPr>
        <w:t>أَدَّيتُها، و ميثاقي تَعهَّدتُه؛ لتَشهَدَ لي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يَشهَدُ الحَجَرُ و يَسمَعُ الجَمادُ؟ فإن كانَ لذلكَ وجهٌ يَسوغُ تأويلُه عليه إذا سَألَ المُلحِدُ ممّن يَقصِدُ التهزّؤَ و التعجُّبَ‌، فلِمَ تَغافَلَ السائلُ عن ذلكَ الوجهِ و سَلَكَ مَسلَكَ أعداءِ المِلّةِ مِن المُلحِدةِ؟ و هَل هذا إلّالفَرطِ العَصَبيّةِ المُهلِكةِ و تَركِ الانقيادِ إلَى الحُجَجِ و السبيلِ‌</w:t>
      </w:r>
      <w:r>
        <w:rPr>
          <w:rStyle w:val="FootnoteAnchor"/>
          <w:rtl w:val="true"/>
        </w:rPr>
        <w:footnoteReference w:id="1027"/>
      </w:r>
      <w:r>
        <w:rPr>
          <w:rFonts w:ascii="Amiri" w:hAnsi="Amiri" w:eastAsia="Amiri" w:cs="Amiri"/>
          <w:color w:val="111111"/>
          <w:sz w:val="28"/>
          <w:sz w:val="28"/>
          <w:szCs w:val="28"/>
          <w:rtl w:val="true"/>
          <w:lang w:bidi="ar-SA"/>
        </w:rPr>
        <w:t>المُنجيةِ؟ نَعوذُ باللّٰهِ مِن استيلاءِ الهَوىٰ و تقليدِ 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مَن هو حَيٌّ عندَ اللّٰهِ تَعالىٰ يُرزَقُ و يُنعَّمُ‌، يُدرِكُ الأصواتَ و يَسمَعُ الكلامَ؟</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فَتَصِفُ اللّٰهَ تَعالىٰ بالقُدرةِ علىٰ حفظِ المَحالِّ التي وُجِدَ</w:t>
      </w:r>
      <w:r>
        <w:rPr>
          <w:rStyle w:val="FootnoteAnchor"/>
          <w:rtl w:val="true"/>
        </w:rPr>
        <w:footnoteReference w:id="1028"/>
      </w:r>
      <w:r>
        <w:rPr>
          <w:rFonts w:ascii="Amiri" w:hAnsi="Amiri" w:eastAsia="Amiri" w:cs="Amiri"/>
          <w:color w:val="111111"/>
          <w:sz w:val="28"/>
          <w:sz w:val="28"/>
          <w:szCs w:val="28"/>
          <w:rtl w:val="true"/>
          <w:lang w:bidi="ar-SA"/>
        </w:rPr>
        <w:t xml:space="preserve">فيها الأصواتُ 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يَتكلَّمُ به الزائرُ لمَشاهدِ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التبدُّدِ في الهواءِ و تفريقِ الأجزاءِ‌، حتّىٰ تَصِلَ إلىٰ حَواسِّهم بحَيثُ هُم فيَسمَعونَها؟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مَذهبَ كُلِّ مَن أثبَتَ الصانعَ و ادَّعىٰ بالعُبوديّةِ‌؛</w:t>
      </w:r>
      <w:r>
        <w:rPr>
          <w:rStyle w:val="FootnoteAnchor"/>
          <w:rtl w:val="true"/>
        </w:rPr>
        <w:footnoteReference w:id="1029"/>
      </w:r>
      <w:r>
        <w:rPr>
          <w:rFonts w:ascii="Amiri" w:hAnsi="Amiri" w:eastAsia="Amiri" w:cs="Amiri"/>
          <w:color w:val="111111"/>
          <w:sz w:val="28"/>
          <w:sz w:val="28"/>
          <w:szCs w:val="28"/>
          <w:rtl w:val="true"/>
          <w:lang w:bidi="ar-SA"/>
        </w:rPr>
        <w:t xml:space="preserve">و كَيفَ لا يوصَفُ بالقُدرةِ علىٰ ذلكَ‌، و أحَدُنا يَقدِرُ علىٰ حفظِ مَحلِّ كلامِه بالآلاتِ فيُسمِعُ‌ </w:t>
      </w:r>
    </w:p>
    <w:p>
      <w:pPr>
        <w:pStyle w:val="BookText"/>
        <w:rPr/>
      </w:pPr>
      <w:r>
        <w:rPr>
          <w:rFonts w:ascii="Amiri" w:hAnsi="Amiri" w:eastAsia="Amiri" w:cs="Amiri"/>
          <w:color w:val="111111"/>
          <w:sz w:val="28"/>
          <w:sz w:val="28"/>
          <w:szCs w:val="28"/>
          <w:rtl w:val="true"/>
          <w:lang w:bidi="ar-SA"/>
        </w:rPr>
        <w:t>مَن بَعُدَ منه بقَدرِ ما يَتمكَّنُ مِن الآلةِ و طولِها؟ كالذي يَتكلَّمُ في الأجسامِ المُجوَّفةِ الرفيعةِ المُمتَدّةِ بَينَ فَمِه و حاسّةِ مَن يُريدُ أن يُسمِعَه كلامَه، ثُمَّ يَتكلَّمُ بالكلامِ الخَفيِّ الذي لا يَسمَعُه مَن يُحاوِرُه و يُصغي إليه، فتَحفَظُه الآلةُ بمَحلِّ كلامٍ‌</w:t>
      </w:r>
      <w:r>
        <w:rPr>
          <w:rStyle w:val="FootnoteAnchor"/>
          <w:rtl w:val="true"/>
        </w:rPr>
        <w:footnoteReference w:id="1030"/>
      </w:r>
      <w:r>
        <w:rPr>
          <w:rFonts w:ascii="Amiri" w:hAnsi="Amiri" w:eastAsia="Amiri" w:cs="Amiri"/>
          <w:color w:val="111111"/>
          <w:sz w:val="28"/>
          <w:sz w:val="28"/>
          <w:szCs w:val="28"/>
          <w:rtl w:val="true"/>
          <w:lang w:bidi="ar-SA"/>
        </w:rPr>
        <w:t>و تَمنَعُه مِن التبدُّدِ حتّىٰ يَصِلَ إلىٰ حاسّةِ مَن تَتَّصِلُ الآلةُ بحاسّتِه، لا يَلتَبِسُ و لا يَشتَبِهُ‌؛ لمكانِ حفظِ المَحلِّ و مَنعِه مِن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يَقدِرُ العبدُ عليه بالآلاتِ فإنّه تَعالىٰ أَقدَرُ منه علىٰ ما لا نِهايةَ له بِلا آلةٍ و 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هُنا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مَنَعَ ذلكَ‌</w:t>
      </w:r>
      <w:r>
        <w:rPr>
          <w:rStyle w:val="FootnoteAnchor"/>
          <w:rtl w:val="true"/>
        </w:rPr>
        <w:footnoteReference w:id="1032"/>
      </w:r>
      <w:r>
        <w:rPr>
          <w:rFonts w:ascii="Amiri" w:hAnsi="Amiri" w:eastAsia="Amiri" w:cs="Amiri"/>
          <w:color w:val="111111"/>
          <w:sz w:val="28"/>
          <w:sz w:val="28"/>
          <w:szCs w:val="28"/>
          <w:rtl w:val="true"/>
          <w:lang w:bidi="ar-SA"/>
        </w:rPr>
        <w:t>و أَحوَجَ‌</w:t>
      </w:r>
      <w:r>
        <w:rPr>
          <w:rStyle w:val="FootnoteAnchor"/>
          <w:rtl w:val="true"/>
        </w:rPr>
        <w:footnoteReference w:id="1033"/>
      </w:r>
      <w:r>
        <w:rPr>
          <w:rFonts w:ascii="Amiri" w:hAnsi="Amiri" w:eastAsia="Amiri" w:cs="Amiri"/>
          <w:color w:val="111111"/>
          <w:sz w:val="28"/>
          <w:sz w:val="28"/>
          <w:szCs w:val="28"/>
          <w:rtl w:val="true"/>
          <w:lang w:bidi="ar-SA"/>
        </w:rPr>
        <w:t xml:space="preserve">إلى الآلةِ فيه، و بَينَ مَن مَنَعَ تصويرَ الحَيَوانِ و سائرَ ما يَفعَلُه اللّٰهُ تَعالىٰ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سَبيلَ لأحَدٍ مِن المخلوقينَ إلىٰ فعلِ اليَسيرِ منه إلّابالآلاتِ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تَجاهَلَ مُتَجاهِلٌ و أَحوَجَ إلَى الآلةِ كانَ الكلامُ فيما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الآلةَ‌</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و في ذلكَ تعلُّقُ وجودِ الآلةِ بما لا نِهايةَ له مِن الآلاتِ‌، و هذا مُحالٌ‌، فلا بُدّ مِن الانتهاءِ إلىٰ فاعلٍ غَنيٍّ عن الآلاتِ و هو اللّٰهُ تَعالىٰ‌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أقَرَّ بصِحّةِ ذلكَ و القُدرةِ عليه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أَنكَرتَ أن يُشرِّفَ اللّٰهُ تَعالىٰ أولياءَه مِن الأنبياءِ و الأئمّةِ عليهم السلامُ‌، و يُرغِّبَ أتباعَهم و رَعاياهم في أن يَزوروا مَشاهِدَهم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بالقَصدِ إليها، و التضرُّعِ إليه تَعالىٰ فيها، و التوسُّلِ بمَن نُسِبَت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يَحفَظَ مَحالَّ كلامِهم حتّىٰ يَصِلَ إلىٰ سَمعِ مَن حَضَرَ الزائرُ مَشهَدَه، </w:t>
      </w:r>
    </w:p>
    <w:p>
      <w:pPr>
        <w:pStyle w:val="BookText"/>
        <w:rPr/>
      </w:pPr>
      <w:r>
        <w:rPr>
          <w:rFonts w:ascii="Amiri" w:hAnsi="Amiri" w:eastAsia="Amiri" w:cs="Amiri"/>
          <w:color w:val="111111"/>
          <w:sz w:val="28"/>
          <w:sz w:val="28"/>
          <w:szCs w:val="28"/>
          <w:rtl w:val="true"/>
          <w:lang w:bidi="ar-SA"/>
        </w:rPr>
        <w:t>فيَسمَعَه و يَسألَ اللّٰهَ تَعالىٰ إجابةَ دُعائه و قبولَ أعمالِه‌؟</w:t>
      </w:r>
    </w:p>
    <w:p>
      <w:pPr>
        <w:pStyle w:val="BookText"/>
        <w:rPr/>
      </w:pPr>
      <w:r>
        <w:rPr>
          <w:rFonts w:ascii="Amiri" w:hAnsi="Amiri" w:eastAsia="Amiri" w:cs="Amiri"/>
          <w:color w:val="111111"/>
          <w:sz w:val="28"/>
          <w:sz w:val="28"/>
          <w:szCs w:val="28"/>
          <w:rtl w:val="true"/>
          <w:lang w:bidi="ar-SA"/>
        </w:rPr>
        <w:t xml:space="preserve">و هذا غايةُ ما استَبعَدَه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 أنّه جائزٌ مُمكِنٌ غيرُ مُحالٍ و لا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أنكَرَه فلا يَخلو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فَرطِ الجَهلِ أو العَصَبيّةِ اللذَينِ يَمنَعانِ مِن الانقيادِ للحَقِّ و التصوُّرِ</w:t>
      </w:r>
      <w:r>
        <w:rPr>
          <w:rStyle w:val="FootnoteAnchor"/>
          <w:rtl w:val="true"/>
        </w:rPr>
        <w:footnoteReference w:id="1035"/>
      </w:r>
      <w:r>
        <w:rPr>
          <w:rFonts w:ascii="Amiri" w:hAnsi="Amiri" w:eastAsia="Amiri" w:cs="Amiri"/>
          <w:color w:val="111111"/>
          <w:sz w:val="28"/>
          <w:sz w:val="28"/>
          <w:szCs w:val="28"/>
          <w:rtl w:val="true"/>
          <w:lang w:bidi="ar-SA"/>
        </w:rPr>
        <w:t xml:space="preserve">و الإقرارِ بالصانعِ و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جَحدِ الصانعِ و إبطالِ النبوّةِ‌، و التوصُّلِ بإنكارِ ذلكَ إلىٰ تشكيكِ الضعفاءِ و تقبيحِ مَذهبِ أخَصِّ الناسِ برسولِ اللّٰهِ صلَّى اللّٰهُ عليه و آلِه و التمسُّكِ بشَرعِه و الاتّباعِ لعِترتِه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تَبارَكَ و تَعالَى التوفيقَ لِما يُرضيهِ مِن عِلمٍ و عملٍ‌؛ إن شاءَ اللّٰهُ‌، و به الثقةُ‌</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16425_221782"/>
      <w:bookmarkStart w:id="573" w:name="pg16425_221782"/>
      <w:bookmarkEnd w:id="573"/>
    </w:p>
    <w:p>
      <w:pPr>
        <w:pStyle w:val="Heading3"/>
        <w:numPr>
          <w:ilvl w:val="2"/>
          <w:numId w:val="1"/>
        </w:numPr>
        <w:rPr/>
      </w:pPr>
      <w:bookmarkStart w:id="574" w:name="pg16425_221782"/>
      <w:bookmarkStart w:id="575" w:name="__RefHeading___Toc7830277_1280447820"/>
      <w:bookmarkStart w:id="576" w:name="_Toc187"/>
      <w:bookmarkEnd w:id="574"/>
      <w:bookmarkEnd w:id="575"/>
      <w:r>
        <w:rPr>
          <w:rtl w:val="true"/>
        </w:rPr>
        <w:t>(</w:t>
      </w:r>
      <w:r>
        <w:rPr/>
        <w:t>60</w:t>
      </w:r>
      <w:r>
        <w:rPr>
          <w:rtl w:val="true"/>
        </w:rPr>
        <w:t xml:space="preserve">) </w:t>
      </w:r>
      <w:r>
        <w:rPr>
          <w:rtl w:val="true"/>
        </w:rPr>
        <w:t>مَسألةٌ في عِلّةِ خِذلانِ أهلِ البَيتِ عليهم السلام و عَدَمِ نُصرتِهم</w:t>
      </w:r>
      <w:bookmarkEnd w:id="57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7" w:name="__RefHeading___Toc7830279_1280447820"/>
      <w:bookmarkStart w:id="578" w:name="_Toc188"/>
      <w:bookmarkEnd w:id="577"/>
      <w:r>
        <w:rPr>
          <w:rtl w:val="true"/>
        </w:rPr>
        <w:t>اشارة</w:t>
      </w:r>
      <w:bookmarkEnd w:id="57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9" w:name="pg16425_221784"/>
      <w:bookmarkStart w:id="580" w:name="pg16425_221784"/>
      <w:bookmarkEnd w:id="580"/>
    </w:p>
    <w:p>
      <w:pPr>
        <w:pStyle w:val="Heading4"/>
        <w:numPr>
          <w:ilvl w:val="3"/>
          <w:numId w:val="1"/>
        </w:numPr>
        <w:rPr/>
      </w:pPr>
      <w:bookmarkStart w:id="581" w:name="pg16425_221784"/>
      <w:bookmarkStart w:id="582" w:name="__RefHeading___Toc7830281_1280447820"/>
      <w:bookmarkStart w:id="583" w:name="_Toc189"/>
      <w:bookmarkEnd w:id="581"/>
      <w:bookmarkEnd w:id="582"/>
      <w:r>
        <w:rPr>
          <w:rtl w:val="true"/>
        </w:rPr>
        <w:t>مقدّمة التحقيق</w:t>
      </w:r>
      <w:bookmarkEnd w:id="583"/>
    </w:p>
    <w:p>
      <w:pPr>
        <w:pStyle w:val="Heading5"/>
        <w:numPr>
          <w:ilvl w:val="4"/>
          <w:numId w:val="1"/>
        </w:numPr>
        <w:rPr/>
      </w:pPr>
      <w:bookmarkStart w:id="584" w:name="__RefHeading___Toc7830283_1280447820"/>
      <w:bookmarkStart w:id="585" w:name="_Toc190"/>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أجاب الشريف المرتضى في هذه الرسالة على سؤال افتراضي، حيث بدأ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 يدور حول ما يؤمن به الشيعة من أنّ الأئمّة الاثني عشر عليهم السلامُ هم صفوة اللّٰه بعد نبيّه صلّى اللّٰهُ عليه و آلِه، و حُججه على خلقه؛ فإذا كان كذلك فلماذا تمكّن الظلمة من قتلهم و ظلمهم‌؟ و لماذا خذلهم اللّٰه و أسلمهم و لم ينصرهم‌؟</w:t>
      </w:r>
    </w:p>
    <w:p>
      <w:pPr>
        <w:pStyle w:val="BookText"/>
        <w:rPr/>
      </w:pPr>
      <w:r>
        <w:rPr>
          <w:rFonts w:ascii="Amiri" w:hAnsi="Amiri" w:eastAsia="Amiri" w:cs="Amiri"/>
          <w:color w:val="111111"/>
          <w:sz w:val="28"/>
          <w:sz w:val="28"/>
          <w:szCs w:val="28"/>
          <w:rtl w:val="true"/>
          <w:lang w:bidi="ar-SA"/>
        </w:rPr>
        <w:t>و بدلاً من أن يجيب الشريف المرتضى على هذا السؤال أو الإشكال مباشرة، أخذ يتعمّق في البحث و يفصّله، مُبرِزاً بذلك كلّ عبقريّته و قدراته الجدليّة و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بدأ أوّلاً بجواب نقضي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هو في الحقيقة إشكال للملاحدة النافين للربوبيّة، و البراهمة النافين للنبوّة، فإنّ الملاحدة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هو الخالق لهذا العالم، فلماذا تمكّن العصاة و الظلمة من النيل من عباده و المطيعين له‌؟ و هكذا يقول البراهمة بالنسبة إلى الأنبياء عليهم السلامُ‌، فكلّ ما يجيب به السائل عن هذه الإشكالات، فنحن نجيب به عن إشكاله على الأئمّة عليهم السلامُ‌، فالإشكال غير خاصّ بالشيعة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أجاب السائل بقبول أن يكون اللّٰه تعالىٰ قد خذل أنبياءه فهو خلاف إجماع الأُمّة الدالّ علىٰ أنّ اللّٰه ينصر أولياءه و أنبياءه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أجاب بأنّهم مع قتلهم و الظلم لهم 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 القتل لا ينافي النصر، فلنقل مثل ذلك في الأئمّة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الأنبياء و الأئمّة، فإنّ اللّٰه تعالىٰ قد انتقم للأ نبياء بإهلاك أعدائهم خلافاً للأئمّة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يهلك كلّ أعداء الأنبياء بل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الإهلاك لم يمنع من قتل الأنبياء، فلا يصحّ أن يقال إنّه لم يمكِّن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السائل أن يسلّم بأنّ اللّٰه تعالىٰ قد خذل أنبياءه الذين لم يهلك أعداءَهم، و هذا مخالف لإجماع الأُمّة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تفصيل و استطراد في البحث، أخذ الشريف المرتضى بالإجابة على السؤال جواباً حَلّيّاً،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في التمكين هو قصدُ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الإمكانات التي تمكِّن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 بالأفعال؛ لأنّه لولا ذلك لمَا وجدنا في العالم شخصاً ممكِّناً من قتل عدوّه دون نفسه؛ لأنّ كلّ شيء يصلح أن يَقتل به عدوّه مِن سلاح و غيره، فإنّه يصلح أن تُقتل به نفسُه، و لهذا فالعبرة بالقصد، لا بالإمكانات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 هذا فيجب ملاحظة حال الممكِّن، فإنْ كان قَصَدَ من تمكينه الحسنَ دون القبيح،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مكّن من الحسن و إنْ كان ما مكّن منه يصلح لفعل القبيح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قَصَدَ من تمكينه القبيحَ دون الحسن،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مكّن من القبيح و إنْ كان ما مكّن منه يصلح لفعل الحسن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أنّ اللّٰه تعالى لا يقصد القبيح، و لا غرض له فيه، فيعلم منه أنّه مكّن من الطاعات دون المعاصي، و أنّه لم يمكّن من قتل أنبيائه و رسله و الأئمّة عليهم السلامُ‌؛ لأنّه تعالى نهى عن ذلك و 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يمكن أن يصل حدُّ النهي إلى المنع من الفعل و الإلجاء؛ لأنّه منافي للتكليف و التخيير الذي اقتضته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انتهى الجواب عن السؤال المذكور، حيث برزت مرّة أُخرى قدرة الشريف المرتضى على الإجابة على أيّ نوع من الإشكالات العقائديّة و الكلاميّة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احتوى الجواب في طيّاته على بعض الفوائد، نشير إلى بعضها</w:t>
      </w:r>
      <w:r>
        <w:rPr>
          <w:rFonts w:eastAsia="Amiri" w:cs="Amiri" w:ascii="Amiri" w:hAnsi="Amiri"/>
          <w:color w:val="111111"/>
          <w:sz w:val="28"/>
          <w:szCs w:val="28"/>
          <w:rtl w:val="true"/>
          <w:lang w:bidi="ar-SA"/>
        </w:rPr>
        <w:t xml:space="preserve">: </w:t>
      </w:r>
      <w:bookmarkStart w:id="586" w:name="pg16425_221786"/>
    </w:p>
    <w:p>
      <w:pPr>
        <w:pStyle w:val="BookText"/>
        <w:rPr/>
      </w:pPr>
      <w:bookmarkEnd w:id="58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سبب عدم معاجلة الأُمّة الإسلاميّة بالعقاب على ما فعلته بنبيّها صلّى اللّٰهُ عليه و آلِه و الأئمّة عليهم السلامُ‌، خلافاً للأمم السابقة التي كان ينزل عليها العذاب، هو أنّ اللّٰه تعالى خصّ نبيّه صلّى اللّٰهُ عليه و آلِه بخصائص دون سائر الأنبياء عليهم السلامُ‌،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أُمّته إلى قيام الساعة من المعاجلة بالعذاب و العقاب،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إكرامه بالشفاعة، و الحوض، و المقام المحمود، و اللواء، 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الأئمّة عليهم السلامُ إذا اجتهدوا بالدعاء، و طلبوا من اللّٰه تعالى هلاك أعدائهم، لأجيبوا إلى ذلك، لكنّهم عارفون بالدنيا و صِغر قدرها، و لذلك لم يَدْعوا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ذكر الشريف المرتضى عدّة وجوه لتفسير دعاء الأئمّة عليهم السلامُ‌، كما فسّر ما يوصف به الأئمّة عليهم السلامُ من أنّهم مستجابو الدعوة بعدّة وجوه أيضاً</w:t>
      </w:r>
      <w:r>
        <w:rPr>
          <w:rFonts w:eastAsia="Amiri" w:cs="Amiri" w:ascii="Amiri" w:hAnsi="Amiri"/>
          <w:color w:val="111111"/>
          <w:sz w:val="28"/>
          <w:szCs w:val="28"/>
          <w:rtl w:val="true"/>
          <w:lang w:bidi="ar-SA"/>
        </w:rPr>
        <w:t>.</w:t>
      </w:r>
      <w:r>
        <w:rPr>
          <w:rStyle w:val="FootnoteAnchor"/>
          <w:rtl w:val="true"/>
        </w:rPr>
        <w:footnoteReference w:id="1036"/>
      </w:r>
    </w:p>
    <w:p>
      <w:pPr>
        <w:pStyle w:val="Heading5"/>
        <w:numPr>
          <w:ilvl w:val="4"/>
          <w:numId w:val="1"/>
        </w:numPr>
        <w:rPr/>
      </w:pPr>
      <w:bookmarkStart w:id="587" w:name="__RefHeading___Toc7830285_1280447820"/>
      <w:bookmarkStart w:id="588" w:name="_Toc191"/>
      <w:bookmarkEnd w:id="587"/>
      <w:r>
        <w:rPr>
          <w:rtl w:val="true"/>
        </w:rPr>
        <w:t>ملاحظة</w:t>
      </w:r>
      <w:bookmarkEnd w:id="588"/>
    </w:p>
    <w:p>
      <w:pPr>
        <w:pStyle w:val="BookText"/>
        <w:rPr/>
      </w:pPr>
      <w:r>
        <w:rPr>
          <w:rFonts w:ascii="Amiri" w:hAnsi="Amiri" w:eastAsia="Amiri" w:cs="Amiri"/>
          <w:color w:val="111111"/>
          <w:sz w:val="28"/>
          <w:sz w:val="28"/>
          <w:szCs w:val="28"/>
          <w:rtl w:val="true"/>
          <w:lang w:bidi="ar-SA"/>
        </w:rPr>
        <w:t>لقد ذكر الشريف المرتضىٰ في هذه الرسالة كلاماً يظهر منه اتّهام ابن الراوندي بالإلحاد،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بمثل هذا أُجيب ابنُ الراوندي و غيرُه من الملحدة خذلهم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يخالف ما جاء في كتاب الشافي عند اتّهام القاضي عبد الجبّار ابنَ الرواندي بالإلحاد، حيث أجاب الشريف المرتضى هناك على هذا الاتّهام، و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ابن الراوندي،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عمل الكتب التي شنّع بها عليه معارضةً للمعتزلة و تحدّياً لهم؛ لأنّ القوم كانوا أساؤوا عشرته، و استنقصوا معرفته، فحمله ذلك على إظهار هذه الكتب ليبيّن عجزهم عن استقصاء نقضها، و تحاملهم عليه في رميه بقصور الفهم و الغفلة، و قد كان يتبرّأ منها تبرّأً ظاهراً، و </w:t>
      </w:r>
      <w:bookmarkStart w:id="589" w:name="pg16425_221787"/>
    </w:p>
    <w:p>
      <w:pPr>
        <w:pStyle w:val="BookText"/>
        <w:rPr/>
      </w:pPr>
      <w:bookmarkEnd w:id="589"/>
      <w:r>
        <w:rPr>
          <w:rFonts w:ascii="Amiri" w:hAnsi="Amiri" w:eastAsia="Amiri" w:cs="Amiri"/>
          <w:color w:val="111111"/>
          <w:sz w:val="28"/>
          <w:sz w:val="28"/>
          <w:szCs w:val="28"/>
          <w:rtl w:val="true"/>
          <w:lang w:bidi="ar-SA"/>
        </w:rPr>
        <w:t>ينتفي من عملها، و يضيفها إلى غيره، و ليس يُشكّ في خطئه بتأليفها، سواء اعتقدها أم لم يعتقدها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 ابن الراوندي من ذلك إلّاما قد صنع الجاحظ مثله أو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الجاحظ لم يكن معتقداً لما في هذه الكتب المختلفة، و إنّما حكى مقالات الناس و حِجاجهم، و ليس على الحاكي جريرة، و لا تلزمه تبعة؛ لأنّ هذا القول إن قنع به الخصوم فليقنعوا بمثله في الاعتذار، فإنّ ابن الراوندي لم يقل في كتبه هذه التي شنّع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أعتقد المذاهب التي حكيتها و أذهب إلى صحّتها، بل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الدهريّة، و قال الموحّدون، و قالت البراهمة، و قال مثبتو الرسول؛ فإن زالت التبعة عن الجاحظ في سبّ الصحابة و الأئمّة، و الشهادة عليهم بالضلال، و المروق عن الدين بإخراجه كلامه مَخرج الحكاية، فلتزولنّ أيضاً التبعة عن ابن الراوندي بمثل ذلك</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نفىٰ الشريف المرتضى بهذه الكلمات تهمة الإلحاد التي وجّهها القاضي إلىٰ ابن الراوندي، و لذلك ينبغي حمل عبارة الشريف المرتضى التي نقلناها قبل قليل و التي يظهر منها اتّهام ابن الراوندي بالإلحاد، علىٰ أنّ المراد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الراوندي، لا لأنّه منهم، بل لأنّ إشكالهم و كلامهم 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كانت هذه الرسالة قد طبعت في ضمن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7830287_1280447820"/>
      <w:bookmarkStart w:id="591" w:name="_Toc192"/>
      <w:bookmarkEnd w:id="590"/>
      <w:r>
        <w:rPr>
          <w:rtl w:val="true"/>
        </w:rPr>
        <w:t>مخطوطات الرسالة</w:t>
      </w:r>
      <w:bookmarkEnd w:id="591"/>
    </w:p>
    <w:p>
      <w:pPr>
        <w:pStyle w:val="Heading6"/>
        <w:numPr>
          <w:ilvl w:val="5"/>
          <w:numId w:val="1"/>
        </w:numPr>
        <w:rPr/>
      </w:pPr>
      <w:bookmarkStart w:id="592" w:name="__RefHeading___Toc7830289_1280447820"/>
      <w:bookmarkStart w:id="593" w:name="_Toc193"/>
      <w:bookmarkEnd w:id="592"/>
      <w:r>
        <w:rPr>
          <w:rtl w:val="true"/>
        </w:rPr>
        <w:t>ألف</w:t>
      </w:r>
      <w:r>
        <w:rPr>
          <w:rtl w:val="true"/>
        </w:rPr>
        <w:t xml:space="preserve">) </w:t>
      </w:r>
      <w:r>
        <w:rPr>
          <w:rtl w:val="true"/>
        </w:rPr>
        <w:t>النسخ المعتمدة</w:t>
      </w:r>
      <w:r>
        <w:rPr>
          <w:rtl w:val="true"/>
        </w:rPr>
        <w:t>:</w:t>
      </w:r>
      <w:bookmarkEnd w:id="5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23972</w:t>
      </w:r>
      <w:r>
        <w:rPr>
          <w:rFonts w:ascii="Amiri" w:hAnsi="Amiri" w:eastAsia="Amiri" w:cs="Amiri"/>
          <w:color w:val="111111"/>
          <w:sz w:val="28"/>
          <w:sz w:val="28"/>
          <w:szCs w:val="28"/>
          <w:rtl w:val="true"/>
          <w:lang w:bidi="ar-SA"/>
        </w:rPr>
        <w:t>؛ تقع في الصفحات</w:t>
      </w:r>
      <w:bookmarkStart w:id="594" w:name="pg16425_221788"/>
    </w:p>
    <w:p>
      <w:pPr>
        <w:pStyle w:val="BookText"/>
        <w:rPr/>
      </w:pPr>
      <w:bookmarkEnd w:id="59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7830291_1280447820"/>
      <w:bookmarkStart w:id="596" w:name="_Toc194"/>
      <w:bookmarkEnd w:id="595"/>
      <w:r>
        <w:rPr>
          <w:rtl w:val="true"/>
        </w:rPr>
        <w:t>ب</w:t>
      </w:r>
      <w:r>
        <w:rPr>
          <w:rtl w:val="true"/>
        </w:rPr>
        <w:t xml:space="preserve">) </w:t>
      </w:r>
      <w:r>
        <w:rPr>
          <w:rtl w:val="true"/>
        </w:rPr>
        <w:t>سائر النسخ</w:t>
      </w:r>
      <w:r>
        <w:rPr>
          <w:rtl w:val="true"/>
        </w:rPr>
        <w:t>:</w:t>
      </w:r>
      <w:bookmarkEnd w:id="5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433/7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7" w:name="pg16425_221790"/>
      <w:bookmarkStart w:id="598" w:name="pg16425_221790"/>
      <w:bookmarkEnd w:id="598"/>
    </w:p>
    <w:p>
      <w:pPr>
        <w:pStyle w:val="BookText"/>
        <w:rPr/>
      </w:pPr>
      <w:bookmarkStart w:id="599" w:name="pg16425_221790"/>
      <w:bookmarkEnd w:id="59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7830293_1280447820"/>
      <w:bookmarkStart w:id="601" w:name="_Toc195"/>
      <w:bookmarkEnd w:id="600"/>
      <w:r>
        <w:rPr>
          <w:rtl w:val="true"/>
        </w:rPr>
        <w:t>مَسألةٌ في عِلّةِ خِذلانِ أهلِ البَيتِ عليهم السلام و عَدَمِ نُصرتِهم</w:t>
      </w:r>
      <w:bookmarkEnd w:id="601"/>
    </w:p>
    <w:p>
      <w:pPr>
        <w:pStyle w:val="Heading5"/>
        <w:numPr>
          <w:ilvl w:val="4"/>
          <w:numId w:val="1"/>
        </w:numPr>
        <w:rPr/>
      </w:pPr>
      <w:bookmarkStart w:id="602" w:name="__RefHeading___Toc7830295_1280447820"/>
      <w:bookmarkStart w:id="603" w:name="_Toc196"/>
      <w:bookmarkEnd w:id="602"/>
      <w:r>
        <w:rPr>
          <w:rtl w:val="true"/>
        </w:rPr>
        <w:t>اشارة</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الأجَلُّ المُرتَضىٰ عَلَمُ الهُدىٰ ذو المَجدَينِ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تَزعُمونَ أنّ عليّاً و الحَسَنَ و الحُسَينَ و التِّسعةَ مِن وُلدِ الحُسَينِ عليهم السلامُ صَفوةُ اللّٰهِ بَعدَ نَبيِّه و حُجَجُه</w:t>
      </w:r>
      <w:r>
        <w:rPr>
          <w:rStyle w:val="FootnoteAnchor"/>
          <w:rtl w:val="true"/>
        </w:rPr>
        <w:footnoteReference w:id="1038"/>
      </w:r>
      <w:r>
        <w:rPr>
          <w:rFonts w:ascii="Amiri" w:hAnsi="Amiri" w:eastAsia="Amiri" w:cs="Amiri"/>
          <w:color w:val="111111"/>
          <w:sz w:val="28"/>
          <w:sz w:val="28"/>
          <w:szCs w:val="28"/>
          <w:rtl w:val="true"/>
          <w:lang w:bidi="ar-SA"/>
        </w:rPr>
        <w:t>علىٰ خَلقِه و أُمَناؤُه</w:t>
      </w:r>
      <w:r>
        <w:rPr>
          <w:rStyle w:val="FootnoteAnchor"/>
          <w:rtl w:val="true"/>
        </w:rPr>
        <w:footnoteReference w:id="1039"/>
      </w:r>
      <w:r>
        <w:rPr>
          <w:rFonts w:ascii="Amiri" w:hAnsi="Amiri" w:eastAsia="Amiri" w:cs="Amiri"/>
          <w:color w:val="111111"/>
          <w:sz w:val="28"/>
          <w:sz w:val="28"/>
          <w:szCs w:val="28"/>
          <w:rtl w:val="true"/>
          <w:lang w:bidi="ar-SA"/>
        </w:rPr>
        <w:t>علىٰ دينِه، فلِمَ مَكَّنَ‌</w:t>
      </w:r>
      <w:r>
        <w:rPr>
          <w:rStyle w:val="FootnoteAnchor"/>
          <w:rtl w:val="true"/>
        </w:rPr>
        <w:footnoteReference w:id="1040"/>
      </w:r>
      <w:r>
        <w:rPr>
          <w:rFonts w:ascii="Amiri" w:hAnsi="Amiri" w:eastAsia="Amiri" w:cs="Amiri"/>
          <w:color w:val="111111"/>
          <w:sz w:val="28"/>
          <w:sz w:val="28"/>
          <w:szCs w:val="28"/>
          <w:rtl w:val="true"/>
          <w:lang w:bidi="ar-SA"/>
        </w:rPr>
        <w:t>مِن قَتلِهم و ظُلمِهم، و أَسلَمَهم و خَذَلَهم، و لَم</w:t>
      </w:r>
      <w:r>
        <w:rPr>
          <w:rStyle w:val="FootnoteAnchor"/>
          <w:rtl w:val="true"/>
        </w:rPr>
        <w:footnoteReference w:id="1041"/>
      </w:r>
      <w:r>
        <w:rPr>
          <w:rFonts w:ascii="Amiri" w:hAnsi="Amiri" w:eastAsia="Amiri" w:cs="Amiri"/>
          <w:color w:val="111111"/>
          <w:sz w:val="28"/>
          <w:sz w:val="28"/>
          <w:szCs w:val="28"/>
          <w:rtl w:val="true"/>
          <w:lang w:bidi="ar-SA"/>
        </w:rPr>
        <w:t>يَنصُرْهم علىٰ أعدائهم، حتّىٰ قُتِلوا بأنواعِ القتلِ‌، و ظُلِموا بأفانينِ الظُّلمِ؟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الأوّل</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المُلحِدةِ في نَفيِ الرُّبوبيّةِ و قُبحِ العِبادةِ‌، و سؤالُ البَراهِمةِ‌</w:t>
      </w:r>
      <w:r>
        <w:rPr>
          <w:rStyle w:val="FootnoteAnchor"/>
          <w:rtl w:val="true"/>
        </w:rPr>
        <w:footnoteReference w:id="1043"/>
      </w:r>
      <w:r>
        <w:rPr>
          <w:rFonts w:ascii="Amiri" w:hAnsi="Amiri" w:eastAsia="Amiri" w:cs="Amiri"/>
          <w:color w:val="111111"/>
          <w:sz w:val="28"/>
          <w:sz w:val="28"/>
          <w:szCs w:val="28"/>
          <w:rtl w:val="true"/>
          <w:lang w:bidi="ar-SA"/>
        </w:rPr>
        <w:t>في نَفيِ النُّبوّةِ و إبطالِ الرِّسالةِ‌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المُلحِدةُ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لِلعالَمِ خالقٌ خَلَقَه و مُحدِثٌ أحدَثَه و ابتَدَعَه، لَم </w:t>
      </w:r>
    </w:p>
    <w:p>
      <w:pPr>
        <w:pStyle w:val="BookText"/>
        <w:rPr/>
      </w:pPr>
      <w:r>
        <w:rPr>
          <w:rFonts w:ascii="Amiri" w:hAnsi="Amiri" w:eastAsia="Amiri" w:cs="Amiri"/>
          <w:color w:val="111111"/>
          <w:sz w:val="28"/>
          <w:sz w:val="28"/>
          <w:szCs w:val="28"/>
          <w:rtl w:val="true"/>
          <w:lang w:bidi="ar-SA"/>
        </w:rPr>
        <w:t>يُمَكِّنْ مَن جَحَدَه ممّن عَبَدَه</w:t>
      </w:r>
      <w:r>
        <w:rPr>
          <w:rStyle w:val="FootnoteAnchor"/>
          <w:rtl w:val="true"/>
        </w:rPr>
        <w:footnoteReference w:id="1044"/>
      </w:r>
      <w:r>
        <w:rPr>
          <w:rFonts w:ascii="Amiri" w:hAnsi="Amiri" w:eastAsia="Amiri" w:cs="Amiri"/>
          <w:color w:val="111111"/>
          <w:sz w:val="28"/>
          <w:sz w:val="28"/>
          <w:szCs w:val="28"/>
          <w:rtl w:val="true"/>
          <w:lang w:bidi="ar-SA"/>
        </w:rPr>
        <w:t>و مَن عصاه ممّن أطاعَه، و لَمَنَعَهم مِن قَتلِهم و لَنَصَرَهم و لَم يُسلِمْهم؛ فإذا رَأَينا مَن يَتَمسَّكُ‌</w:t>
      </w:r>
      <w:r>
        <w:rPr>
          <w:rStyle w:val="FootnoteAnchor"/>
          <w:rtl w:val="true"/>
        </w:rPr>
        <w:footnoteReference w:id="1045"/>
      </w:r>
      <w:r>
        <w:rPr>
          <w:rFonts w:ascii="Amiri" w:hAnsi="Amiri" w:eastAsia="Amiri" w:cs="Amiri"/>
          <w:color w:val="111111"/>
          <w:sz w:val="28"/>
          <w:sz w:val="28"/>
          <w:szCs w:val="28"/>
          <w:rtl w:val="true"/>
          <w:lang w:bidi="ar-SA"/>
        </w:rPr>
        <w:t>بطاعتِه</w:t>
      </w:r>
      <w:r>
        <w:rPr>
          <w:rStyle w:val="FootnoteAnchor"/>
          <w:rtl w:val="true"/>
        </w:rPr>
        <w:footnoteReference w:id="1046"/>
      </w:r>
      <w:r>
        <w:rPr>
          <w:rFonts w:ascii="Amiri" w:hAnsi="Amiri" w:eastAsia="Amiri" w:cs="Amiri"/>
          <w:color w:val="111111"/>
          <w:sz w:val="28"/>
          <w:sz w:val="28"/>
          <w:szCs w:val="28"/>
          <w:rtl w:val="true"/>
          <w:lang w:bidi="ar-SA"/>
        </w:rPr>
        <w:t>و الإقرارِ برُبوبيّتِه مَخذولاً</w:t>
      </w:r>
      <w:r>
        <w:rPr>
          <w:rStyle w:val="FootnoteAnchor"/>
          <w:rtl w:val="true"/>
        </w:rPr>
        <w:footnoteReference w:id="1047"/>
      </w:r>
      <w:r>
        <w:rPr>
          <w:rFonts w:ascii="Amiri" w:hAnsi="Amiri" w:eastAsia="Amiri" w:cs="Amiri"/>
          <w:color w:val="111111"/>
          <w:sz w:val="28"/>
          <w:sz w:val="28"/>
          <w:szCs w:val="28"/>
          <w:rtl w:val="true"/>
          <w:lang w:bidi="ar-SA"/>
        </w:rPr>
        <w:t>غيرَ مَنصورٍ</w:t>
      </w:r>
      <w:r>
        <w:rPr>
          <w:rStyle w:val="FootnoteAnchor"/>
          <w:rtl w:val="true"/>
        </w:rPr>
        <w:footnoteReference w:id="1048"/>
      </w:r>
      <w:r>
        <w:rPr>
          <w:rFonts w:ascii="Amiri" w:hAnsi="Amiri" w:eastAsia="Amiri" w:cs="Amiri"/>
          <w:color w:val="111111"/>
          <w:sz w:val="28"/>
          <w:sz w:val="28"/>
          <w:szCs w:val="28"/>
          <w:rtl w:val="true"/>
          <w:lang w:bidi="ar-SA"/>
        </w:rPr>
        <w:t>، و ذَليلاً غيرَ عَزيزٍ، و مَظلوماً مُستَضاماً، و مَقتولاً مُستَهاناً، عَلِمنا أنّه لا خالقَ لهم يَمنَعُ منهم، و لا مُحدِثَ يَدفَعُ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البَراهِمةُ فتَقولُ مِثلَ ذلكَ في الأَنبياءِ و الرُّسُلِ‌</w:t>
      </w:r>
      <w:r>
        <w:rPr>
          <w:rStyle w:val="FootnoteAnchor"/>
          <w:rtl w:val="true"/>
        </w:rPr>
        <w:footnoteReference w:id="1049"/>
      </w:r>
      <w:r>
        <w:rPr>
          <w:rFonts w:ascii="Amiri" w:hAnsi="Amiri" w:eastAsia="Amiri" w:cs="Amiri"/>
          <w:color w:val="111111"/>
          <w:sz w:val="28"/>
          <w:sz w:val="28"/>
          <w:szCs w:val="28"/>
          <w:rtl w:val="true"/>
          <w:lang w:bidi="ar-SA"/>
        </w:rPr>
        <w:t>، و ما نالَهم</w:t>
      </w:r>
      <w:r>
        <w:rPr>
          <w:rStyle w:val="FootnoteAnchor"/>
          <w:rtl w:val="true"/>
        </w:rPr>
        <w:footnoteReference w:id="1050"/>
      </w:r>
      <w:r>
        <w:rPr>
          <w:rFonts w:ascii="Amiri" w:hAnsi="Amiri" w:eastAsia="Amiri" w:cs="Amiri"/>
          <w:color w:val="111111"/>
          <w:sz w:val="28"/>
          <w:sz w:val="28"/>
          <w:szCs w:val="28"/>
          <w:rtl w:val="true"/>
          <w:lang w:bidi="ar-SA"/>
        </w:rPr>
        <w:t>مِن أمرِهم و حَلَّ‌</w:t>
      </w:r>
      <w:r>
        <w:rPr>
          <w:rStyle w:val="FootnoteAnchor"/>
          <w:rtl w:val="true"/>
        </w:rPr>
        <w:footnoteReference w:id="1051"/>
      </w:r>
      <w:r>
        <w:rPr>
          <w:rFonts w:ascii="Amiri" w:hAnsi="Amiri" w:eastAsia="Amiri" w:cs="Amiri"/>
          <w:color w:val="111111"/>
          <w:sz w:val="28"/>
          <w:sz w:val="28"/>
          <w:szCs w:val="28"/>
          <w:rtl w:val="true"/>
          <w:lang w:bidi="ar-SA"/>
        </w:rPr>
        <w:t>بِهم مِن أعدائهم؛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مُلحِداً أو بِرَهْميّاً، فلا يَسألُ عن الأئمّةِ و خُلَفاءِ الأنبياءِ و الرُّسُلِ دونَ الأنبياءِ‌</w:t>
      </w:r>
      <w:r>
        <w:rPr>
          <w:rStyle w:val="FootnoteAnchor"/>
          <w:rtl w:val="true"/>
        </w:rPr>
        <w:footnoteReference w:id="1052"/>
      </w:r>
      <w:r>
        <w:rPr>
          <w:rFonts w:ascii="Amiri" w:hAnsi="Amiri" w:eastAsia="Amiri" w:cs="Amiri"/>
          <w:color w:val="111111"/>
          <w:sz w:val="28"/>
          <w:sz w:val="28"/>
          <w:szCs w:val="28"/>
          <w:rtl w:val="true"/>
          <w:lang w:bidi="ar-SA"/>
        </w:rPr>
        <w:t>و الرُّسُلِ و سائرِ المؤمنينَ‌؛ لأنّ الكُلَّ عندَه فيما يَلحَقُهم و يَنزِلُ بِهم سَواءٌ‌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زَعَمَ هذا السائلُ أن يَكونَ مُلحِداً أو بِرَهْميّاً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يَسألُ الشيعةَ دونَ غيرِهم مِن المُقرِّينَ بالرُّبوبيّةِ المُثبِتينَ للنُّبوّةِ و الرِّسالةِ‌، و لا يَخُصُّ الأئمّةَ دونَ الأنبياءِ و الرُّسُلِ و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جوابُه</w:t>
      </w:r>
      <w:r>
        <w:rPr>
          <w:rStyle w:val="FootnoteAnchor"/>
          <w:rtl w:val="true"/>
        </w:rPr>
        <w:footnoteReference w:id="1053"/>
      </w:r>
      <w:r>
        <w:rPr>
          <w:rFonts w:ascii="Amiri" w:hAnsi="Amiri" w:eastAsia="Amiri" w:cs="Amiri"/>
          <w:color w:val="111111"/>
          <w:sz w:val="28"/>
          <w:sz w:val="28"/>
          <w:szCs w:val="28"/>
          <w:rtl w:val="true"/>
          <w:lang w:bidi="ar-SA"/>
        </w:rPr>
        <w:t>الشيعةَ‌، دونَ غيرِهم ممّن أقَرَّ بالرُّبوبيّةِ و أثبَتَ النُّبوّةَ و الرسالةَ‌؛ و لَم يَكُن لتخصيصِه السؤالَ عن</w:t>
      </w:r>
      <w:r>
        <w:rPr>
          <w:rStyle w:val="FootnoteAnchor"/>
          <w:rtl w:val="true"/>
        </w:rPr>
        <w:footnoteReference w:id="1054"/>
      </w:r>
      <w:r>
        <w:rPr>
          <w:rFonts w:ascii="Amiri" w:hAnsi="Amiri" w:eastAsia="Amiri" w:cs="Amiri"/>
          <w:color w:val="111111"/>
          <w:sz w:val="28"/>
          <w:sz w:val="28"/>
          <w:szCs w:val="28"/>
          <w:rtl w:val="true"/>
          <w:lang w:bidi="ar-SA"/>
        </w:rPr>
        <w:t>الأئمّةِ وجهٌ و لا 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تَبرَّأَ مِن المُلحِدةِ‌، و انتَفىٰ مِن البَراهِمةِ‌، و أقَرَّ بالرُّبوبيّةِ‌، و صَدَّقَ بالنُّبوّةِ و الرِّسالةِ‌،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عن أنبياءِ اللّٰهِ‌</w:t>
      </w:r>
      <w:r>
        <w:rPr>
          <w:rStyle w:val="FootnoteAnchor"/>
          <w:rtl w:val="true"/>
        </w:rPr>
        <w:footnoteReference w:id="1055"/>
      </w:r>
      <w:r>
        <w:rPr>
          <w:rFonts w:ascii="Amiri" w:hAnsi="Amiri" w:eastAsia="Amiri" w:cs="Amiri"/>
          <w:color w:val="111111"/>
          <w:sz w:val="28"/>
          <w:sz w:val="28"/>
          <w:szCs w:val="28"/>
          <w:rtl w:val="true"/>
          <w:lang w:bidi="ar-SA"/>
        </w:rPr>
        <w:t>و رُسُلِه و أتباعِهم مِن المؤمنينَ‌؛ لِمَ‌</w:t>
      </w:r>
      <w:r>
        <w:rPr>
          <w:rStyle w:val="FootnoteAnchor"/>
          <w:rtl w:val="true"/>
        </w:rPr>
        <w:footnoteReference w:id="1056"/>
      </w:r>
      <w:r>
        <w:rPr>
          <w:rFonts w:ascii="Amiri" w:hAnsi="Amiri" w:eastAsia="Amiri" w:cs="Amiri"/>
          <w:color w:val="111111"/>
          <w:sz w:val="28"/>
          <w:sz w:val="28"/>
          <w:szCs w:val="28"/>
          <w:rtl w:val="true"/>
          <w:lang w:bidi="ar-SA"/>
        </w:rPr>
        <w:t>مَكَّنَ اللّٰهُ تَعالىٰ مِن قَتلِهم و ظُلمِهم‌؟ و لِمَ‌</w:t>
      </w:r>
      <w:r>
        <w:rPr>
          <w:rStyle w:val="FootnoteAnchor"/>
          <w:rtl w:val="true"/>
        </w:rPr>
        <w:footnoteReference w:id="1057"/>
      </w:r>
      <w:r>
        <w:rPr>
          <w:rFonts w:ascii="Amiri" w:hAnsi="Amiri" w:eastAsia="Amiri" w:cs="Amiri"/>
          <w:color w:val="111111"/>
          <w:sz w:val="28"/>
          <w:sz w:val="28"/>
          <w:szCs w:val="28"/>
          <w:rtl w:val="true"/>
          <w:lang w:bidi="ar-SA"/>
        </w:rPr>
        <w:t>خَذَلَهم و لَم يَنصُرْهم حتّىٰ قُتِلوا و ظُلِموا؟</w:t>
      </w:r>
    </w:p>
    <w:p>
      <w:pPr>
        <w:pStyle w:val="BookText"/>
        <w:rPr/>
      </w:pPr>
      <w:r>
        <w:rPr>
          <w:rFonts w:ascii="Amiri" w:hAnsi="Amiri" w:eastAsia="Amiri" w:cs="Amiri"/>
          <w:color w:val="111111"/>
          <w:sz w:val="28"/>
          <w:sz w:val="28"/>
          <w:szCs w:val="28"/>
          <w:rtl w:val="true"/>
          <w:lang w:bidi="ar-SA"/>
        </w:rPr>
        <w:t xml:space="preserve">فإن أجابَ إلَى الإقرارِ بذلكَ و التصريحِ بأنّ اللّٰهَ تَعالىٰ مَكَّنَ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و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أنبيائه و رُسُلِه و أهاليهِم، و لَم يَنصُرْهم، بَل نَصَرَ أعداءَهم عليهم، فارَقَ بهذا الإقرارِ و التصريحِ ظاهرَ كتابِ اللّٰهِ تَعالىٰ‌؛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إجماعَ الأُمّةِ‌، بَل كُلَّ مَن أقَرَّ بالنُّبوّةِ‌؛ لأنّه لا أحَدَ مِن الأُمّةِ و ممّن أقَرَّ بالنُّبوّةِ‌</w:t>
      </w:r>
      <w:r>
        <w:rPr>
          <w:rStyle w:val="FootnoteAnchor"/>
          <w:rtl w:val="true"/>
        </w:rPr>
        <w:footnoteReference w:id="1059"/>
      </w:r>
      <w:r>
        <w:rPr>
          <w:rFonts w:ascii="Amiri" w:hAnsi="Amiri" w:eastAsia="Amiri" w:cs="Amiri"/>
          <w:color w:val="111111"/>
          <w:sz w:val="28"/>
          <w:sz w:val="28"/>
          <w:szCs w:val="28"/>
          <w:rtl w:val="true"/>
          <w:lang w:bidi="ar-SA"/>
        </w:rPr>
        <w:t>يُقدِمُ علَى القولِ بأنّ اللّٰهَ تَعالىٰ خَذَلَ أنبياءَه و نَصَرَ أعداءَه، بَل الكُلُّ قائلٌ بأنّ اللّٰهَ تَعالىٰ ناصرٌ لأنبيائه</w:t>
      </w:r>
      <w:r>
        <w:rPr>
          <w:rStyle w:val="FootnoteAnchor"/>
          <w:rtl w:val="true"/>
        </w:rPr>
        <w:footnoteReference w:id="1060"/>
      </w:r>
      <w:r>
        <w:rPr>
          <w:rFonts w:ascii="Amiri" w:hAnsi="Amiri" w:eastAsia="Amiri" w:cs="Amiri"/>
          <w:color w:val="111111"/>
          <w:sz w:val="28"/>
          <w:sz w:val="28"/>
          <w:szCs w:val="28"/>
          <w:rtl w:val="true"/>
          <w:lang w:bidi="ar-SA"/>
        </w:rPr>
        <w:t>و أوليائه و مانعٌ عنهم و خاذلٌ لعَدوِّهم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امتَنَعَ مِن</w:t>
      </w:r>
      <w:r>
        <w:rPr>
          <w:rStyle w:val="FootnoteAnchor"/>
          <w:rtl w:val="true"/>
        </w:rPr>
        <w:footnoteReference w:id="1061"/>
      </w:r>
      <w:r>
        <w:rPr>
          <w:rFonts w:ascii="Amiri" w:hAnsi="Amiri" w:eastAsia="Amiri" w:cs="Amiri"/>
          <w:color w:val="111111"/>
          <w:sz w:val="28"/>
          <w:sz w:val="28"/>
          <w:szCs w:val="28"/>
          <w:rtl w:val="true"/>
          <w:lang w:bidi="ar-SA"/>
        </w:rPr>
        <w:t>الإقرارِ بذلكَ و التصريحِ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مع قَتلِهم و الظُّلمِ لهم منصورونَ مؤيَّدونَ‌؛ قيلَ له</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قد ثَبَتَ بهذا الإقرارِ منكَ أنّ القتلَ و الظُّلمَ لا يوجِبُ القولَ بأنّ اللّٰهَ مَكَّنَ مِن قَتلِ أنبيائه، و أنّه خَذَلَ رُسُلَه و لَم يَنصُرْهم، و إن قَتَلَهم أعداؤهم و ظَلَموهم‌؟ </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سَوَّغتَ مِثلَ ذلكَ فيما جَرىٰ علَى الأئمّةِ عليهم السلامُ مِن القَتلِ و الظُّلمِ‌، و أنّه غيرُ مُنْبئٍ‌</w:t>
      </w:r>
      <w:r>
        <w:rPr>
          <w:rStyle w:val="FootnoteAnchor"/>
          <w:rtl w:val="true"/>
        </w:rPr>
        <w:footnoteReference w:id="1064"/>
      </w:r>
      <w:r>
        <w:rPr>
          <w:rFonts w:ascii="Amiri" w:hAnsi="Amiri" w:eastAsia="Amiri" w:cs="Amiri"/>
          <w:color w:val="111111"/>
          <w:sz w:val="28"/>
          <w:sz w:val="28"/>
          <w:szCs w:val="28"/>
          <w:rtl w:val="true"/>
          <w:lang w:bidi="ar-SA"/>
        </w:rPr>
        <w:t>عن التمكينِ منهم و الخِذلانِ لهم، و جَعَلتَ ما نالَهم مِن القَتلِ و الظُّلمِ مِن أعدائهم كالذي نالَ الأنبياءَ و الرُّسُلَ مِن أعدائهم، في أنّه غيرُ موجِبٍ للتمكينِ منهم و إسلامِهم</w:t>
      </w:r>
      <w:r>
        <w:rPr>
          <w:rStyle w:val="FootnoteAnchor"/>
          <w:rtl w:val="true"/>
        </w:rPr>
        <w:footnoteReference w:id="1065"/>
      </w:r>
      <w:r>
        <w:rPr>
          <w:rFonts w:ascii="Amiri" w:hAnsi="Amiri" w:eastAsia="Amiri" w:cs="Amiri"/>
          <w:color w:val="111111"/>
          <w:sz w:val="28"/>
          <w:sz w:val="28"/>
          <w:szCs w:val="28"/>
          <w:rtl w:val="true"/>
          <w:lang w:bidi="ar-SA"/>
        </w:rPr>
        <w:t>و الخِذلانِ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ذَكرتُموه مِن الأنبياءِ و الرُّسُلِ لمّا قُتِلوا و ظُلِموا</w:t>
      </w:r>
      <w:r>
        <w:rPr>
          <w:rStyle w:val="FootnoteAnchor"/>
          <w:rtl w:val="true"/>
        </w:rPr>
        <w:footnoteReference w:id="1066"/>
      </w:r>
      <w:r>
        <w:rPr>
          <w:rFonts w:ascii="Amiri" w:hAnsi="Amiri" w:eastAsia="Amiri" w:cs="Amiri"/>
          <w:color w:val="111111"/>
          <w:sz w:val="28"/>
          <w:sz w:val="28"/>
          <w:szCs w:val="28"/>
          <w:rtl w:val="true"/>
          <w:lang w:bidi="ar-SA"/>
        </w:rPr>
        <w:t>أهلَكَ اللّٰهُ قاتِليهم</w:t>
      </w:r>
      <w:r>
        <w:rPr>
          <w:rStyle w:val="FootnoteAnchor"/>
          <w:rtl w:val="true"/>
        </w:rPr>
        <w:footnoteReference w:id="1067"/>
      </w:r>
      <w:r>
        <w:rPr>
          <w:rFonts w:ascii="Amiri" w:hAnsi="Amiri" w:eastAsia="Amiri" w:cs="Amiri"/>
          <w:color w:val="111111"/>
          <w:sz w:val="28"/>
          <w:sz w:val="28"/>
          <w:szCs w:val="28"/>
          <w:rtl w:val="true"/>
          <w:lang w:bidi="ar-SA"/>
        </w:rPr>
        <w:t>و استأصَلَ ظالِميهم</w:t>
      </w:r>
      <w:r>
        <w:rPr>
          <w:rStyle w:val="FootnoteAnchor"/>
          <w:rtl w:val="true"/>
        </w:rPr>
        <w:footnoteReference w:id="1068"/>
      </w:r>
      <w:r>
        <w:rPr>
          <w:rFonts w:ascii="Amiri" w:hAnsi="Amiri" w:eastAsia="Amiri" w:cs="Amiri"/>
          <w:color w:val="111111"/>
          <w:sz w:val="28"/>
          <w:sz w:val="28"/>
          <w:szCs w:val="28"/>
          <w:rtl w:val="true"/>
          <w:lang w:bidi="ar-SA"/>
        </w:rPr>
        <w:t>، فعُلِمَ بذلكَ أنّه غيرُ ممكِّنٍ‌</w:t>
      </w:r>
      <w:r>
        <w:rPr>
          <w:rStyle w:val="FootnoteAnchor"/>
          <w:rtl w:val="true"/>
        </w:rPr>
        <w:footnoteReference w:id="1069"/>
      </w:r>
      <w:r>
        <w:rPr>
          <w:rFonts w:ascii="IRNazanin" w:hAnsi="IRNazanin" w:eastAsia="IRNazanin"/>
          <w:color w:val="111111"/>
          <w:sz w:val="28"/>
          <w:sz w:val="28"/>
          <w:szCs w:val="28"/>
          <w:rtl w:val="true"/>
          <w:lang w:bidi="fa-IR"/>
        </w:rPr>
        <w:t>منهم</w:t>
      </w:r>
      <w:r>
        <w:rPr>
          <w:rStyle w:val="FootnoteAnchor"/>
          <w:rtl w:val="true"/>
        </w:rPr>
        <w:footnoteReference w:id="1070"/>
      </w:r>
      <w:r>
        <w:rPr>
          <w:rFonts w:ascii="IRNazanin" w:hAnsi="IRNazanin" w:eastAsia="IRNazanin"/>
          <w:color w:val="111111"/>
          <w:sz w:val="28"/>
          <w:sz w:val="28"/>
          <w:szCs w:val="28"/>
          <w:rtl w:val="true"/>
          <w:lang w:bidi="fa-IR"/>
        </w:rPr>
        <w:t>، و لا</w:t>
      </w:r>
      <w:r>
        <w:rPr>
          <w:rStyle w:val="FootnoteAnchor"/>
          <w:rtl w:val="true"/>
        </w:rPr>
        <w:footnoteReference w:id="1071"/>
      </w:r>
      <w:r>
        <w:rPr>
          <w:rFonts w:ascii="Amiri" w:hAnsi="Amiri" w:eastAsia="Amiri" w:cs="Amiri"/>
          <w:color w:val="111111"/>
          <w:sz w:val="28"/>
          <w:sz w:val="28"/>
          <w:szCs w:val="28"/>
          <w:rtl w:val="true"/>
          <w:lang w:bidi="ar-SA"/>
        </w:rPr>
        <w:t>خاذلٍ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يُسقِطُ ما ذَكرتَه أنّه تَعالىٰ لَم يُهلِكْ جميعَ مَن قَتَلَ الأنبياءَ‌، و لا استأصَلَ كُلَّ مَن ظَلَمَهم، بَل الذي أَهلَكَ منهم قَليلٌ مِن كَثيرٍ؛ لأنّه لَو آثَرَ ذلكَ لَكانَ مُلجِئاً، و لَبَطَلَ التكليفُ الذي أَوكَدُ شُروطِه التخييرُ و تَردُّدُ الدَّواعي المُنافي للإلجاءِ‌</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فإنّ الهَلاكَ و الِاستئصالَ لِمَن أهلَكَه و استأصَلَه</w:t>
      </w:r>
      <w:r>
        <w:rPr>
          <w:rStyle w:val="FootnoteAnchor"/>
          <w:rtl w:val="true"/>
        </w:rPr>
        <w:footnoteReference w:id="1072"/>
      </w:r>
      <w:r>
        <w:rPr>
          <w:rFonts w:ascii="Amiri" w:hAnsi="Amiri" w:eastAsia="Amiri" w:cs="Amiri"/>
          <w:color w:val="111111"/>
          <w:sz w:val="28"/>
          <w:sz w:val="28"/>
          <w:szCs w:val="28"/>
          <w:rtl w:val="true"/>
          <w:lang w:bidi="ar-SA"/>
        </w:rPr>
        <w:t xml:space="preserve">لَيسَ يَمنَعُ مَن قَتَلَ الأنبياءَ عن قَتلِهم،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حَيلولةٌ بَينَهم و بَينَ‌</w:t>
      </w:r>
      <w:r>
        <w:rPr>
          <w:rStyle w:val="FootnoteAnchor"/>
          <w:rtl w:val="true"/>
        </w:rPr>
        <w:footnoteReference w:id="1073"/>
      </w:r>
      <w:r>
        <w:rPr>
          <w:rFonts w:ascii="Amiri" w:hAnsi="Amiri" w:eastAsia="Amiri" w:cs="Amiri"/>
          <w:color w:val="111111"/>
          <w:sz w:val="28"/>
          <w:sz w:val="28"/>
          <w:szCs w:val="28"/>
          <w:rtl w:val="true"/>
          <w:lang w:bidi="ar-SA"/>
        </w:rPr>
        <w:t xml:space="preserve">ظُلمِهم؛ و كَيفَ يَكونُ الهَلاكُ‌ </w:t>
      </w:r>
    </w:p>
    <w:p>
      <w:pPr>
        <w:pStyle w:val="BookText"/>
        <w:rPr/>
      </w:pPr>
      <w:r>
        <w:rPr>
          <w:rFonts w:ascii="Amiri" w:hAnsi="Amiri" w:eastAsia="Amiri" w:cs="Amiri"/>
          <w:color w:val="111111"/>
          <w:sz w:val="28"/>
          <w:sz w:val="28"/>
          <w:szCs w:val="28"/>
          <w:rtl w:val="true"/>
          <w:lang w:bidi="ar-SA"/>
        </w:rPr>
        <w:t>المُتأخِّرُ عن القَتلِ و الظُّلمِ مَنعاً ممّا تَقدَّمَ وجودُه و حَيلولةً بَينَه و بَينَه، و المَنعُ و الحَيلولةُ مِن حَقِّهما أن يَستَحيلَ لِمَكانِهما وجودُ</w:t>
      </w:r>
      <w:r>
        <w:rPr>
          <w:rStyle w:val="FootnoteAnchor"/>
          <w:rtl w:val="true"/>
        </w:rPr>
        <w:footnoteReference w:id="1074"/>
      </w:r>
      <w:r>
        <w:rPr>
          <w:rFonts w:ascii="Amiri" w:hAnsi="Amiri" w:eastAsia="Amiri" w:cs="Amiri"/>
          <w:color w:val="111111"/>
          <w:sz w:val="28"/>
          <w:sz w:val="28"/>
          <w:szCs w:val="28"/>
          <w:rtl w:val="true"/>
          <w:lang w:bidi="ar-SA"/>
        </w:rPr>
        <w:t>ما هُما مانعٌ و حَيلولةٌ منه‌؟ و بهذا الحُكمِ يَنفَصِلُ ممّا لَيسَ بمَنعٍ و لا 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قُدِّمَ لِمَن عوجِلَ‌</w:t>
      </w:r>
      <w:r>
        <w:rPr>
          <w:rStyle w:val="FootnoteAnchor"/>
          <w:rtl w:val="true"/>
        </w:rPr>
        <w:footnoteReference w:id="1075"/>
      </w:r>
      <w:r>
        <w:rPr>
          <w:rFonts w:ascii="Amiri" w:hAnsi="Amiri" w:eastAsia="Amiri" w:cs="Amiri"/>
          <w:color w:val="111111"/>
          <w:sz w:val="28"/>
          <w:sz w:val="28"/>
          <w:szCs w:val="28"/>
          <w:rtl w:val="true"/>
          <w:lang w:bidi="ar-SA"/>
        </w:rPr>
        <w:t>بالهَلاكِ و الِاستئصالِ بعضُ ما يَستَحِقُّه مِن العِقابِ علىٰ وجهٍ تَقتَضيهِ‌</w:t>
      </w:r>
      <w:r>
        <w:rPr>
          <w:rStyle w:val="FootnoteAnchor"/>
          <w:rtl w:val="true"/>
        </w:rPr>
        <w:footnoteReference w:id="1076"/>
      </w:r>
      <w:r>
        <w:rPr>
          <w:rFonts w:ascii="Amiri" w:hAnsi="Amiri" w:eastAsia="Amiri" w:cs="Amiri"/>
          <w:color w:val="111111"/>
          <w:sz w:val="28"/>
          <w:sz w:val="28"/>
          <w:szCs w:val="28"/>
          <w:rtl w:val="true"/>
          <w:lang w:bidi="ar-SA"/>
        </w:rPr>
        <w:t>المَصلَحةُ‌، و لا يُنافي التكليفَ‌؛ فأمّا أن يَكونَ مَنعاً و حَيلولةً‌،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w:t>
      </w:r>
      <w:r>
        <w:rPr>
          <w:rStyle w:val="FootnoteAnchor"/>
          <w:rtl w:val="true"/>
        </w:rPr>
        <w:footnoteReference w:id="1077"/>
      </w:r>
      <w:r>
        <w:rPr>
          <w:rFonts w:ascii="Amiri" w:hAnsi="Amiri" w:eastAsia="Amiri" w:cs="Amiri"/>
          <w:color w:val="111111"/>
          <w:sz w:val="28"/>
          <w:sz w:val="28"/>
          <w:szCs w:val="28"/>
          <w:rtl w:val="true"/>
          <w:lang w:bidi="ar-SA"/>
        </w:rPr>
        <w:t>ذلكَ مَجرَى الحُدودِ؛ في</w:t>
      </w:r>
      <w:r>
        <w:rPr>
          <w:rStyle w:val="FootnoteAnchor"/>
          <w:rtl w:val="true"/>
        </w:rPr>
        <w:footnoteReference w:id="1078"/>
      </w:r>
      <w:r>
        <w:rPr>
          <w:rFonts w:ascii="Amiri" w:hAnsi="Amiri" w:eastAsia="Amiri" w:cs="Amiri"/>
          <w:color w:val="111111"/>
          <w:sz w:val="28"/>
          <w:sz w:val="28"/>
          <w:szCs w:val="28"/>
          <w:rtl w:val="true"/>
          <w:lang w:bidi="ar-SA"/>
        </w:rPr>
        <w:t>أنّها تقديمُ‌</w:t>
      </w:r>
      <w:r>
        <w:rPr>
          <w:rStyle w:val="FootnoteAnchor"/>
          <w:rtl w:val="true"/>
        </w:rPr>
        <w:footnoteReference w:id="1079"/>
      </w:r>
      <w:r>
        <w:rPr>
          <w:rFonts w:ascii="Amiri" w:hAnsi="Amiri" w:eastAsia="Amiri" w:cs="Amiri"/>
          <w:color w:val="111111"/>
          <w:sz w:val="28"/>
          <w:sz w:val="28"/>
          <w:szCs w:val="28"/>
          <w:rtl w:val="true"/>
          <w:lang w:bidi="ar-SA"/>
        </w:rPr>
        <w:t>بعضِ المُستَحَقِّ‌</w:t>
      </w:r>
      <w:r>
        <w:rPr>
          <w:rStyle w:val="FootnoteAnchor"/>
          <w:rtl w:val="true"/>
        </w:rPr>
        <w:footnoteReference w:id="1080"/>
      </w:r>
      <w:r>
        <w:rPr>
          <w:rFonts w:ascii="Amiri" w:hAnsi="Amiri" w:eastAsia="Amiri" w:cs="Amiri"/>
          <w:color w:val="111111"/>
          <w:sz w:val="28"/>
          <w:sz w:val="28"/>
          <w:szCs w:val="28"/>
          <w:rtl w:val="true"/>
          <w:lang w:bidi="ar-SA"/>
        </w:rPr>
        <w:t>للمَصلَحةِ و الرَّدعِ‌، الذي يَختَلِفُ بحَسَبِ المُكلَّفينَ و دَواعيهِم</w:t>
      </w:r>
      <w:r>
        <w:rPr>
          <w:rStyle w:val="FootnoteAnchor"/>
          <w:rtl w:val="true"/>
        </w:rPr>
        <w:footnoteReference w:id="1081"/>
      </w:r>
      <w:r>
        <w:rPr>
          <w:rFonts w:ascii="Amiri" w:hAnsi="Amiri" w:eastAsia="Amiri" w:cs="Amiri"/>
          <w:color w:val="111111"/>
          <w:sz w:val="28"/>
          <w:sz w:val="28"/>
          <w:szCs w:val="28"/>
          <w:rtl w:val="true"/>
          <w:lang w:bidi="ar-SA"/>
        </w:rPr>
        <w:t>و صَوارِفِهم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السائلَ يَجِبُ عليه أن يَكُفَّ عن إطلاقِ ما ألزَمناه فيمن عوجِلَ قاتلُه و ظالمُه مِن الأنبياءِ و الرُّسُلِ و المؤمنينَ‌، و يُصرِّحَ به</w:t>
      </w:r>
      <w:r>
        <w:rPr>
          <w:rStyle w:val="FootnoteAnchor"/>
          <w:rtl w:val="true"/>
        </w:rPr>
        <w:footnoteReference w:id="1082"/>
      </w:r>
      <w:r>
        <w:rPr>
          <w:rFonts w:ascii="Amiri" w:hAnsi="Amiri" w:eastAsia="Amiri" w:cs="Amiri"/>
          <w:color w:val="111111"/>
          <w:sz w:val="28"/>
          <w:sz w:val="28"/>
          <w:szCs w:val="28"/>
          <w:rtl w:val="true"/>
          <w:lang w:bidi="ar-SA"/>
        </w:rPr>
        <w:t>فيما لَم يُعاجَلْ قاتلُه و ظالمُه منهم؛ بأنّ اللّٰهَ تَعالىٰ لَم يَنصُرْه؛ بَل</w:t>
      </w:r>
      <w:r>
        <w:rPr>
          <w:rStyle w:val="FootnoteAnchor"/>
          <w:rtl w:val="true"/>
        </w:rPr>
        <w:footnoteReference w:id="1083"/>
      </w:r>
      <w:r>
        <w:rPr>
          <w:rFonts w:ascii="Amiri" w:hAnsi="Amiri" w:eastAsia="Amiri" w:cs="Amiri"/>
          <w:color w:val="111111"/>
          <w:sz w:val="28"/>
          <w:sz w:val="28"/>
          <w:szCs w:val="28"/>
          <w:rtl w:val="true"/>
          <w:lang w:bidi="ar-SA"/>
        </w:rPr>
        <w:t>خَذَلَه و أسلَمَه</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الكُلِّ و البعضِ في ذلك، و أنّ التصريحَ به خُروجٌ عن الإسلامِ‌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اللّٰهَ تَعالىٰ لَم يَستأصِلْ مَن ظَلَمَ خَيرَ أنبيائه و أشرَفَ رُسُلِه مُحمَّداً صَلَّى </w:t>
      </w:r>
    </w:p>
    <w:p>
      <w:pPr>
        <w:pStyle w:val="BookText"/>
        <w:rPr/>
      </w:pPr>
      <w:r>
        <w:rPr>
          <w:rFonts w:ascii="Amiri" w:hAnsi="Amiri" w:eastAsia="Amiri" w:cs="Amiri"/>
          <w:color w:val="111111"/>
          <w:sz w:val="28"/>
          <w:sz w:val="28"/>
          <w:szCs w:val="28"/>
          <w:rtl w:val="true"/>
          <w:lang w:bidi="ar-SA"/>
        </w:rPr>
        <w:t>اللّٰهُ عليه و آلِه، فيَجِبُ أن يَكونَ تَعالىٰ قد خَذَلَه و لَم يَنصُرْه، و أسلَمَه و لَم يَمنَعْ منه؛ و إطلاقُ ذلكَ مِن أقبَحِ الكُفرِ و أعظَمِ الفِريةِ علَى اللّٰهِ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سَألَ عنه غيرُ مُتوَجِّهٍ إلَى الشيعةِ‌، و لا</w:t>
      </w:r>
      <w:r>
        <w:rPr>
          <w:rStyle w:val="FootnoteAnchor"/>
          <w:rtl w:val="true"/>
        </w:rPr>
        <w:footnoteReference w:id="1085"/>
      </w:r>
      <w:r>
        <w:rPr>
          <w:rFonts w:ascii="Amiri" w:hAnsi="Amiri" w:eastAsia="Amiri" w:cs="Amiri"/>
          <w:color w:val="111111"/>
          <w:sz w:val="28"/>
          <w:sz w:val="28"/>
          <w:szCs w:val="28"/>
          <w:rtl w:val="true"/>
          <w:lang w:bidi="ar-SA"/>
        </w:rPr>
        <w:t>يَختَصُّ بأئمّتِهم</w:t>
      </w:r>
      <w:r>
        <w:rPr>
          <w:rStyle w:val="FootnoteAnchor"/>
          <w:rtl w:val="true"/>
        </w:rPr>
        <w:footnoteReference w:id="1086"/>
      </w:r>
      <w:r>
        <w:rPr>
          <w:rFonts w:ascii="Amiri" w:hAnsi="Amiri" w:eastAsia="Amiri" w:cs="Amiri"/>
          <w:color w:val="111111"/>
          <w:sz w:val="28"/>
          <w:sz w:val="28"/>
          <w:szCs w:val="28"/>
          <w:rtl w:val="true"/>
          <w:lang w:bidi="ar-SA"/>
        </w:rPr>
        <w:t>، بَل هو سؤالُ المُلحِدةِ و البَراهِمةِ لِكُلِّ مَن أقَرَّ بالرُّبوبيّةِ و صَدَّقَ بالنُّبوّةِ و الرِّسالةِ‌؛ و هذه عادةُ مَن خالَفَهم</w:t>
      </w:r>
      <w:r>
        <w:rPr>
          <w:rStyle w:val="FootnoteAnchor"/>
          <w:rtl w:val="true"/>
        </w:rPr>
        <w:footnoteReference w:id="1087"/>
      </w:r>
      <w:r>
        <w:rPr>
          <w:rFonts w:ascii="Amiri" w:hAnsi="Amiri" w:eastAsia="Amiri" w:cs="Amiri"/>
          <w:color w:val="111111"/>
          <w:sz w:val="28"/>
          <w:sz w:val="28"/>
          <w:szCs w:val="28"/>
          <w:rtl w:val="true"/>
          <w:lang w:bidi="ar-SA"/>
        </w:rPr>
        <w:t>في استعارةِ ما يَسألُ عنه المُلحِدةُ و مَن فارَقَ الإسلامَ و المِلّةَ‌، إذا أرادوا سؤالَهم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يُعاجِلْ بالعِقابِ مَن قَتَلَ أئمّتَكم و عِترةَ نَبيِّكم أو بعضَهم</w:t>
      </w:r>
      <w:r>
        <w:rPr>
          <w:rStyle w:val="FootnoteAnchor"/>
          <w:rtl w:val="true"/>
        </w:rPr>
        <w:footnoteReference w:id="1088"/>
      </w:r>
      <w:r>
        <w:rPr>
          <w:rFonts w:ascii="Amiri" w:hAnsi="Amiri" w:eastAsia="Amiri" w:cs="Amiri"/>
          <w:color w:val="111111"/>
          <w:sz w:val="28"/>
          <w:sz w:val="28"/>
          <w:szCs w:val="28"/>
          <w:rtl w:val="true"/>
          <w:lang w:bidi="ar-SA"/>
        </w:rPr>
        <w:t>، كما عاجَلَ مَن تَقدَّمَ؟</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سؤالٌ لا يَتوَجَّهُ إلَى الشيعةِ دونَ مَن خالَفَهم مِن فِرَقِ الأُمّةِ‌؛ لأنّ رسولَ اللّٰهِ صَلَّى اللّٰهُ عليه و آلِه قد ظُلِمَ بأنواعِ الظُّلمِ‌؛ مِن إخافةٍ‌، و سَبٍّ‌، و حَصرٍ، و قَتلِ أقارِبِه، و التنكيلِ بعَمِّه حَمزةَ عليه السلامُ بَعدَ القَتلِ‌، و ما لَحِقَه</w:t>
      </w:r>
      <w:r>
        <w:rPr>
          <w:rStyle w:val="FootnoteAnchor"/>
          <w:rtl w:val="true"/>
        </w:rPr>
        <w:footnoteReference w:id="1089"/>
      </w:r>
      <w:r>
        <w:rPr>
          <w:rFonts w:ascii="Amiri" w:hAnsi="Amiri" w:eastAsia="Amiri" w:cs="Amiri"/>
          <w:color w:val="111111"/>
          <w:sz w:val="28"/>
          <w:sz w:val="28"/>
          <w:szCs w:val="28"/>
          <w:rtl w:val="true"/>
          <w:lang w:bidi="ar-SA"/>
        </w:rPr>
        <w:t>في نفسِه مِن إدماءِ جَبينِه و كَسرِ رَباعِيَتِه، إلىٰ غيرِ ذلكَ مِن الأُمورِ التي جَرَت عليه و علىٰ أقارِبِه و أصحابِه؛ و لَم يُعاجَلْ أحَدٌ ممّن نالَ منه و</w:t>
      </w:r>
      <w:r>
        <w:rPr>
          <w:rStyle w:val="FootnoteAnchor"/>
          <w:rtl w:val="true"/>
        </w:rPr>
        <w:footnoteReference w:id="1090"/>
      </w:r>
      <w:r>
        <w:rPr>
          <w:rFonts w:ascii="Amiri" w:hAnsi="Amiri" w:eastAsia="Amiri" w:cs="Amiri"/>
          <w:color w:val="111111"/>
          <w:sz w:val="28"/>
          <w:sz w:val="28"/>
          <w:szCs w:val="28"/>
          <w:rtl w:val="true"/>
          <w:lang w:bidi="ar-SA"/>
        </w:rPr>
        <w:t>منهم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عوجِلَ عاقِرُ ناقةِ صالحٍ مع أنّ قَدرَها و قَدرَ كُلِّ حَيَوانٍ غيرِ مُكلَّفٍ لا يُوازِنُ عندَ اللّٰهِ قَدرَ أقَلِّ المؤمنينَ ثَواباً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جوابٍ أجابَ به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نالَ رسولَ اللّٰهِ صَلَّى اللّٰهُ عليه </w:t>
      </w:r>
    </w:p>
    <w:p>
      <w:pPr>
        <w:pStyle w:val="BookText"/>
        <w:rPr/>
      </w:pPr>
      <w:r>
        <w:rPr>
          <w:rFonts w:ascii="Amiri" w:hAnsi="Amiri" w:eastAsia="Amiri" w:cs="Amiri"/>
          <w:color w:val="111111"/>
          <w:sz w:val="28"/>
          <w:sz w:val="28"/>
          <w:szCs w:val="28"/>
          <w:rtl w:val="true"/>
          <w:lang w:bidi="ar-SA"/>
        </w:rPr>
        <w:t xml:space="preserve">و آلِه، و نالَ أقاربَه و أصحابَه، و لَم يُعاجَلْ مَن نالَ منه 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جوابُ الشيعةِ عن سؤالِ مَن يَسألُهم عن أئمّتِهم و عِترةِ نَبيِّهم</w:t>
      </w:r>
      <w:r>
        <w:rPr>
          <w:rStyle w:val="FootnoteAnchor"/>
          <w:rtl w:val="true"/>
        </w:rPr>
        <w:footnoteReference w:id="1091"/>
      </w:r>
      <w:r>
        <w:rPr>
          <w:rFonts w:ascii="Amiri" w:hAnsi="Amiri" w:eastAsia="Amiri" w:cs="Amiri"/>
          <w:color w:val="111111"/>
          <w:sz w:val="28"/>
          <w:sz w:val="28"/>
          <w:szCs w:val="28"/>
          <w:rtl w:val="true"/>
          <w:lang w:bidi="ar-SA"/>
        </w:rPr>
        <w:t>و ما نالَهم مِن القَتلِ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الجوابُ لِمَن يَسألُ عمّا نالَ رسولَ اللّٰهِ صلّى اللّٰهُ عليه و آلِه و أقارِبَه و أصحابَه، و ما نالَ خُلَفاءَه مِن بَعدِه و عِترتَه‌؟ و أينَ‌</w:t>
      </w:r>
      <w:r>
        <w:rPr>
          <w:rStyle w:val="FootnoteAnchor"/>
          <w:rtl w:val="true"/>
        </w:rPr>
        <w:footnoteReference w:id="1092"/>
      </w:r>
      <w:r>
        <w:rPr>
          <w:rFonts w:ascii="Amiri" w:hAnsi="Amiri" w:eastAsia="Amiri" w:cs="Amiri"/>
          <w:color w:val="111111"/>
          <w:sz w:val="28"/>
          <w:sz w:val="28"/>
          <w:szCs w:val="28"/>
          <w:rtl w:val="true"/>
          <w:lang w:bidi="ar-SA"/>
        </w:rPr>
        <w:t>المُعاجَلةُ بالعِقابِ؟</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ذلكَ أنّ اللّٰهَ تَعالىٰ خَصَّ نَبيَّنا بأُمورٍ شَرَّفَه بها و كَرَّمَه علىٰ سائرِ مَن تَقدَّمَ مِن الأنبياءِ و الرُّسُلِ‌؛ مِن جُملتِها أمانُ أُمّتِه إلىٰ قيامِ الساعةِ مِن المُعاجَلةِ بالهَلاكِ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معلومٌ مِن دعوتِه، كما يُعلَمُ‌</w:t>
      </w:r>
      <w:r>
        <w:rPr>
          <w:rStyle w:val="FootnoteAnchor"/>
          <w:rtl w:val="true"/>
        </w:rPr>
        <w:footnoteReference w:id="1093"/>
      </w:r>
      <w:r>
        <w:rPr>
          <w:rFonts w:ascii="Amiri" w:hAnsi="Amiri" w:eastAsia="Amiri" w:cs="Amiri"/>
          <w:color w:val="111111"/>
          <w:sz w:val="28"/>
          <w:sz w:val="28"/>
          <w:szCs w:val="28"/>
          <w:rtl w:val="true"/>
          <w:lang w:bidi="ar-SA"/>
        </w:rPr>
        <w:t>إكرامُه بِالشَّفاعةِ‌، و الحَوضِ‌، و المَقامِ المحمودِ، و اللِّواءِ‌، و أنّه أوّلُ مَن تَنشَقُّ عنه الأرضُ‌، و تأبيدِ</w:t>
      </w:r>
      <w:r>
        <w:rPr>
          <w:rStyle w:val="FootnoteAnchor"/>
          <w:rtl w:val="true"/>
        </w:rPr>
        <w:footnoteReference w:id="1094"/>
      </w:r>
      <w:r>
        <w:rPr>
          <w:rFonts w:ascii="Amiri" w:hAnsi="Amiri" w:eastAsia="Amiri" w:cs="Amiri"/>
          <w:color w:val="111111"/>
          <w:sz w:val="28"/>
          <w:sz w:val="28"/>
          <w:szCs w:val="28"/>
          <w:rtl w:val="true"/>
          <w:lang w:bidi="ar-SA"/>
        </w:rPr>
        <w:t>شَرعِه، و رَفعِ النُّبوّةِ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أُجيبَ ابنُ الراوَنديِّ‌</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راجع للمزيد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معاهد التنصيص،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الشافي،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المنتظم لابن الجوزي،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الأعلام للزركلي،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 مِن المُلحِدةِ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سَألوا</w:t>
      </w:r>
    </w:p>
    <w:p>
      <w:pPr>
        <w:pStyle w:val="BookText"/>
        <w:rPr/>
      </w:pP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مَنَعَنٰا أَنْ نُرْسِلَ بِالْآيٰاتِ إِلاّٰ أَنْ كَذَّبَ بِهَا اَلْأَوَّلُونَ‌</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 فالآياتُ هاهُنا الأعلامُ و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يُنبئُ عن المُناقَضةِ أو السَّهوِ؛ لأنّ تكذيبَ مَن تَقدَّمَ لا يَمنَعُ مِن قيامِ الحُجّةِ علينا و الإزاحةِ لِعِلَّتِنا</w:t>
      </w:r>
      <w:r>
        <w:rPr>
          <w:rStyle w:val="FootnoteAnchor"/>
          <w:rtl w:val="true"/>
        </w:rPr>
        <w:footnoteReference w:id="1097"/>
      </w:r>
      <w:r>
        <w:rPr>
          <w:rFonts w:ascii="Amiri" w:hAnsi="Amiri" w:eastAsia="Amiri" w:cs="Amiri"/>
          <w:color w:val="111111"/>
          <w:sz w:val="28"/>
          <w:sz w:val="28"/>
          <w:szCs w:val="28"/>
          <w:rtl w:val="true"/>
          <w:lang w:bidi="ar-SA"/>
        </w:rPr>
        <w:t>، فكَيفَ يُعلَّلُ المَنعُ‌</w:t>
      </w:r>
      <w:r>
        <w:rPr>
          <w:rStyle w:val="FootnoteAnchor"/>
          <w:rtl w:val="true"/>
        </w:rPr>
        <w:footnoteReference w:id="1098"/>
      </w:r>
      <w:r>
        <w:rPr>
          <w:rFonts w:ascii="Amiri" w:hAnsi="Amiri" w:eastAsia="Amiri" w:cs="Amiri"/>
          <w:color w:val="111111"/>
          <w:sz w:val="28"/>
          <w:sz w:val="28"/>
          <w:szCs w:val="28"/>
          <w:rtl w:val="true"/>
          <w:lang w:bidi="ar-SA"/>
        </w:rPr>
        <w:t>لنا ممّا</w:t>
      </w:r>
      <w:r>
        <w:rPr>
          <w:rStyle w:val="FootnoteAnchor"/>
          <w:rtl w:val="true"/>
        </w:rPr>
        <w:footnoteReference w:id="1099"/>
      </w:r>
      <w:r>
        <w:rPr>
          <w:rFonts w:ascii="Amiri" w:hAnsi="Amiri" w:eastAsia="Amiri" w:cs="Amiri"/>
          <w:color w:val="111111"/>
          <w:sz w:val="28"/>
          <w:sz w:val="28"/>
          <w:szCs w:val="28"/>
          <w:rtl w:val="true"/>
          <w:lang w:bidi="ar-SA"/>
        </w:rPr>
        <w:t>يُحَسِّنُ‌</w:t>
      </w:r>
      <w:r>
        <w:rPr>
          <w:rStyle w:val="FootnoteAnchor"/>
          <w:rtl w:val="true"/>
        </w:rPr>
        <w:footnoteReference w:id="1100"/>
      </w:r>
      <w:r>
        <w:rPr>
          <w:rFonts w:ascii="Amiri" w:hAnsi="Amiri" w:eastAsia="Amiri" w:cs="Amiri"/>
          <w:color w:val="111111"/>
          <w:sz w:val="28"/>
          <w:sz w:val="28"/>
          <w:szCs w:val="28"/>
          <w:rtl w:val="true"/>
          <w:lang w:bidi="ar-SA"/>
        </w:rPr>
        <w:t>تَكليفَنا</w:t>
      </w:r>
      <w:r>
        <w:rPr>
          <w:rStyle w:val="FootnoteAnchor"/>
          <w:rtl w:val="true"/>
        </w:rPr>
        <w:footnoteReference w:id="1101"/>
      </w:r>
      <w:r>
        <w:rPr>
          <w:rFonts w:ascii="Amiri" w:hAnsi="Amiri" w:eastAsia="Amiri" w:cs="Amiri"/>
          <w:color w:val="111111"/>
          <w:sz w:val="28"/>
          <w:sz w:val="28"/>
          <w:szCs w:val="28"/>
          <w:rtl w:val="true"/>
          <w:lang w:bidi="ar-SA"/>
        </w:rPr>
        <w:t>بأنّ غيرَنا كَذَّبَ و لَم يُصَدِّقْ‌، و خالَفَ و لَم يُجِبْ؟ هذا</w:t>
      </w:r>
      <w:r>
        <w:rPr>
          <w:rStyle w:val="FootnoteAnchor"/>
          <w:rtl w:val="true"/>
        </w:rPr>
        <w:footnoteReference w:id="1102"/>
      </w:r>
      <w:r>
        <w:rPr>
          <w:rFonts w:ascii="Amiri" w:hAnsi="Amiri" w:eastAsia="Amiri" w:cs="Amiri"/>
          <w:color w:val="111111"/>
          <w:sz w:val="28"/>
          <w:sz w:val="28"/>
          <w:szCs w:val="28"/>
          <w:rtl w:val="true"/>
          <w:lang w:bidi="ar-SA"/>
        </w:rPr>
        <w:t>بَعيدٌ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ادُّعيَ ظُهورُ الأعلامِ عليه و فِعلُ المُعجِزاتِ علىٰ يَدِه، كالقُرآنِ‌، و غيرِه مِن مَجيءِ الشجَرةِ‌، و تسبيحِ الحَصىٰ‌، و حَنينِ الجِذعِ‌، و إطعامِ الخَلقِ الكَثيرِ حتّىٰ شَبِعوا و سَقيِهم حتَّى ارتَوَوا مِن القَليلِ مِن الطَّعام و اليَسيرِ مِن الشَّرابِ‌؛ فلِمَ‌</w:t>
      </w:r>
      <w:r>
        <w:rPr>
          <w:rStyle w:val="FootnoteAnchor"/>
          <w:rtl w:val="true"/>
        </w:rPr>
        <w:footnoteReference w:id="1103"/>
      </w:r>
      <w:r>
        <w:rPr>
          <w:rFonts w:ascii="Amiri" w:hAnsi="Amiri" w:eastAsia="Amiri" w:cs="Amiri"/>
          <w:color w:val="111111"/>
          <w:sz w:val="28"/>
          <w:sz w:val="28"/>
          <w:szCs w:val="28"/>
          <w:rtl w:val="true"/>
          <w:lang w:bidi="ar-SA"/>
        </w:rPr>
        <w:t>لَم يَمنَعْ تكذيبُ الأوّلينَ إظهارَ ما ادَّعاه مِن الأعلامِ و المُعجِزاتِ؟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التي تَظهَرُ علىٰ أيدي الأنبياءِ و الرُّسُلِ تَنقَسِمُ‌</w:t>
      </w:r>
      <w:r>
        <w:rPr>
          <w:rStyle w:val="FootnoteAnchor"/>
          <w:rtl w:val="true"/>
        </w:rPr>
        <w:footnoteReference w:id="1104"/>
      </w:r>
      <w:r>
        <w:rPr>
          <w:rFonts w:ascii="Amiri" w:hAnsi="Amiri" w:eastAsia="Amiri" w:cs="Amiri"/>
          <w:color w:val="111111"/>
          <w:sz w:val="28"/>
          <w:sz w:val="28"/>
          <w:szCs w:val="28"/>
          <w:rtl w:val="true"/>
          <w:lang w:bidi="ar-SA"/>
        </w:rPr>
        <w:t>إلىٰ‌</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يُظهِرُه</w:t>
      </w:r>
      <w:r>
        <w:rPr>
          <w:rStyle w:val="FootnoteAnchor"/>
          <w:rtl w:val="true"/>
        </w:rPr>
        <w:footnoteReference w:id="1106"/>
      </w:r>
      <w:r>
        <w:rPr>
          <w:rFonts w:ascii="Amiri" w:hAnsi="Amiri" w:eastAsia="Amiri" w:cs="Amiri"/>
          <w:color w:val="111111"/>
          <w:sz w:val="28"/>
          <w:sz w:val="28"/>
          <w:szCs w:val="28"/>
          <w:rtl w:val="true"/>
          <w:lang w:bidi="ar-SA"/>
        </w:rPr>
        <w:t>اللّٰهُ تَعالىٰ للدَّلالةِ علىٰ صدقِهم حَسَبَ ما تَقتَضيهِ‌</w:t>
      </w:r>
      <w:r>
        <w:rPr>
          <w:rStyle w:val="FootnoteAnchor"/>
          <w:rtl w:val="true"/>
        </w:rPr>
        <w:footnoteReference w:id="1107"/>
      </w:r>
      <w:r>
        <w:rPr>
          <w:rFonts w:ascii="Amiri" w:hAnsi="Amiri" w:eastAsia="Amiri" w:cs="Amiri"/>
          <w:color w:val="111111"/>
          <w:sz w:val="28"/>
          <w:sz w:val="28"/>
          <w:szCs w:val="28"/>
          <w:rtl w:val="true"/>
          <w:lang w:bidi="ar-SA"/>
        </w:rPr>
        <w:t>الحِكمةُ و المَصلَحةُ و توجِبُه</w:t>
      </w:r>
      <w:r>
        <w:rPr>
          <w:rStyle w:val="FootnoteAnchor"/>
          <w:rtl w:val="true"/>
        </w:rPr>
        <w:footnoteReference w:id="1108"/>
      </w:r>
      <w:r>
        <w:rPr>
          <w:rFonts w:ascii="Amiri" w:hAnsi="Amiri" w:eastAsia="Amiri" w:cs="Amiri"/>
          <w:color w:val="111111"/>
          <w:sz w:val="28"/>
          <w:sz w:val="28"/>
          <w:szCs w:val="28"/>
          <w:rtl w:val="true"/>
          <w:lang w:bidi="ar-SA"/>
        </w:rPr>
        <w:t>إزاحةُ العِلّةِ‌، كسائرِ الأدلّةِ التي نَصَبَها للتمَكُّنِ‌</w:t>
      </w:r>
      <w:r>
        <w:rPr>
          <w:rStyle w:val="FootnoteAnchor"/>
          <w:rtl w:val="true"/>
        </w:rPr>
        <w:footnoteReference w:id="1109"/>
      </w:r>
      <w:r>
        <w:rPr>
          <w:rFonts w:ascii="Amiri" w:hAnsi="Amiri" w:eastAsia="Amiri" w:cs="Amiri"/>
          <w:color w:val="111111"/>
          <w:sz w:val="28"/>
          <w:sz w:val="28"/>
          <w:szCs w:val="28"/>
          <w:rtl w:val="true"/>
          <w:lang w:bidi="ar-SA"/>
        </w:rPr>
        <w:t>مِن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فالمُخالِفُ لها و العادلُ‌</w:t>
      </w:r>
      <w:r>
        <w:rPr>
          <w:rStyle w:val="FootnoteAnchor"/>
          <w:rtl w:val="true"/>
        </w:rPr>
        <w:footnoteReference w:id="1110"/>
      </w:r>
      <w:r>
        <w:rPr>
          <w:rFonts w:ascii="Amiri" w:hAnsi="Amiri" w:eastAsia="Amiri" w:cs="Amiri"/>
          <w:color w:val="111111"/>
          <w:sz w:val="28"/>
          <w:sz w:val="28"/>
          <w:szCs w:val="28"/>
          <w:rtl w:val="true"/>
          <w:lang w:bidi="ar-SA"/>
        </w:rPr>
        <w:t>عن النظَرِ و الِاستدلالِ بها مُتَواعَدٌ</w:t>
      </w:r>
      <w:r>
        <w:rPr>
          <w:rStyle w:val="FootnoteAnchor"/>
          <w:rtl w:val="true"/>
        </w:rPr>
        <w:footnoteReference w:id="1111"/>
      </w:r>
      <w:r>
        <w:rPr>
          <w:rFonts w:ascii="Amiri" w:hAnsi="Amiri" w:eastAsia="Amiri" w:cs="Amiri"/>
          <w:color w:val="111111"/>
          <w:sz w:val="28"/>
          <w:sz w:val="28"/>
          <w:szCs w:val="28"/>
          <w:rtl w:val="true"/>
          <w:lang w:bidi="ar-SA"/>
        </w:rPr>
        <w:t>بعِقابِ الآخِرةِ و عَذابِ يَومِ الجَزاءِ‌، علىٰ ما توجِبُه</w:t>
      </w:r>
      <w:r>
        <w:rPr>
          <w:rStyle w:val="FootnoteAnchor"/>
          <w:rtl w:val="true"/>
        </w:rPr>
        <w:footnoteReference w:id="1112"/>
      </w:r>
      <w:r>
        <w:rPr>
          <w:rFonts w:ascii="Amiri" w:hAnsi="Amiri" w:eastAsia="Amiri" w:cs="Amiri"/>
          <w:color w:val="111111"/>
          <w:sz w:val="28"/>
          <w:sz w:val="28"/>
          <w:szCs w:val="28"/>
          <w:rtl w:val="true"/>
          <w:lang w:bidi="ar-SA"/>
        </w:rPr>
        <w:t>شُروطُ</w:t>
      </w:r>
      <w:r>
        <w:rPr>
          <w:rStyle w:val="FootnoteAnchor"/>
          <w:rtl w:val="true"/>
        </w:rPr>
        <w:footnoteReference w:id="1113"/>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w:t>
      </w:r>
      <w:r>
        <w:rPr>
          <w:rStyle w:val="FootnoteAnchor"/>
          <w:rtl w:val="true"/>
        </w:rPr>
        <w:footnoteReference w:id="1114"/>
      </w:r>
      <w:r>
        <w:rPr>
          <w:rFonts w:ascii="Amiri" w:hAnsi="Amiri" w:eastAsia="Amiri" w:cs="Amiri"/>
          <w:color w:val="111111"/>
          <w:sz w:val="28"/>
          <w:sz w:val="28"/>
          <w:szCs w:val="28"/>
          <w:rtl w:val="true"/>
          <w:lang w:bidi="ar-SA"/>
        </w:rPr>
        <w:t>ما تَقتَرِحُه الأُمَمُ و تَعبَثُ في طَلَبِه</w:t>
      </w:r>
      <w:r>
        <w:rPr>
          <w:rStyle w:val="FootnoteAnchor"/>
          <w:rtl w:val="true"/>
        </w:rPr>
        <w:footnoteReference w:id="1115"/>
      </w:r>
      <w:r>
        <w:rPr>
          <w:rFonts w:ascii="Amiri" w:hAnsi="Amiri" w:eastAsia="Amiri" w:cs="Amiri"/>
          <w:color w:val="111111"/>
          <w:sz w:val="28"/>
          <w:sz w:val="28"/>
          <w:szCs w:val="28"/>
          <w:rtl w:val="true"/>
          <w:lang w:bidi="ar-SA"/>
        </w:rPr>
        <w:t>ممّن</w:t>
      </w:r>
      <w:r>
        <w:rPr>
          <w:rStyle w:val="FootnoteAnchor"/>
          <w:rtl w:val="true"/>
        </w:rPr>
        <w:footnoteReference w:id="1116"/>
      </w:r>
      <w:r>
        <w:rPr>
          <w:rFonts w:ascii="Amiri" w:hAnsi="Amiri" w:eastAsia="Amiri" w:cs="Amiri"/>
          <w:color w:val="111111"/>
          <w:sz w:val="28"/>
          <w:sz w:val="28"/>
          <w:szCs w:val="28"/>
          <w:rtl w:val="true"/>
          <w:lang w:bidi="ar-SA"/>
        </w:rPr>
        <w:t>بُعِثَ إليهم، بَعدَ إظهارِ ما تَقتَضيهِ‌</w:t>
      </w:r>
      <w:r>
        <w:rPr>
          <w:rStyle w:val="FootnoteAnchor"/>
          <w:rtl w:val="true"/>
        </w:rPr>
        <w:footnoteReference w:id="1117"/>
      </w:r>
      <w:r>
        <w:rPr>
          <w:rFonts w:ascii="Amiri" w:hAnsi="Amiri" w:eastAsia="Amiri" w:cs="Amiri"/>
          <w:color w:val="111111"/>
          <w:sz w:val="28"/>
          <w:sz w:val="28"/>
          <w:szCs w:val="28"/>
          <w:rtl w:val="true"/>
          <w:lang w:bidi="ar-SA"/>
        </w:rPr>
        <w:t>الحِكمةُ و توجِبُه المَصلَحةُ مِن إزاحةِ العِلّةِ‌؛ فحُكمُ اللّٰهِ‌</w:t>
      </w:r>
      <w:r>
        <w:rPr>
          <w:rStyle w:val="FootnoteAnchor"/>
          <w:rtl w:val="true"/>
        </w:rPr>
        <w:footnoteReference w:id="1118"/>
      </w:r>
      <w:r>
        <w:rPr>
          <w:rFonts w:ascii="Amiri" w:hAnsi="Amiri" w:eastAsia="Amiri" w:cs="Amiri"/>
          <w:color w:val="111111"/>
          <w:sz w:val="28"/>
          <w:sz w:val="28"/>
          <w:szCs w:val="28"/>
          <w:rtl w:val="true"/>
          <w:lang w:bidi="ar-SA"/>
        </w:rPr>
        <w:t>تَعالىٰ في التكذيبِ بها بَعدَ إظهارِها و العُدولِ عن تصديقِها المُعاجَلةُ ببَعضِ ما يُستَحَقُّ مِن</w:t>
      </w:r>
      <w:r>
        <w:rPr>
          <w:rStyle w:val="FootnoteAnchor"/>
          <w:rtl w:val="true"/>
        </w:rPr>
        <w:footnoteReference w:id="1119"/>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بالآياتِ المُقتَرَحةِ إلّاأن كَذَّبَ بها </w:t>
      </w:r>
    </w:p>
    <w:p>
      <w:pPr>
        <w:pStyle w:val="BookText"/>
        <w:rPr/>
      </w:pPr>
      <w:r>
        <w:rPr>
          <w:rFonts w:ascii="Amiri" w:hAnsi="Amiri" w:eastAsia="Amiri" w:cs="Amiri"/>
          <w:color w:val="111111"/>
          <w:sz w:val="28"/>
          <w:sz w:val="28"/>
          <w:szCs w:val="28"/>
          <w:rtl w:val="true"/>
          <w:lang w:bidi="ar-SA"/>
        </w:rPr>
        <w:t>الأوّلونَ‌، فاستأصَلناهم</w:t>
      </w:r>
      <w:r>
        <w:rPr>
          <w:rStyle w:val="FootnoteAnchor"/>
          <w:rtl w:val="true"/>
        </w:rPr>
        <w:footnoteReference w:id="1120"/>
      </w:r>
      <w:r>
        <w:rPr>
          <w:rFonts w:ascii="Amiri" w:hAnsi="Amiri" w:eastAsia="Amiri" w:cs="Amiri"/>
          <w:color w:val="111111"/>
          <w:sz w:val="28"/>
          <w:sz w:val="28"/>
          <w:szCs w:val="28"/>
          <w:rtl w:val="true"/>
          <w:lang w:bidi="ar-SA"/>
        </w:rPr>
        <w:t>بتعجيلِ بعضِ ما يَستَحِقّونَه مِن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وَعَدنا رسولَنا و شَرَّفناه</w:t>
      </w:r>
      <w:r>
        <w:rPr>
          <w:rStyle w:val="FootnoteAnchor"/>
          <w:rtl w:val="true"/>
        </w:rPr>
        <w:footnoteReference w:id="1121"/>
      </w:r>
      <w:r>
        <w:rPr>
          <w:rFonts w:ascii="Amiri" w:hAnsi="Amiri" w:eastAsia="Amiri" w:cs="Amiri"/>
          <w:color w:val="111111"/>
          <w:sz w:val="28"/>
          <w:sz w:val="28"/>
          <w:szCs w:val="28"/>
          <w:rtl w:val="true"/>
          <w:lang w:bidi="ar-SA"/>
        </w:rPr>
        <w:t>بأمورٍ؛ لا</w:t>
      </w:r>
      <w:r>
        <w:rPr>
          <w:rStyle w:val="FootnoteAnchor"/>
          <w:rtl w:val="true"/>
        </w:rPr>
        <w:footnoteReference w:id="1122"/>
      </w:r>
      <w:r>
        <w:rPr>
          <w:rFonts w:ascii="IRNazanin" w:hAnsi="IRNazanin" w:eastAsia="IRNazanin"/>
          <w:color w:val="111111"/>
          <w:sz w:val="28"/>
          <w:sz w:val="28"/>
          <w:szCs w:val="28"/>
          <w:rtl w:val="true"/>
          <w:lang w:bidi="fa-IR"/>
        </w:rPr>
        <w:t>منها أن</w:t>
      </w:r>
      <w:r>
        <w:rPr>
          <w:rStyle w:val="FootnoteAnchor"/>
          <w:rtl w:val="true"/>
        </w:rPr>
        <w:footnoteReference w:id="1123"/>
      </w:r>
      <w:r>
        <w:rPr>
          <w:rFonts w:ascii="Amiri" w:hAnsi="Amiri" w:eastAsia="Amiri" w:cs="Amiri"/>
          <w:color w:val="111111"/>
          <w:sz w:val="28"/>
          <w:sz w:val="28"/>
          <w:szCs w:val="28"/>
          <w:rtl w:val="true"/>
          <w:lang w:bidi="ar-SA"/>
        </w:rPr>
        <w:t>نَستأصِلَ‌</w:t>
      </w:r>
      <w:r>
        <w:rPr>
          <w:rStyle w:val="FootnoteAnchor"/>
          <w:rtl w:val="true"/>
        </w:rPr>
        <w:footnoteReference w:id="1124"/>
      </w:r>
      <w:r>
        <w:rPr>
          <w:rFonts w:ascii="Amiri" w:hAnsi="Amiri" w:eastAsia="Amiri" w:cs="Amiri"/>
          <w:color w:val="111111"/>
          <w:sz w:val="28"/>
          <w:sz w:val="28"/>
          <w:szCs w:val="28"/>
          <w:rtl w:val="true"/>
          <w:lang w:bidi="ar-SA"/>
        </w:rPr>
        <w:t>أُمّتَه، و لا نُعاجِلَها</w:t>
      </w:r>
      <w:r>
        <w:rPr>
          <w:rStyle w:val="FootnoteAnchor"/>
          <w:rtl w:val="true"/>
        </w:rPr>
        <w:footnoteReference w:id="1125"/>
      </w:r>
      <w:r>
        <w:rPr>
          <w:rFonts w:ascii="Amiri" w:hAnsi="Amiri" w:eastAsia="Amiri" w:cs="Amiri"/>
          <w:color w:val="111111"/>
          <w:sz w:val="28"/>
          <w:sz w:val="28"/>
          <w:szCs w:val="28"/>
          <w:rtl w:val="true"/>
          <w:lang w:bidi="ar-SA"/>
        </w:rPr>
        <w:t>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اللّٰهُ تَعالىٰ ما اقتُرِحَ علىٰ 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لَنْ نُؤْمِنَ لَكَ حَتّٰى 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 عِنَبٍ فَتُفَجِّرَ اَلْأَنْهٰارَ خِلاٰلَهٰا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 اَلْمَلاٰئِكَةِ قَبِيلاً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سُبْحٰانَ رَبِّي هَلْ كُنْتُ إِلاّٰ بَشَراً رَسُولاً</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بَيَّنتُم</w:t>
      </w:r>
      <w:r>
        <w:rPr>
          <w:rStyle w:val="FootnoteAnchor"/>
          <w:rtl w:val="true"/>
        </w:rPr>
        <w:footnoteReference w:id="1127"/>
      </w:r>
      <w:r>
        <w:rPr>
          <w:rFonts w:ascii="Amiri" w:hAnsi="Amiri" w:eastAsia="Amiri" w:cs="Amiri"/>
          <w:color w:val="111111"/>
          <w:sz w:val="28"/>
          <w:sz w:val="28"/>
          <w:szCs w:val="28"/>
          <w:rtl w:val="true"/>
          <w:lang w:bidi="ar-SA"/>
        </w:rPr>
        <w:t>الجوابَ لِمَن وافَقَكم في الإقرارِ بالصانعِ و التصديقِ بِالنُّبوّةِ‌</w:t>
      </w:r>
      <w:r>
        <w:rPr>
          <w:rStyle w:val="FootnoteAnchor"/>
          <w:rtl w:val="true"/>
        </w:rPr>
        <w:footnoteReference w:id="1128"/>
      </w:r>
      <w:r>
        <w:rPr>
          <w:rFonts w:ascii="Amiri" w:hAnsi="Amiri" w:eastAsia="Amiri" w:cs="Amiri"/>
          <w:color w:val="111111"/>
          <w:sz w:val="28"/>
          <w:sz w:val="28"/>
          <w:szCs w:val="28"/>
          <w:rtl w:val="true"/>
          <w:lang w:bidi="ar-SA"/>
        </w:rPr>
        <w:t>فما الجوابُ للمُلحِدةِ و البَراهِمةِ؟</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التمكينَ يُعتَبَرُ فيه قَصدُ المُمَكِّنِ و غرضُه، دونَ ما يَصلُحُ له ما مَكَّنَه</w:t>
      </w:r>
      <w:r>
        <w:rPr>
          <w:rStyle w:val="FootnoteAnchor"/>
          <w:rtl w:val="true"/>
        </w:rPr>
        <w:footnoteReference w:id="1129"/>
      </w:r>
      <w:r>
        <w:rPr>
          <w:rFonts w:ascii="Amiri" w:hAnsi="Amiri" w:eastAsia="Amiri" w:cs="Amiri"/>
          <w:color w:val="111111"/>
          <w:sz w:val="28"/>
          <w:sz w:val="28"/>
          <w:szCs w:val="28"/>
          <w:rtl w:val="true"/>
          <w:lang w:bidi="ar-SA"/>
        </w:rPr>
        <w:t>به مِن الأفعالِ‌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يُعتَبَرْ فيه ما ذَكرناه</w:t>
      </w:r>
      <w:r>
        <w:rPr>
          <w:rStyle w:val="FootnoteAnchor"/>
          <w:rtl w:val="true"/>
        </w:rPr>
        <w:footnoteReference w:id="1130"/>
      </w:r>
      <w:r>
        <w:rPr>
          <w:rFonts w:ascii="Amiri" w:hAnsi="Amiri" w:eastAsia="Amiri" w:cs="Amiri"/>
          <w:color w:val="111111"/>
          <w:sz w:val="28"/>
          <w:sz w:val="28"/>
          <w:szCs w:val="28"/>
          <w:rtl w:val="true"/>
          <w:lang w:bidi="ar-SA"/>
        </w:rPr>
        <w:t xml:space="preserve">لَم نَجِدْ في العالَمِ مُمَكِّناً مِن قَتلِ‌ </w:t>
      </w:r>
    </w:p>
    <w:p>
      <w:pPr>
        <w:pStyle w:val="BookText"/>
        <w:rPr/>
      </w:pPr>
      <w:r>
        <w:rPr>
          <w:rFonts w:ascii="Amiri" w:hAnsi="Amiri" w:eastAsia="Amiri" w:cs="Amiri"/>
          <w:color w:val="111111"/>
          <w:sz w:val="28"/>
          <w:sz w:val="28"/>
          <w:szCs w:val="28"/>
          <w:rtl w:val="true"/>
          <w:lang w:bidi="ar-SA"/>
        </w:rPr>
        <w:t>عَدوِّه دونَ نفسِه و وليِّه؛ لأنّه لا شَيءَ يُمَكِّنُ‌</w:t>
      </w:r>
      <w:r>
        <w:rPr>
          <w:rStyle w:val="FootnoteAnchor"/>
          <w:rtl w:val="true"/>
        </w:rPr>
        <w:footnoteReference w:id="1131"/>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سِلاحٍ و جُندٍ و سائِرِ ما</w:t>
      </w:r>
      <w:r>
        <w:rPr>
          <w:rStyle w:val="FootnoteAnchor"/>
          <w:rtl w:val="true"/>
        </w:rPr>
        <w:footnoteReference w:id="1132"/>
      </w:r>
      <w:r>
        <w:rPr>
          <w:rFonts w:ascii="Amiri" w:hAnsi="Amiri" w:eastAsia="Amiri" w:cs="Amiri"/>
          <w:color w:val="111111"/>
          <w:sz w:val="28"/>
          <w:sz w:val="28"/>
          <w:szCs w:val="28"/>
          <w:rtl w:val="true"/>
          <w:lang w:bidi="ar-SA"/>
        </w:rPr>
        <w:t xml:space="preserve">يَقوىٰ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 هو</w:t>
      </w:r>
      <w:r>
        <w:rPr>
          <w:rStyle w:val="FootnoteAnchor"/>
          <w:rtl w:val="true"/>
        </w:rPr>
        <w:footnoteReference w:id="1133"/>
      </w:r>
      <w:r>
        <w:rPr>
          <w:rFonts w:ascii="Amiri" w:hAnsi="Amiri" w:eastAsia="Amiri" w:cs="Amiri"/>
          <w:color w:val="111111"/>
          <w:sz w:val="28"/>
          <w:sz w:val="28"/>
          <w:szCs w:val="28"/>
          <w:rtl w:val="true"/>
          <w:lang w:bidi="ar-SA"/>
        </w:rPr>
        <w:t>يَصلُحُ لقَتلِه و قَتلِ وليِّه، كما يَصلُحُ لِقَتلِ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فيما يُمَكِّنُ‌</w:t>
      </w:r>
      <w:r>
        <w:rPr>
          <w:rStyle w:val="FootnoteAnchor"/>
          <w:rtl w:val="true"/>
        </w:rPr>
        <w:footnoteReference w:id="1134"/>
      </w:r>
      <w:r>
        <w:rPr>
          <w:rFonts w:ascii="Amiri" w:hAnsi="Amiri" w:eastAsia="Amiri" w:cs="Amiri"/>
          <w:color w:val="111111"/>
          <w:sz w:val="28"/>
          <w:sz w:val="28"/>
          <w:szCs w:val="28"/>
          <w:rtl w:val="true"/>
          <w:lang w:bidi="ar-SA"/>
        </w:rPr>
        <w:t>به مِن طاعتِه و امتثالِ أوامرِه مِن الأموالِ و الآلاتِ‌، في أنّه</w:t>
      </w:r>
      <w:r>
        <w:rPr>
          <w:rStyle w:val="FootnoteAnchor"/>
          <w:rtl w:val="true"/>
        </w:rPr>
        <w:footnoteReference w:id="1135"/>
      </w:r>
      <w:r>
        <w:rPr>
          <w:rFonts w:ascii="Amiri" w:hAnsi="Amiri" w:eastAsia="Amiri" w:cs="Amiri"/>
          <w:color w:val="111111"/>
          <w:sz w:val="28"/>
          <w:sz w:val="28"/>
          <w:szCs w:val="28"/>
          <w:rtl w:val="true"/>
          <w:lang w:bidi="ar-SA"/>
        </w:rPr>
        <w:t>يَصلُحُ لمَعصيتِه و ارتكابِ ما نَهىٰ عنه، كما يَصلُحُ لطاعتِه و امتثالِ أوامرِه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عِلمِنا بأنّ المُمَكِّنَ مِنّا قد يَكونُ مُمَكِّناً مِن عدوِّه دونَ نفسِه و وليِّه، و مِن</w:t>
      </w:r>
      <w:r>
        <w:rPr>
          <w:rStyle w:val="FootnoteAnchor"/>
          <w:rtl w:val="true"/>
        </w:rPr>
        <w:footnoteReference w:id="1137"/>
      </w:r>
      <w:r>
        <w:rPr>
          <w:rFonts w:ascii="Amiri" w:hAnsi="Amiri" w:eastAsia="Amiri" w:cs="Amiri"/>
          <w:color w:val="111111"/>
          <w:sz w:val="28"/>
          <w:sz w:val="28"/>
          <w:szCs w:val="28"/>
          <w:rtl w:val="true"/>
          <w:lang w:bidi="ar-SA"/>
        </w:rPr>
        <w:t>طاعتِه دونَ معصيتِه، و أنّ الجاحِدَ لذلكَ مُتَجاهِلٌ دافعٌ لِما يُعلَمُ بالِاضطرارِ، دَلالةٌ علىٰ وجوبِ اعتبارِ قَصدِ المُمَكِّنِ و غرضِه، دونَ ما يَصلُحُ له ما مَكَّنَ به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ثَبَتَ هذا وَجَبَ اعتبارُ حالِ المُمَكِّنِ‌؛ فإن كانَ قَصدُه</w:t>
      </w:r>
      <w:r>
        <w:rPr>
          <w:rStyle w:val="FootnoteAnchor"/>
          <w:rtl w:val="true"/>
        </w:rPr>
        <w:footnoteReference w:id="1138"/>
      </w:r>
      <w:r>
        <w:rPr>
          <w:rFonts w:ascii="Amiri" w:hAnsi="Amiri" w:eastAsia="Amiri" w:cs="Amiri"/>
          <w:color w:val="111111"/>
          <w:sz w:val="28"/>
          <w:sz w:val="28"/>
          <w:szCs w:val="28"/>
          <w:rtl w:val="true"/>
          <w:lang w:bidi="ar-SA"/>
        </w:rPr>
        <w:t>بما مَكَّنَ و غرضُه</w:t>
      </w:r>
      <w:r>
        <w:rPr>
          <w:rStyle w:val="FootnoteAnchor"/>
          <w:rtl w:val="true"/>
        </w:rPr>
        <w:footnoteReference w:id="1139"/>
      </w:r>
      <w:r>
        <w:rPr>
          <w:rFonts w:ascii="Amiri" w:hAnsi="Amiri" w:eastAsia="Amiri" w:cs="Amiri"/>
          <w:color w:val="111111"/>
          <w:sz w:val="28"/>
          <w:sz w:val="28"/>
          <w:szCs w:val="28"/>
          <w:rtl w:val="true"/>
          <w:lang w:bidi="ar-SA"/>
        </w:rPr>
        <w:t>الحَسَنَ دونَ القبيحِ‌،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Style w:val="FootnoteAnchor"/>
          <w:rtl w:val="true"/>
        </w:rPr>
        <w:footnoteReference w:id="1140"/>
      </w:r>
      <w:r>
        <w:rPr>
          <w:rFonts w:ascii="Amiri" w:hAnsi="Amiri" w:eastAsia="Amiri" w:cs="Amiri"/>
          <w:color w:val="111111"/>
          <w:sz w:val="28"/>
          <w:sz w:val="28"/>
          <w:szCs w:val="28"/>
          <w:rtl w:val="true"/>
          <w:lang w:bidi="ar-SA"/>
        </w:rPr>
        <w:t>مَكَّنَ مِن الحَسَنِ دونَ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ما مَكَّنَ به يَصلُحُ لِلقَبيحِ‌</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كانَ قَصدُه بما مَكَّنَ و غرضُه القَبيحَ دونَ الحَسَنِ قيلَ‌</w:t>
      </w:r>
      <w:r>
        <w:rPr>
          <w:rStyle w:val="FootnoteAnchor"/>
          <w:rtl w:val="true"/>
        </w:rPr>
        <w:footnoteReference w:id="1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مَكَّنَ مِن القَبيحِ دونَ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r>
        <w:rPr>
          <w:rStyle w:val="FootnoteAnchor"/>
          <w:rtl w:val="true"/>
        </w:rPr>
        <w:footnoteReference w:id="1143"/>
      </w:r>
      <w:r>
        <w:rPr>
          <w:rFonts w:ascii="Amiri" w:hAnsi="Amiri" w:eastAsia="Amiri" w:cs="Amiri"/>
          <w:color w:val="111111"/>
          <w:sz w:val="28"/>
          <w:sz w:val="28"/>
          <w:szCs w:val="28"/>
          <w:rtl w:val="true"/>
          <w:lang w:bidi="ar-SA"/>
        </w:rPr>
        <w:t>ما مَكَّنَ به يَصلُحُ للحَسَنِ‌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متىٰ لَم يُعتَبَرْ هذا الاعتبارُ، خَرَجَ في المعنىٰ و الإطلاقِ عن</w:t>
      </w:r>
      <w:r>
        <w:rPr>
          <w:rStyle w:val="FootnoteAnchor"/>
          <w:rtl w:val="true"/>
        </w:rPr>
        <w:footnoteReference w:id="1144"/>
      </w:r>
      <w:r>
        <w:rPr>
          <w:rFonts w:ascii="Amiri" w:hAnsi="Amiri" w:eastAsia="Amiri" w:cs="Amiri"/>
          <w:color w:val="111111"/>
          <w:sz w:val="28"/>
          <w:sz w:val="28"/>
          <w:szCs w:val="28"/>
          <w:rtl w:val="true"/>
          <w:lang w:bidi="ar-SA"/>
        </w:rPr>
        <w:t>اللُّغةِ و العُرفِ و المعقولِ‌، و لَزِمَ أن لا يَكونَ في العالَمِ مَن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التمكينُ مِن الحَسَنِ دونَ القَبيحِ‌، و الطاعةِ دونَ المَعصيةِ‌، و النُّصرةِ دونَ الخِذلانِ‌؛ و في هذا ما قَدَّمناه مِن التجاهُلِ‌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وَجَبَ اعتبارُ القَصدِ و الغرضِ في التمكينِ‌، وَجَبَ الرُّجوعُ إلىٰ حالِ المُمَكِّنِ‌، دونَ الرُّجوعِ إلىٰ حالِ ما مَكَّنَ‌</w:t>
      </w:r>
      <w:r>
        <w:rPr>
          <w:rStyle w:val="FootnoteAnchor"/>
          <w:rtl w:val="true"/>
        </w:rPr>
        <w:footnoteReference w:id="1145"/>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عُلِمَ‌</w:t>
      </w:r>
      <w:r>
        <w:rPr>
          <w:rStyle w:val="FootnoteAnchor"/>
          <w:rtl w:val="true"/>
        </w:rPr>
        <w:footnoteReference w:id="1146"/>
      </w:r>
      <w:r>
        <w:rPr>
          <w:rFonts w:ascii="Amiri" w:hAnsi="Amiri" w:eastAsia="Amiri" w:cs="Amiri"/>
          <w:color w:val="111111"/>
          <w:sz w:val="28"/>
          <w:sz w:val="28"/>
          <w:szCs w:val="28"/>
          <w:rtl w:val="true"/>
          <w:lang w:bidi="ar-SA"/>
        </w:rPr>
        <w:t>قَصدُ المُمَكِّنِ و غرضُه ضَرورةً اتُّبِعَ الإطلاقُ و الوصفُ بالتمكينِ لِما عُلِمَ‌</w:t>
      </w:r>
      <w:r>
        <w:rPr>
          <w:rStyle w:val="FootnoteAnchor"/>
          <w:rtl w:val="true"/>
        </w:rPr>
        <w:footnoteReference w:id="1147"/>
      </w:r>
      <w:r>
        <w:rPr>
          <w:rFonts w:ascii="Amiri" w:hAnsi="Amiri" w:eastAsia="Amiri" w:cs="Amiri"/>
          <w:color w:val="111111"/>
          <w:sz w:val="28"/>
          <w:sz w:val="28"/>
          <w:szCs w:val="28"/>
          <w:rtl w:val="true"/>
          <w:lang w:bidi="ar-SA"/>
        </w:rPr>
        <w:t>مِن قَصدِه و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يُعلَمْ ضَرورةً استُدِلَّ بحالِ المُمَكِّنِ و بما</w:t>
      </w:r>
      <w:r>
        <w:rPr>
          <w:rStyle w:val="FootnoteAnchor"/>
          <w:rtl w:val="true"/>
        </w:rPr>
        <w:footnoteReference w:id="1148"/>
      </w:r>
      <w:r>
        <w:rPr>
          <w:rFonts w:ascii="Amiri" w:hAnsi="Amiri" w:eastAsia="Amiri" w:cs="Amiri"/>
          <w:color w:val="111111"/>
          <w:sz w:val="28"/>
          <w:sz w:val="28"/>
          <w:szCs w:val="28"/>
          <w:rtl w:val="true"/>
          <w:lang w:bidi="ar-SA"/>
        </w:rPr>
        <w:t>يَتبَعُ ما مَكَّنَ به، مِن أمرٍ، و نهيٍ‌، و ترغيبٍ‌، و دُعاءٍ‌، و حَثٍّ‌، و وعدٍ، و وعيدٍ</w:t>
      </w:r>
      <w:r>
        <w:rPr>
          <w:rStyle w:val="FootnoteAnchor"/>
          <w:rtl w:val="true"/>
        </w:rPr>
        <w:footnoteReference w:id="1149"/>
      </w:r>
      <w:r>
        <w:rPr>
          <w:rFonts w:ascii="Amiri" w:hAnsi="Amiri" w:eastAsia="Amiri" w:cs="Amiri"/>
          <w:color w:val="111111"/>
          <w:sz w:val="28"/>
          <w:sz w:val="28"/>
          <w:szCs w:val="28"/>
          <w:rtl w:val="true"/>
          <w:lang w:bidi="ar-SA"/>
        </w:rPr>
        <w:t>إلىٰ غيرِ ذلكَ ممّا يُنبئُ عن قَصدِه و يوضِحُ عن غرضِه، فَيُتَّبَعُ‌</w:t>
      </w:r>
      <w:r>
        <w:rPr>
          <w:rStyle w:val="FootnoteAnchor"/>
          <w:rtl w:val="true"/>
        </w:rPr>
        <w:footnoteReference w:id="1150"/>
      </w:r>
      <w:r>
        <w:rPr>
          <w:rFonts w:ascii="Amiri" w:hAnsi="Amiri" w:eastAsia="Amiri" w:cs="Amiri"/>
          <w:color w:val="111111"/>
          <w:sz w:val="28"/>
          <w:sz w:val="28"/>
          <w:szCs w:val="28"/>
          <w:rtl w:val="true"/>
          <w:lang w:bidi="ar-SA"/>
        </w:rPr>
        <w:t>الإطلاقُ و الوصفُ 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ثَبَتَ أنّ اللّٰهَ تَعالىٰ لا قَصْدَ له إلَى القَبيحِ‌، و لا</w:t>
      </w:r>
      <w:r>
        <w:rPr>
          <w:rStyle w:val="FootnoteAnchor"/>
          <w:rtl w:val="true"/>
        </w:rPr>
        <w:footnoteReference w:id="1151"/>
      </w:r>
      <w:r>
        <w:rPr>
          <w:rFonts w:ascii="Amiri" w:hAnsi="Amiri" w:eastAsia="Amiri" w:cs="Amiri"/>
          <w:color w:val="111111"/>
          <w:sz w:val="28"/>
          <w:sz w:val="28"/>
          <w:szCs w:val="28"/>
          <w:rtl w:val="true"/>
          <w:lang w:bidi="ar-SA"/>
        </w:rPr>
        <w:t>غرضَ له فيه؛ لأنّه عالِمٌ بقُبحِه و بغِناه</w:t>
      </w:r>
      <w:r>
        <w:rPr>
          <w:rStyle w:val="FootnoteAnchor"/>
          <w:rtl w:val="true"/>
        </w:rPr>
        <w:footnoteReference w:id="1152"/>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لِمُقارَنةِ الأمرِ و الترغيبِ و الدُّعاءِ و الحَثِّ و التزيينِ‌</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و الوَعدِ بالثوابِ للواجباتِ و المُحسَّناتِ‌، و مُقارَنةِ‌</w:t>
      </w:r>
      <w:r>
        <w:rPr>
          <w:rStyle w:val="FootnoteAnchor"/>
          <w:rtl w:val="true"/>
        </w:rPr>
        <w:footnoteReference w:id="1154"/>
      </w:r>
      <w:r>
        <w:rPr>
          <w:rFonts w:ascii="Amiri" w:hAnsi="Amiri" w:eastAsia="Amiri" w:cs="Amiri"/>
          <w:color w:val="111111"/>
          <w:sz w:val="28"/>
          <w:sz w:val="28"/>
          <w:szCs w:val="28"/>
          <w:rtl w:val="true"/>
          <w:lang w:bidi="ar-SA"/>
        </w:rPr>
        <w:t>النهيِ و التخويفِ و الزَّجرِ و الوَعيدِ للمُقبَّحاتِ‌، عُلِمَ أنّه مُمَكِّنٌ‌</w:t>
      </w:r>
      <w:r>
        <w:rPr>
          <w:rStyle w:val="FootnoteAnchor"/>
          <w:rtl w:val="true"/>
        </w:rPr>
        <w:footnoteReference w:id="1155"/>
      </w:r>
      <w:r>
        <w:rPr>
          <w:rFonts w:ascii="Amiri" w:hAnsi="Amiri" w:eastAsia="Amiri" w:cs="Amiri"/>
          <w:color w:val="111111"/>
          <w:sz w:val="28"/>
          <w:sz w:val="28"/>
          <w:szCs w:val="28"/>
          <w:rtl w:val="true"/>
          <w:lang w:bidi="ar-SA"/>
        </w:rPr>
        <w:t>مِن الطاعاتِ دونَ المَعاصي</w:t>
      </w:r>
      <w:r>
        <w:rPr>
          <w:rStyle w:val="FootnoteAnchor"/>
          <w:rtl w:val="true"/>
        </w:rPr>
        <w:footnoteReference w:id="1156"/>
      </w:r>
      <w:r>
        <w:rPr>
          <w:rFonts w:ascii="Amiri" w:hAnsi="Amiri" w:eastAsia="Amiri" w:cs="Amiri"/>
          <w:color w:val="111111"/>
          <w:sz w:val="28"/>
          <w:sz w:val="28"/>
          <w:szCs w:val="28"/>
          <w:rtl w:val="true"/>
          <w:lang w:bidi="ar-SA"/>
        </w:rPr>
        <w:t>، فَوَجَبَ‌</w:t>
      </w:r>
      <w:r>
        <w:rPr>
          <w:rStyle w:val="FootnoteAnchor"/>
          <w:rtl w:val="true"/>
        </w:rPr>
        <w:footnoteReference w:id="1157"/>
      </w:r>
      <w:r>
        <w:rPr>
          <w:rFonts w:ascii="Amiri" w:hAnsi="Amiri" w:eastAsia="Amiri" w:cs="Amiri"/>
          <w:color w:val="111111"/>
          <w:sz w:val="28"/>
          <w:sz w:val="28"/>
          <w:szCs w:val="28"/>
          <w:rtl w:val="true"/>
          <w:lang w:bidi="ar-SA"/>
        </w:rPr>
        <w:t>إطلاقُ 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مَكَّنَ تَعالىٰ بما يَصلُحُ للطاعةِ دونَ المَعصيةِ‌، و الإيمانِ دونَ الكُفرِ، و الحَسَنِ دونَ القَبيحِ‌</w:t>
      </w:r>
      <w:r>
        <w:rPr>
          <w:rStyle w:val="FootnoteAnchor"/>
          <w:rtl w:val="true"/>
        </w:rPr>
        <w:footnoteReference w:id="1159"/>
      </w:r>
      <w:r>
        <w:rPr>
          <w:rFonts w:ascii="IRNazanin" w:hAnsi="IRNazanin" w:eastAsia="IRNazanin"/>
          <w:color w:val="111111"/>
          <w:sz w:val="28"/>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Style w:val="FootnoteAnchor"/>
          <w:rtl w:val="true"/>
        </w:rPr>
        <w:footnoteReference w:id="1160"/>
      </w:r>
      <w:r>
        <w:rPr>
          <w:rFonts w:ascii="Amiri" w:hAnsi="Amiri" w:eastAsia="Amiri" w:cs="Amiri"/>
          <w:color w:val="111111"/>
          <w:sz w:val="28"/>
          <w:sz w:val="28"/>
          <w:szCs w:val="28"/>
          <w:rtl w:val="true"/>
          <w:lang w:bidi="ar-SA"/>
        </w:rPr>
        <w:t xml:space="preserve">مِن القولِ‌، و تَناقُضٌ في المَعنىٰ‌؛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يُمكَّنُ‌</w:t>
      </w:r>
      <w:r>
        <w:rPr>
          <w:rStyle w:val="FootnoteAnchor"/>
          <w:rtl w:val="true"/>
        </w:rPr>
        <w:footnoteReference w:id="1161"/>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لجميعِ ذلكَ‌، لنفسِه و عَدُوِّه</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لَو اختَصَّ بالشيءِ دونَ تَركِه و خِلافِه لَكانَ المُمَكَّنُ مطبوعاً، و لَو كانَ مطبوعاً لَم يَصِحَّ الوصفُ لفِعلِه بالحُسنِ و القُبحِ و الطاعةِ و المَعصيةِ و الإيمانِ و الكُفرِ، كما لا يَصِحُّ ذلكَ في إحراقِ النارِ و تبريدِ</w:t>
      </w:r>
      <w:r>
        <w:rPr>
          <w:rStyle w:val="FootnoteAnchor"/>
          <w:rtl w:val="true"/>
        </w:rPr>
        <w:footnoteReference w:id="1163"/>
      </w:r>
      <w:r>
        <w:rPr>
          <w:rFonts w:ascii="Amiri" w:hAnsi="Amiri" w:eastAsia="Amiri" w:cs="Amiri"/>
          <w:color w:val="111111"/>
          <w:sz w:val="28"/>
          <w:sz w:val="28"/>
          <w:szCs w:val="28"/>
          <w:rtl w:val="true"/>
          <w:lang w:bidi="ar-SA"/>
        </w:rPr>
        <w:t>الثلجِ و هُوِيِّ‌</w:t>
      </w:r>
      <w:r>
        <w:rPr>
          <w:rStyle w:val="FootnoteAnchor"/>
          <w:rtl w:val="true"/>
        </w:rPr>
        <w:footnoteReference w:id="1164"/>
      </w:r>
      <w:r>
        <w:rPr>
          <w:rFonts w:ascii="Amiri" w:hAnsi="Amiri" w:eastAsia="Amiri" w:cs="Amiri"/>
          <w:color w:val="111111"/>
          <w:sz w:val="28"/>
          <w:sz w:val="28"/>
          <w:szCs w:val="28"/>
          <w:rtl w:val="true"/>
          <w:lang w:bidi="ar-SA"/>
        </w:rPr>
        <w:t>الحَجَرِ و جَرَيانِ الماءِ‌؛ و لَبَطَلَ‌</w:t>
      </w:r>
      <w:r>
        <w:rPr>
          <w:rStyle w:val="FootnoteAnchor"/>
          <w:rtl w:val="true"/>
        </w:rPr>
        <w:footnoteReference w:id="1165"/>
      </w:r>
      <w:r>
        <w:rPr>
          <w:rFonts w:ascii="Amiri" w:hAnsi="Amiri" w:eastAsia="Amiri" w:cs="Amiri"/>
          <w:color w:val="111111"/>
          <w:sz w:val="28"/>
          <w:sz w:val="28"/>
          <w:szCs w:val="28"/>
          <w:rtl w:val="true"/>
          <w:lang w:bidi="ar-SA"/>
        </w:rPr>
        <w:t>التكليفُ و الأمرُ و النهيُ و المَدحُ و الذمُّ و الثوابُ و العِقابُ‌؛ لأنّ جميعَ هذه الأحكامِ تَثبُتُ‌</w:t>
      </w:r>
      <w:r>
        <w:rPr>
          <w:rStyle w:val="FootnoteAnchor"/>
          <w:rtl w:val="true"/>
        </w:rPr>
        <w:footnoteReference w:id="1166"/>
      </w:r>
      <w:r>
        <w:rPr>
          <w:rFonts w:ascii="Amiri" w:hAnsi="Amiri" w:eastAsia="Amiri" w:cs="Amiri"/>
          <w:color w:val="111111"/>
          <w:sz w:val="28"/>
          <w:sz w:val="28"/>
          <w:szCs w:val="28"/>
          <w:rtl w:val="true"/>
          <w:lang w:bidi="ar-SA"/>
        </w:rPr>
        <w:t>مع الإيثارِ و التخييرِ</w:t>
      </w:r>
      <w:r>
        <w:rPr>
          <w:rStyle w:val="FootnoteAnchor"/>
          <w:rtl w:val="true"/>
        </w:rPr>
        <w:footnoteReference w:id="116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تَرتَفِعُ مع الطَّبعِ و الخِلقةِ و زَوالِ المِحنةِ‌</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التمكينِ بالفِعلِ و تَركِه، و خِلافِه و ضِدِّه؛ لِيَصِحَّ الإيثارُ و التخييرُ</w:t>
      </w:r>
      <w:r>
        <w:rPr>
          <w:rStyle w:val="FootnoteAnchor"/>
          <w:rtl w:val="true"/>
        </w:rPr>
        <w:footnoteReference w:id="1169"/>
      </w:r>
      <w:r>
        <w:rPr>
          <w:rFonts w:ascii="Amiri" w:hAnsi="Amiri" w:eastAsia="Amiri" w:cs="Amiri"/>
          <w:color w:val="111111"/>
          <w:sz w:val="28"/>
          <w:sz w:val="28"/>
          <w:szCs w:val="28"/>
          <w:rtl w:val="true"/>
          <w:lang w:bidi="ar-SA"/>
        </w:rPr>
        <w:t>، و يُطابِقُ ما يَقتَضيهِ الحُكمُ‌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 حُسنِ التكليفِ‌، و تَوَجُّهِ المَدحِ و الثوابِ إلَى المُطيعِ‌، و استحقاقِه لهما، و تَوَجُّهِ الذمِّ و العِقابِ إلَى العاصي، و استحقاقِه لهما</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w:t>
      </w:r>
      <w:r>
        <w:rPr>
          <w:rStyle w:val="FootnoteAnchor"/>
          <w:rtl w:val="true"/>
        </w:rPr>
        <w:footnoteReference w:id="1171"/>
      </w:r>
      <w:r>
        <w:rPr>
          <w:rFonts w:ascii="Amiri" w:hAnsi="Amiri" w:eastAsia="Amiri" w:cs="Amiri"/>
          <w:color w:val="111111"/>
          <w:sz w:val="28"/>
          <w:sz w:val="28"/>
          <w:szCs w:val="28"/>
          <w:rtl w:val="true"/>
          <w:lang w:bidi="ar-SA"/>
        </w:rPr>
        <w:t xml:space="preserve">الجوابُ عن التمكينِ‌، و قد بانَ به أنّ اللّٰهَ تَعالىٰ لَم يُمكِّنْ مِن قتلِ أنبيائه و رُسُلِه و خُلَفائهم و المؤمنينَ مِن أُمَمِهم؛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و زَجَرَ عنه، و تَواعَدَ عليه بأليمِ العِقابِ‌، و أمَرَ</w:t>
      </w:r>
      <w:r>
        <w:rPr>
          <w:rStyle w:val="FootnoteAnchor"/>
          <w:rtl w:val="true"/>
        </w:rPr>
        <w:footnoteReference w:id="1172"/>
      </w:r>
      <w:r>
        <w:rPr>
          <w:rFonts w:ascii="Amiri" w:hAnsi="Amiri" w:eastAsia="Amiri" w:cs="Amiri"/>
          <w:color w:val="111111"/>
          <w:sz w:val="28"/>
          <w:sz w:val="28"/>
          <w:szCs w:val="28"/>
          <w:rtl w:val="true"/>
          <w:lang w:bidi="ar-SA"/>
        </w:rPr>
        <w:t>باتِّباعِهم و طاعتِهم و الانقيادِ</w:t>
      </w:r>
      <w:r>
        <w:rPr>
          <w:rStyle w:val="FootnoteAnchor"/>
          <w:rtl w:val="true"/>
        </w:rPr>
        <w:footnoteReference w:id="1173"/>
      </w:r>
      <w:r>
        <w:rPr>
          <w:rFonts w:ascii="Amiri" w:hAnsi="Amiri" w:eastAsia="Amiri" w:cs="Amiri"/>
          <w:color w:val="111111"/>
          <w:sz w:val="28"/>
          <w:sz w:val="28"/>
          <w:szCs w:val="28"/>
          <w:rtl w:val="true"/>
          <w:lang w:bidi="ar-SA"/>
        </w:rPr>
        <w:t>لهم و الذبِّ عنهم، و رَغَّبَ‌</w:t>
      </w:r>
      <w:r>
        <w:rPr>
          <w:rStyle w:val="FootnoteAnchor"/>
          <w:rtl w:val="true"/>
        </w:rPr>
        <w:footnoteReference w:id="1174"/>
      </w:r>
      <w:r>
        <w:rPr>
          <w:rFonts w:ascii="Amiri" w:hAnsi="Amiri" w:eastAsia="Amiri" w:cs="Amiri"/>
          <w:color w:val="111111"/>
          <w:sz w:val="28"/>
          <w:sz w:val="28"/>
          <w:szCs w:val="28"/>
          <w:rtl w:val="true"/>
          <w:lang w:bidi="ar-SA"/>
        </w:rPr>
        <w:t>فيه، و دَعا إليه، و وَعَدَ عليه بجَزيلِ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المَنعُ عنهم و النُّصرةُ لهم، فالمَنعُ و النُّصرةُ‌</w:t>
      </w:r>
      <w:r>
        <w:rPr>
          <w:rStyle w:val="FootnoteAnchor"/>
          <w:rtl w:val="true"/>
        </w:rPr>
        <w:footnoteReference w:id="1175"/>
      </w:r>
      <w:r>
        <w:rPr>
          <w:rFonts w:ascii="Amiri" w:hAnsi="Amiri" w:eastAsia="Amiri" w:cs="Amiri"/>
          <w:color w:val="111111"/>
          <w:sz w:val="28"/>
          <w:sz w:val="28"/>
          <w:szCs w:val="28"/>
          <w:rtl w:val="true"/>
          <w:lang w:bidi="ar-SA"/>
        </w:rPr>
        <w:t>يَنقَسِمُ‌</w:t>
      </w:r>
      <w:r>
        <w:rPr>
          <w:rStyle w:val="FootnoteAnchor"/>
          <w:rtl w:val="true"/>
        </w:rPr>
        <w:footnoteReference w:id="117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مَنعٍ و نُصرةٍ يَزولُ معه</w:t>
      </w:r>
      <w:r>
        <w:rPr>
          <w:rStyle w:val="FootnoteAnchor"/>
          <w:rtl w:val="true"/>
        </w:rPr>
        <w:footnoteReference w:id="1177"/>
      </w:r>
      <w:r>
        <w:rPr>
          <w:rFonts w:ascii="Amiri" w:hAnsi="Amiri" w:eastAsia="Amiri" w:cs="Amiri"/>
          <w:color w:val="111111"/>
          <w:sz w:val="28"/>
          <w:sz w:val="28"/>
          <w:szCs w:val="28"/>
          <w:rtl w:val="true"/>
          <w:lang w:bidi="ar-SA"/>
        </w:rPr>
        <w:t>التكليفُ و الأمرُ و النهيُ و الترغيبُ و الزجرُ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أدّىٰ إلَى الإلجاءِ‌، و يُنافي التخييرَ</w:t>
      </w:r>
      <w:r>
        <w:rPr>
          <w:rStyle w:val="FootnoteAnchor"/>
          <w:rtl w:val="true"/>
        </w:rPr>
        <w:footnoteReference w:id="1178"/>
      </w:r>
      <w:r>
        <w:rPr>
          <w:rFonts w:ascii="Amiri" w:hAnsi="Amiri" w:eastAsia="Amiri" w:cs="Amiri"/>
          <w:color w:val="111111"/>
          <w:sz w:val="28"/>
          <w:sz w:val="28"/>
          <w:szCs w:val="28"/>
          <w:rtl w:val="true"/>
          <w:lang w:bidi="ar-SA"/>
        </w:rPr>
        <w:t>و 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bookmarkStart w:id="604" w:name="pg16425_221804"/>
    </w:p>
    <w:p>
      <w:pPr>
        <w:pStyle w:val="BookText"/>
        <w:rPr/>
      </w:pPr>
      <w:bookmarkEnd w:id="604"/>
      <w:r>
        <w:rPr>
          <w:rFonts w:ascii="Amiri" w:hAnsi="Amiri" w:eastAsia="Amiri" w:cs="Amiri"/>
          <w:color w:val="111111"/>
          <w:sz w:val="28"/>
          <w:sz w:val="28"/>
          <w:szCs w:val="28"/>
          <w:rtl w:val="true"/>
          <w:lang w:bidi="ar-SA"/>
        </w:rPr>
        <w:t>الضربُ مِن المَنعِ و النُّصرةِ لا يَجوزُ أن يَفعَلَه تَعالىٰ مع التكليفِ‌؛ لِمُنافاتِه للحِكمةِ‌</w:t>
      </w:r>
      <w:r>
        <w:rPr>
          <w:rStyle w:val="FootnoteAnchor"/>
          <w:rtl w:val="true"/>
        </w:rPr>
        <w:footnoteReference w:id="1179"/>
      </w:r>
      <w:r>
        <w:rPr>
          <w:rFonts w:ascii="Amiri" w:hAnsi="Amiri" w:eastAsia="Amiri" w:cs="Amiri"/>
          <w:color w:val="111111"/>
          <w:sz w:val="28"/>
          <w:sz w:val="28"/>
          <w:szCs w:val="28"/>
          <w:rtl w:val="true"/>
          <w:lang w:bidi="ar-SA"/>
        </w:rPr>
        <w:t>، و مُبايَنتِه لِما تَقتَضيهِ المَصلَحةُ و حُسنُ 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مَنعٍ و نُصرةٍ يُلائمُ التكليفَ و الأمرَ و النهيَ و الترغيبَ و الزجرَ و الثوابَ و العِقابَ‌، و يَثبُتُ معه التخييرُ</w:t>
      </w:r>
      <w:r>
        <w:rPr>
          <w:rStyle w:val="FootnoteAnchor"/>
          <w:rtl w:val="true"/>
        </w:rPr>
        <w:footnoteReference w:id="1180"/>
      </w:r>
      <w:r>
        <w:rPr>
          <w:rFonts w:ascii="Amiri" w:hAnsi="Amiri" w:eastAsia="Amiri" w:cs="Amiri"/>
          <w:color w:val="111111"/>
          <w:sz w:val="28"/>
          <w:sz w:val="28"/>
          <w:szCs w:val="28"/>
          <w:rtl w:val="true"/>
          <w:lang w:bidi="ar-SA"/>
        </w:rPr>
        <w:t>و الإيثارُ، و هو النُّصرةُ بإقامةِ الأدِلّةِ و نَصبِ البَراهينِ‌، و الأمرِ بنُصرتِهم و الجِهادِ دونَهم و الطاعةِ لهم و الذبِّ عنهم، و المَنعِ بالنهيِ عن مُخالَفتِهم و المُوالاةِ لأعدائهِم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قد فَعَلَ اللّٰهُ تَعالىٰ منه الغايةَ التي لا يَبلُغُها تَمَنٍّ‌</w:t>
      </w:r>
      <w:r>
        <w:rPr>
          <w:rStyle w:val="FootnoteAnchor"/>
          <w:rtl w:val="true"/>
        </w:rPr>
        <w:footnoteReference w:id="1181"/>
      </w:r>
      <w:r>
        <w:rPr>
          <w:rFonts w:ascii="Amiri" w:hAnsi="Amiri" w:eastAsia="Amiri" w:cs="Amiri"/>
          <w:color w:val="111111"/>
          <w:sz w:val="28"/>
          <w:sz w:val="28"/>
          <w:szCs w:val="28"/>
          <w:rtl w:val="true"/>
          <w:lang w:bidi="ar-SA"/>
        </w:rPr>
        <w:t>، و لا يُدرِكُها طَلَبٌ‌</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7830297_1280447820"/>
      <w:bookmarkStart w:id="606" w:name="_Toc197"/>
      <w:bookmarkEnd w:id="605"/>
      <w:r>
        <w:rPr>
          <w:rtl w:val="true"/>
        </w:rPr>
        <w:t>في بيان الوجه في دعاء الأئمّة علىٰ مَن ظلمهم</w:t>
      </w:r>
      <w:bookmarkEnd w:id="606"/>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مِن أئمّتِكم الدُّعاءُ علىٰ مَن ظَلَمَهم و غَصَبَهم</w:t>
      </w:r>
      <w:r>
        <w:rPr>
          <w:rStyle w:val="FootnoteAnchor"/>
          <w:rtl w:val="true"/>
        </w:rPr>
        <w:footnoteReference w:id="1182"/>
      </w:r>
      <w:r>
        <w:rPr>
          <w:rFonts w:ascii="Amiri" w:hAnsi="Amiri" w:eastAsia="Amiri" w:cs="Amiri"/>
          <w:color w:val="111111"/>
          <w:sz w:val="28"/>
          <w:sz w:val="28"/>
          <w:szCs w:val="28"/>
          <w:rtl w:val="true"/>
          <w:lang w:bidi="ar-SA"/>
        </w:rPr>
        <w:t>حَقَّهم و جَحَدَهم مَقامَهم، و نالَ منهم بالقَتلِ و الأَذىٰ‌؛ فلِمَ لَم</w:t>
      </w:r>
      <w:r>
        <w:rPr>
          <w:rStyle w:val="FootnoteAnchor"/>
          <w:rtl w:val="true"/>
        </w:rPr>
        <w:footnoteReference w:id="1183"/>
      </w:r>
      <w:r>
        <w:rPr>
          <w:rFonts w:ascii="Amiri" w:hAnsi="Amiri" w:eastAsia="Amiri" w:cs="Amiri"/>
          <w:color w:val="111111"/>
          <w:sz w:val="28"/>
          <w:sz w:val="28"/>
          <w:szCs w:val="28"/>
          <w:rtl w:val="true"/>
          <w:lang w:bidi="ar-SA"/>
        </w:rPr>
        <w:t>يَستَجِبِ اللّٰهُ‌</w:t>
      </w:r>
      <w:r>
        <w:rPr>
          <w:rStyle w:val="FootnoteAnchor"/>
          <w:rtl w:val="true"/>
        </w:rPr>
        <w:footnoteReference w:id="1184"/>
      </w:r>
      <w:r>
        <w:rPr>
          <w:rFonts w:ascii="Amiri" w:hAnsi="Amiri" w:eastAsia="Amiri" w:cs="Amiri"/>
          <w:color w:val="111111"/>
          <w:sz w:val="28"/>
          <w:sz w:val="28"/>
          <w:szCs w:val="28"/>
          <w:rtl w:val="true"/>
          <w:lang w:bidi="ar-SA"/>
        </w:rPr>
        <w:t>لهم و لَم يَسمَعْ دُعاءَهم، و في ذلكَ وَهنٌ لهم</w:t>
      </w:r>
      <w:r>
        <w:rPr>
          <w:rStyle w:val="FootnoteAnchor"/>
          <w:rtl w:val="true"/>
        </w:rPr>
        <w:footnoteReference w:id="1185"/>
      </w:r>
      <w:r>
        <w:rPr>
          <w:rFonts w:ascii="Amiri" w:hAnsi="Amiri" w:eastAsia="Amiri" w:cs="Amiri"/>
          <w:color w:val="111111"/>
          <w:sz w:val="28"/>
          <w:sz w:val="28"/>
          <w:szCs w:val="28"/>
          <w:rtl w:val="true"/>
          <w:lang w:bidi="ar-SA"/>
        </w:rPr>
        <w:t>، و حَطٌّ مِن قَدرِهم، و تنفيرٌ عنهم‌؟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ظَنَنتَ في دُعائهم؛ لأنّهم</w:t>
      </w:r>
      <w:r>
        <w:rPr>
          <w:rStyle w:val="FootnoteAnchor"/>
          <w:rtl w:val="true"/>
        </w:rPr>
        <w:footnoteReference w:id="1186"/>
      </w:r>
      <w:r>
        <w:rPr>
          <w:rFonts w:ascii="Amiri" w:hAnsi="Amiri" w:eastAsia="Amiri" w:cs="Amiri"/>
          <w:color w:val="111111"/>
          <w:sz w:val="28"/>
          <w:sz w:val="28"/>
          <w:szCs w:val="28"/>
          <w:rtl w:val="true"/>
          <w:lang w:bidi="ar-SA"/>
        </w:rPr>
        <w:t xml:space="preserve">عليهم السلامُ لَو اجتَهَدوا في الدُّعاءِ و الطلَبِ و سَألوا اللّٰهَ تَعالىٰ هَلاكَ الأرضِ و مَن عليها لَأُجيبوا، بَل كانوا عليهم السلامُ عارفينَ بالدُّنيا و صِغَرِ قَدرِها بالإضافةِ إلىٰ ما أعَدَّ اللّٰهُ لهم في </w:t>
      </w:r>
    </w:p>
    <w:p>
      <w:pPr>
        <w:pStyle w:val="BookText"/>
        <w:rPr/>
      </w:pPr>
      <w:r>
        <w:rPr>
          <w:rFonts w:ascii="Amiri" w:hAnsi="Amiri" w:eastAsia="Amiri" w:cs="Amiri"/>
          <w:color w:val="111111"/>
          <w:sz w:val="28"/>
          <w:sz w:val="28"/>
          <w:szCs w:val="28"/>
          <w:rtl w:val="true"/>
          <w:lang w:bidi="ar-SA"/>
        </w:rPr>
        <w:t>الآخِرةِ‌، فلَم يَكُن لها عندَهم مَحَلٌّ‌، و لا لِشَيءٍ‌</w:t>
      </w:r>
      <w:r>
        <w:rPr>
          <w:rStyle w:val="FootnoteAnchor"/>
          <w:rtl w:val="true"/>
        </w:rPr>
        <w:footnoteReference w:id="1187"/>
      </w:r>
      <w:r>
        <w:rPr>
          <w:rFonts w:ascii="Amiri" w:hAnsi="Amiri" w:eastAsia="Amiri" w:cs="Amiri"/>
          <w:color w:val="111111"/>
          <w:sz w:val="28"/>
          <w:sz w:val="28"/>
          <w:szCs w:val="28"/>
          <w:rtl w:val="true"/>
          <w:lang w:bidi="ar-SA"/>
        </w:rPr>
        <w:t>منها في أنفُسِهم</w:t>
      </w:r>
      <w:r>
        <w:rPr>
          <w:rStyle w:val="FootnoteAnchor"/>
          <w:rtl w:val="true"/>
        </w:rPr>
        <w:footnoteReference w:id="1188"/>
      </w: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يَكونونَ‌</w:t>
      </w:r>
      <w:r>
        <w:rPr>
          <w:rStyle w:val="FootnoteAnchor"/>
          <w:rtl w:val="true"/>
        </w:rPr>
        <w:footnoteReference w:id="1189"/>
      </w:r>
      <w:r>
        <w:rPr>
          <w:rFonts w:ascii="Amiri" w:hAnsi="Amiri" w:eastAsia="Amiri" w:cs="Amiri"/>
          <w:color w:val="111111"/>
          <w:sz w:val="28"/>
          <w:sz w:val="28"/>
          <w:szCs w:val="28"/>
          <w:rtl w:val="true"/>
          <w:lang w:bidi="ar-SA"/>
        </w:rPr>
        <w:t>كذلكَ؟ مع عِلمِهم باللّٰهِ جَّلَ اسمُه و ما أعَدَّ لأوليائه مِن الثوابِ و لأعدائه مِن العِقابِ‌، و أنّهم مِن أشرَفِ أوليائه الذينَ اجتَباهم و اصطَفاهم، و جَعَلَهم الواسطةَ بَينَه و بَينَ خَلقِه، و الأُمَناءَ عليهم، و الحُفَّاظَ لدينِهم؛ فهُم القُدوةُ‌، و إليهم المَفزَعُ مِن سائرِ البَشَرِ، و أنّ أعداءَهم أعداءُ اللّٰهِ الذينَ لَعَنَهم و غَضِبَ عليهم و أَعَدَّ لهم أَعظَمَ العِقابِ و 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فقُلوبُهم مَملُوَّةٌ بالمَعرفةِ لخالقِهم، و ما يُقرِّبُ إليه و يُزلِفُ لَدَيه؛ مِن الطاعةِ له، و الخَوفِ مِن مُخالَفتِه، و القيامِ بعِباداتِه؛ لَيسَ لِسِوىٰ‌</w:t>
      </w:r>
      <w:r>
        <w:rPr>
          <w:rStyle w:val="FootnoteAnchor"/>
          <w:rtl w:val="true"/>
        </w:rPr>
        <w:footnoteReference w:id="1190"/>
      </w:r>
      <w:r>
        <w:rPr>
          <w:rFonts w:ascii="Amiri" w:hAnsi="Amiri" w:eastAsia="Amiri" w:cs="Amiri"/>
          <w:color w:val="111111"/>
          <w:sz w:val="28"/>
          <w:sz w:val="28"/>
          <w:szCs w:val="28"/>
          <w:rtl w:val="true"/>
          <w:lang w:bidi="ar-SA"/>
        </w:rPr>
        <w:t>ذلكَ فيها مكانٌ‌، و لا لغَيرِ ما يُثمِرُ الفَوزَ و النجاةَ عليها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وَجَبَ الحُكمُ بعِصمتِهم و نَزاهتِهم و طَهارتِهم، حتّىٰ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اِخْتَرْنٰاهُمْ عَلىٰ عِلْمٍ عَلَى اَلْعٰالَمِينَ‌</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ثَبَتَ هذا مِن حالِهم، كانَ الدُّعاءُ منهم يَحتَمِلُ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أُمَمِهم و رَعاياهم كَيفَ يَدعونَ و يَسألونَ إذا نابَتهُم النوائبُ و نَزَلَت بِهم الشدائدُ، و لا يَقصِدونَ بذلكَ سِوىٰ تعليمِهم و البيانِ لهم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إلَى اللّٰهِ تَعالىٰ و الخُضوعُ له؛</w:t>
      </w:r>
      <w:r>
        <w:rPr>
          <w:rStyle w:val="FootnoteAnchor"/>
          <w:rtl w:val="true"/>
        </w:rPr>
        <w:footnoteReference w:id="1192"/>
      </w:r>
      <w:r>
        <w:rPr>
          <w:rFonts w:ascii="Amiri" w:hAnsi="Amiri" w:eastAsia="Amiri" w:cs="Amiri"/>
          <w:color w:val="111111"/>
          <w:sz w:val="28"/>
          <w:sz w:val="28"/>
          <w:szCs w:val="28"/>
          <w:rtl w:val="true"/>
          <w:lang w:bidi="ar-SA"/>
        </w:rPr>
        <w:t xml:space="preserve">كما يَنقَطِعُ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بالتوبةِ و الِاستغفارِ و يَخضَعُ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كالدُّعاءِ للّٰهِ تَعالىٰ بأن يَحكُمَ‌ </w:t>
      </w:r>
    </w:p>
    <w:p>
      <w:pPr>
        <w:pStyle w:val="BookText"/>
        <w:rPr/>
      </w:pPr>
      <w:r>
        <w:rPr>
          <w:rFonts w:ascii="Amiri" w:hAnsi="Amiri" w:eastAsia="Amiri" w:cs="Amiri"/>
          <w:color w:val="111111"/>
          <w:sz w:val="28"/>
          <w:sz w:val="28"/>
          <w:szCs w:val="28"/>
          <w:rtl w:val="true"/>
          <w:lang w:bidi="ar-SA"/>
        </w:rPr>
        <w:t>بالحَقِّ‌، و إن لَم يَكُن فِعلُه له</w:t>
      </w:r>
      <w:r>
        <w:rPr>
          <w:rStyle w:val="FootnoteAnchor"/>
          <w:rtl w:val="true"/>
        </w:rPr>
        <w:footnoteReference w:id="1193"/>
      </w:r>
      <w:r>
        <w:rPr>
          <w:rFonts w:ascii="Amiri" w:hAnsi="Amiri" w:eastAsia="Amiri" w:cs="Amiri"/>
          <w:color w:val="111111"/>
          <w:sz w:val="28"/>
          <w:sz w:val="28"/>
          <w:szCs w:val="28"/>
          <w:rtl w:val="true"/>
          <w:lang w:bidi="ar-SA"/>
        </w:rPr>
        <w:t>لِمَكانِ اليقينِ أنّه لا يَحكُمُ إلّابالحَقِّ و القَطعِ عليه، كما لا تَحسُنُ المَسألةُ له بأن يُطلِعَ الشمسَ و يُغرِبَها؛ لِمَكانِ العِلمِ بذلكَ و القَطعِ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لأتباعِهم و شيعتِهم إذا اقتَضَت الحِكمةُ المَسألةَ‌</w:t>
      </w:r>
      <w:r>
        <w:rPr>
          <w:rStyle w:val="FootnoteAnchor"/>
          <w:rtl w:val="true"/>
        </w:rPr>
        <w:footnoteReference w:id="1194"/>
      </w:r>
      <w:r>
        <w:rPr>
          <w:rFonts w:ascii="Amiri" w:hAnsi="Amiri" w:eastAsia="Amiri" w:cs="Amiri"/>
          <w:color w:val="111111"/>
          <w:sz w:val="28"/>
          <w:sz w:val="28"/>
          <w:szCs w:val="28"/>
          <w:rtl w:val="true"/>
          <w:lang w:bidi="ar-SA"/>
        </w:rPr>
        <w:t>لهم، و تَعلَّقَ كَونُ ما يُفعَلُ لهم</w:t>
      </w:r>
      <w:r>
        <w:rPr>
          <w:rStyle w:val="FootnoteAnchor"/>
          <w:rtl w:val="true"/>
        </w:rPr>
        <w:footnoteReference w:id="1195"/>
      </w:r>
      <w:r>
        <w:rPr>
          <w:rFonts w:ascii="Amiri" w:hAnsi="Amiri" w:eastAsia="Amiri" w:cs="Amiri"/>
          <w:color w:val="111111"/>
          <w:sz w:val="28"/>
          <w:sz w:val="28"/>
          <w:szCs w:val="28"/>
          <w:rtl w:val="true"/>
          <w:lang w:bidi="ar-SA"/>
        </w:rPr>
        <w:t>صَلاحاً إذا فُعِلَ لأجلِ المَسألةِ و الدُّعاءِ‌، و متىٰ لَم تَكُن المَسألةُ و الدُّعاءُ لَم يَكُن فِعلُه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وجهٌ صحيحٌ في الألطافِ و المَصالِحِ‌، و بذلكَ وَرَدَت الروايةُ عن النبيِّ صَلَّى اللّٰهُ عليه و آلِه في سَعةِ الرزقِ عندَ الدُّعاءِ‌، و طولِ العُمُرِ عندَ البِرِّ للوالدَينِ‌، و دَفعِ البَلاءِ عندَ الصدَقةِ‌، إلىٰ غيرِ ذلكَ ممّا تَكونُ المَصلَحةُ فيه مشروطةً بتقديمِ غيرِه عليه؛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بِالزكاةِ‌</w:t>
      </w:r>
      <w:r>
        <w:rPr>
          <w:rStyle w:val="FootnoteAnchor"/>
          <w:rtl w:val="true"/>
        </w:rPr>
        <w:footnoteReference w:id="1196"/>
      </w:r>
      <w:r>
        <w:rPr>
          <w:rFonts w:ascii="Amiri" w:hAnsi="Amiri" w:eastAsia="Amiri" w:cs="Amiri"/>
          <w:color w:val="111111"/>
          <w:sz w:val="28"/>
          <w:sz w:val="28"/>
          <w:szCs w:val="28"/>
          <w:rtl w:val="true"/>
          <w:lang w:bidi="ar-SA"/>
        </w:rPr>
        <w:t>، و داووا مَرضاكُم</w:t>
      </w:r>
      <w:r>
        <w:rPr>
          <w:rStyle w:val="FootnoteAnchor"/>
          <w:rtl w:val="true"/>
        </w:rPr>
        <w:footnoteReference w:id="1197"/>
      </w:r>
      <w:r>
        <w:rPr>
          <w:rFonts w:ascii="Amiri" w:hAnsi="Amiri" w:eastAsia="Amiri" w:cs="Amiri"/>
          <w:color w:val="111111"/>
          <w:sz w:val="28"/>
          <w:sz w:val="28"/>
          <w:szCs w:val="28"/>
          <w:rtl w:val="true"/>
          <w:lang w:bidi="ar-SA"/>
        </w:rPr>
        <w:t>بالصدَقةِ‌، و رُدّوا نائبةَ‌</w:t>
      </w:r>
      <w:r>
        <w:rPr>
          <w:rStyle w:val="FootnoteAnchor"/>
          <w:rtl w:val="true"/>
        </w:rPr>
        <w:footnoteReference w:id="1198"/>
      </w:r>
      <w:r>
        <w:rPr>
          <w:rFonts w:ascii="Amiri" w:hAnsi="Amiri" w:eastAsia="Amiri" w:cs="Amiri"/>
          <w:color w:val="111111"/>
          <w:sz w:val="28"/>
          <w:sz w:val="28"/>
          <w:szCs w:val="28"/>
          <w:rtl w:val="true"/>
          <w:lang w:bidi="ar-SA"/>
        </w:rPr>
        <w:t>البَلاءِ بالدُّعاءِ و الاستغفارِ</w:t>
      </w:r>
      <w:r>
        <w:rPr>
          <w:rStyle w:val="FootnoteAnchor"/>
          <w:rtl w:val="true"/>
        </w:rPr>
        <w:footnoteReference w:id="1199"/>
      </w:r>
      <w:r>
        <w:rPr>
          <w:rFonts w:ascii="Amiri" w:hAnsi="Amiri" w:eastAsia="Amiri" w:cs="Amiri"/>
          <w:color w:val="111111"/>
          <w:sz w:val="28"/>
          <w:sz w:val="28"/>
          <w:szCs w:val="28"/>
          <w:rtl w:val="true"/>
          <w:lang w:bidi="ar-SA"/>
        </w:rPr>
        <w:t>و التوبةِ‌</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فوَجَبَ‌</w:t>
      </w:r>
      <w:r>
        <w:rPr>
          <w:rStyle w:val="FootnoteAnchor"/>
          <w:rtl w:val="true"/>
        </w:rPr>
        <w:footnoteReference w:id="1201"/>
      </w:r>
      <w:r>
        <w:rPr>
          <w:rFonts w:ascii="Amiri" w:hAnsi="Amiri" w:eastAsia="Amiri" w:cs="Amiri"/>
          <w:color w:val="111111"/>
          <w:sz w:val="28"/>
          <w:sz w:val="28"/>
          <w:szCs w:val="28"/>
          <w:rtl w:val="true"/>
          <w:lang w:bidi="ar-SA"/>
        </w:rPr>
        <w:t>حَملُ ما ظَهَرَ منهم مِن الدُّعاءِ علىٰ هذه الوجوهِ‌، دونَ المَسألةِ لهم فيما يَتعلَّقُ بأُمورِ الدُّنيا و الطلَبِ لمَنافِعِها و دَفعِ مَضارِّها فيما يَرجِعُ إليهم</w:t>
      </w:r>
      <w:r>
        <w:rPr>
          <w:rStyle w:val="FootnoteAnchor"/>
          <w:rtl w:val="true"/>
        </w:rPr>
        <w:footnoteReference w:id="1202"/>
      </w:r>
      <w:r>
        <w:rPr>
          <w:rFonts w:ascii="Amiri" w:hAnsi="Amiri" w:eastAsia="Amiri" w:cs="Amiri"/>
          <w:color w:val="111111"/>
          <w:sz w:val="28"/>
          <w:sz w:val="28"/>
          <w:szCs w:val="28"/>
          <w:rtl w:val="true"/>
          <w:lang w:bidi="ar-SA"/>
        </w:rPr>
        <w:t>خاصّةً‌؛ إذ لا قَدرَ لها عندَهم، و لا وزنَ لها في نُفوسِهم، علىٰ ما بيّنّاه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يَتضمَّنْ دُعاؤهم المَسألةَ و الطلَبَ‌</w:t>
      </w:r>
      <w:r>
        <w:rPr>
          <w:rStyle w:val="FootnoteAnchor"/>
          <w:rtl w:val="true"/>
        </w:rPr>
        <w:footnoteReference w:id="1203"/>
      </w:r>
      <w:r>
        <w:rPr>
          <w:rFonts w:ascii="Amiri" w:hAnsi="Amiri" w:eastAsia="Amiri" w:cs="Amiri"/>
          <w:color w:val="111111"/>
          <w:sz w:val="28"/>
          <w:sz w:val="28"/>
          <w:szCs w:val="28"/>
          <w:rtl w:val="true"/>
          <w:lang w:bidi="ar-SA"/>
        </w:rPr>
        <w:t xml:space="preserve">، فما معنَى الوصفِ 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مُستَجابٌ‌</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 xml:space="preserve">، و لهم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مُستَجابو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أنّ مِن دُعائهم ما هو مَسألةٌ و طَلَبٌ لِما يَتعلَّقُ بمَصالِحِ أتباعِهم و تدبيرِ شيعتِهم، و إن لَم تَكُن مَسألةً و طَلَباً فيما يَرجِعُ إليهم، فلأجلِ دُعائهم فُعِلَ ما سَأَلوا، و أُوجِدَ ما طَلَبوا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يَتضمَّنُ دعاؤهم المَسألةَ و الطَلَبَ لثَوابِ الآخِرةِ و عُلُوِّ المَنازِلِ فيها، فالإجابةُ واقعةٌ بإعطاءِ ما سَأَلوا و تَوقُّعِ ما طَلَبوا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لَم يَكُن مِن دُعائهم مَسألةً و طَلَباً، فإنّ‌</w:t>
      </w:r>
      <w:r>
        <w:rPr>
          <w:rStyle w:val="FootnoteAnchor"/>
          <w:rtl w:val="true"/>
        </w:rPr>
        <w:footnoteReference w:id="1206"/>
      </w:r>
      <w:r>
        <w:rPr>
          <w:rFonts w:ascii="Amiri" w:hAnsi="Amiri" w:eastAsia="Amiri" w:cs="Amiri"/>
          <w:color w:val="111111"/>
          <w:sz w:val="28"/>
          <w:sz w:val="28"/>
          <w:szCs w:val="28"/>
          <w:rtl w:val="true"/>
          <w:lang w:bidi="ar-SA"/>
        </w:rPr>
        <w:t>الإجابةَ له الإثابةُ‌</w:t>
      </w:r>
      <w:r>
        <w:rPr>
          <w:rStyle w:val="FootnoteAnchor"/>
          <w:rtl w:val="true"/>
        </w:rPr>
        <w:footnoteReference w:id="1207"/>
      </w:r>
      <w:r>
        <w:rPr>
          <w:rFonts w:ascii="Amiri" w:hAnsi="Amiri" w:eastAsia="Amiri" w:cs="Amiri"/>
          <w:color w:val="111111"/>
          <w:sz w:val="28"/>
          <w:sz w:val="28"/>
          <w:szCs w:val="28"/>
          <w:rtl w:val="true"/>
          <w:lang w:bidi="ar-SA"/>
        </w:rPr>
        <w:t>عليه؛ لِمكانِ الِانقطاعِ و الخُضوعِ و التعليمِ و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مُثمِراً لغايةِ المَنافعِ و أجَلِّها كانَ مُستَجاباً؛ لأنّ معنَى الإجابةِ حصولُ النفعِ أو دفعُ‌</w:t>
      </w:r>
      <w:r>
        <w:rPr>
          <w:rStyle w:val="FootnoteAnchor"/>
          <w:rtl w:val="true"/>
        </w:rPr>
        <w:footnoteReference w:id="1208"/>
      </w:r>
      <w:r>
        <w:rPr>
          <w:rFonts w:ascii="Amiri" w:hAnsi="Amiri" w:eastAsia="Amiri" w:cs="Amiri"/>
          <w:color w:val="111111"/>
          <w:sz w:val="28"/>
          <w:sz w:val="28"/>
          <w:szCs w:val="28"/>
          <w:rtl w:val="true"/>
          <w:lang w:bidi="ar-SA"/>
        </w:rPr>
        <w:t>الضَررِ لأجلِ الدُّعاءِ‌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ثَبَتَ بهذه الوجوهِ الجوابُ عمّا تَضمَّنَه السؤالُ و الزياداتُ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607" w:name="pg16425_221808"/>
    </w:p>
    <w:p>
      <w:pPr>
        <w:pStyle w:val="Heading3"/>
        <w:numPr>
          <w:ilvl w:val="2"/>
          <w:numId w:val="1"/>
        </w:numPr>
        <w:rPr/>
      </w:pPr>
      <w:bookmarkStart w:id="608" w:name="__RefHeading___Toc7830299_1280447820"/>
      <w:bookmarkStart w:id="609" w:name="_Toc198"/>
      <w:bookmarkEnd w:id="607"/>
      <w:bookmarkEnd w:id="608"/>
      <w:r>
        <w:rPr>
          <w:rtl w:val="true"/>
        </w:rPr>
        <w:t>(</w:t>
      </w:r>
      <w:r>
        <w:rPr/>
        <w:t>61</w:t>
      </w:r>
      <w:r>
        <w:rPr>
          <w:rtl w:val="true"/>
        </w:rPr>
        <w:t xml:space="preserve">) </w:t>
      </w:r>
      <w:r>
        <w:rPr>
          <w:rtl w:val="true"/>
        </w:rPr>
        <w:t>مسألةٌ في الجوابِ عن الشُّبُهاتِ الواردةِ في خبرِ الغَديرِ</w:t>
      </w:r>
      <w:bookmarkEnd w:id="60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0" w:name="__RefHeading___Toc7830301_1280447820"/>
      <w:bookmarkStart w:id="611" w:name="_Toc199"/>
      <w:bookmarkEnd w:id="610"/>
      <w:r>
        <w:rPr>
          <w:rtl w:val="true"/>
        </w:rPr>
        <w:t>اشارة</w:t>
      </w:r>
      <w:bookmarkEnd w:id="61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16425_221810"/>
      <w:bookmarkStart w:id="613" w:name="pg16425_221810"/>
      <w:bookmarkEnd w:id="613"/>
    </w:p>
    <w:p>
      <w:pPr>
        <w:pStyle w:val="Heading4"/>
        <w:numPr>
          <w:ilvl w:val="3"/>
          <w:numId w:val="1"/>
        </w:numPr>
        <w:rPr/>
      </w:pPr>
      <w:bookmarkStart w:id="614" w:name="pg16425_221810"/>
      <w:bookmarkStart w:id="615" w:name="__RefHeading___Toc7830303_1280447820"/>
      <w:bookmarkStart w:id="616" w:name="_Toc200"/>
      <w:bookmarkEnd w:id="614"/>
      <w:bookmarkEnd w:id="615"/>
      <w:r>
        <w:rPr>
          <w:rtl w:val="true"/>
        </w:rPr>
        <w:t>مقدّمة التحقيق</w:t>
      </w:r>
      <w:bookmarkEnd w:id="616"/>
    </w:p>
    <w:p>
      <w:pPr>
        <w:pStyle w:val="Heading5"/>
        <w:numPr>
          <w:ilvl w:val="4"/>
          <w:numId w:val="1"/>
        </w:numPr>
        <w:rPr/>
      </w:pPr>
      <w:bookmarkStart w:id="617" w:name="__RefHeading___Toc7830305_1280447820"/>
      <w:bookmarkStart w:id="618" w:name="_Toc201"/>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هذه الرسالة هي في الحقيقة آخِر مسألة من مجموعة مسائل وُجّهت إلى الشريف المرتضى، فقد جاء في خاتمتها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 كافية في جواب هذه المسائل؛ فمن أراد التفريع و التطويل و التشعيب، فعليه بالكتاب الشافي و ما جرى مجراه من كتبنا في الإمامة و تصانيفنا و أمالينا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نعلم اسم هذه المجموعة من المسائل، و لا السائل الذي يظهر أنّه لم يكن شخصاً واحداً، بل عدّة أشخاص، كما يظهر من بداية المسألة،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سألوا أيضاً،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نعلم بالدقّة باقي مسائل هذه المجموعة، سوى أنّه يمكن احتمال أن تكون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مبايعة أمير المؤمنين عليه السلامُ أبا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إحدى 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منها؛ فإنّها تبدأ بنفس البداية،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سألوا أيضاً،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بحثها يدور حول الإمامة أيضاً</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 خاتمة الرسالة محلّ البحث و التي تقدّمت قبل سطور أنّ هذه المسائل كانت تدور حول الإمامة؛ فقد أحال الشريف المرتضى فيها إلى كتابه الشافي </w:t>
      </w:r>
      <w:bookmarkStart w:id="619" w:name="pg16425_221811"/>
    </w:p>
    <w:p>
      <w:pPr>
        <w:pStyle w:val="BookText"/>
        <w:rPr/>
      </w:pPr>
      <w:bookmarkEnd w:id="619"/>
      <w:r>
        <w:rPr>
          <w:rFonts w:ascii="Amiri" w:hAnsi="Amiri" w:eastAsia="Amiri" w:cs="Amiri"/>
          <w:color w:val="111111"/>
          <w:sz w:val="28"/>
          <w:sz w:val="28"/>
          <w:szCs w:val="28"/>
          <w:rtl w:val="true"/>
          <w:lang w:bidi="ar-SA"/>
        </w:rPr>
        <w:t>و ما جرىٰ مجراه من سائر كتبه، و الشافي كما هو معروف تدور أبحاثه حول الإمامة</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7830307_1280447820"/>
      <w:bookmarkStart w:id="621" w:name="_Toc202"/>
      <w:bookmarkEnd w:id="620"/>
      <w:r>
        <w:rPr>
          <w:rtl w:val="true"/>
        </w:rPr>
        <w:t>محتوى الرسالة و نسبتها إلى المؤلّف</w:t>
      </w:r>
      <w:bookmarkEnd w:id="621"/>
    </w:p>
    <w:p>
      <w:pPr>
        <w:pStyle w:val="BookText"/>
        <w:rPr/>
      </w:pPr>
      <w:r>
        <w:rPr>
          <w:rFonts w:ascii="Amiri" w:hAnsi="Amiri" w:eastAsia="Amiri" w:cs="Amiri"/>
          <w:color w:val="111111"/>
          <w:sz w:val="28"/>
          <w:sz w:val="28"/>
          <w:szCs w:val="28"/>
          <w:rtl w:val="true"/>
          <w:lang w:bidi="ar-SA"/>
        </w:rPr>
        <w:t xml:space="preserve">لقد قام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سؤاله أنّه من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 إشكال، و هو أنّه لو كان حديث الغدير دالاًّ على إمامة أمير المؤمنين عليه السلامُ حقّاً، فلماذا جاء النبيّ صلّى اللّٰهُ عليه و آلِه في هذا الحديث بألفاظٍ تحتمل أكثر من معنى، أمَا كان يستطيع أن يأتي بعبارة لا لبس فيها، خاصّةً و أنّه صلّى اللّٰهُ عليه و آلِه كان قد بيّن الشريعة كلّها بألفاظ واضحة، فلماذا لم يبيّن الإمامة بألفاظ واضحة أيضاً؟</w:t>
      </w:r>
    </w:p>
    <w:p>
      <w:pPr>
        <w:pStyle w:val="BookText"/>
        <w:rPr/>
      </w:pPr>
      <w:r>
        <w:rPr>
          <w:rFonts w:ascii="Amiri" w:hAnsi="Amiri" w:eastAsia="Amiri" w:cs="Amiri"/>
          <w:color w:val="111111"/>
          <w:sz w:val="28"/>
          <w:sz w:val="28"/>
          <w:szCs w:val="28"/>
          <w:rtl w:val="true"/>
          <w:lang w:bidi="ar-SA"/>
        </w:rPr>
        <w:t>و أجاب الشريف المرتضى بطريقته المعتادة التي تحتوي على شيء كبير من القوّة و عدم التردّد، حيث أعطى درساً للذين يريدون أن يدخلوا في مجال الجدل و الدفاع عن العقيدة بأن لا ينبهروا بألفاظ المناظرين لهم، فيفقدوا زمام المبادرة، و يخرج الأمر من أيديهم، بل يجب عليهم التركيز على الثوابت، و عدم الابتعاد عنها قيد أنملة، فقد 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تصوّره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النصّ على الإمامة، و لا لبس فيه أبداً، و هو لا يَحتمل معنى آخر، و لا يليق أن يُحمل على معنى غير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النبيّ صلّى اللّٰهُ عليه و آلِه قد عبّر بأيّ تعبير آخر أوضح من ذلك، لكان يمكن لمن يريد التشبيه و الإشكال أن يحمل كلامه على معنى آخر، فحتّى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من بعدي، و الخليفة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قصد بهذا الكلام أنّك تكون خليفة إذا اختارتك الأُمّة، أو ما شاكل ذلك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بيّن الشريف المرتضى دلالة حديث الغدير على الإمامة من خلال الاستدلال بمقدّمة الحديث التي يدلّ عليها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 فأخذ النبيّ صلّى اللّٰهُ عليه و آلِه في البداية إقرار الأُمّة بأنّه أُولى بهم من </w:t>
      </w:r>
      <w:bookmarkStart w:id="622" w:name="pg16425_221812"/>
    </w:p>
    <w:p>
      <w:pPr>
        <w:pStyle w:val="BookText"/>
        <w:rPr/>
      </w:pPr>
      <w:bookmarkEnd w:id="622"/>
      <w:r>
        <w:rPr>
          <w:rFonts w:ascii="Amiri" w:hAnsi="Amiri" w:eastAsia="Amiri" w:cs="Amiri"/>
          <w:color w:val="111111"/>
          <w:sz w:val="28"/>
          <w:sz w:val="28"/>
          <w:szCs w:val="28"/>
          <w:rtl w:val="true"/>
          <w:lang w:bidi="ar-SA"/>
        </w:rPr>
        <w:t>أنفسهم، و أقرّوا بذلك، و كان المقصود بتلك الأولويّة أنّه أحقّ بتدبير أُمورهم، و إدارة شؤونهم، و أنّ طاعته واجبة، فعندما قال بعد ذلك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 قطعاً على أنّ مراده من الولاية هنا نفس ما جاء في المقدّمة، و لا يمكن حملها على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طريقة معروفة لدى الأُدباء و العارفين باللغة مِن أنّه إذا عُطفت جملة تحتمل معنيين على جملة لا تحتمل إلّامعنى واحداً، أن يحملوها على معنى الجملة الأُولى دون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تجدر الإشارة إلىٰ أنّ الإرجاع في هذه الرسالة إلىٰ كتاب الشافي يمكن اعتباره قرينة مهمّة علىٰ تصحيح نسبتها إلى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كانت هذه الرسالة قد طبعت في ضمن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7830309_1280447820"/>
      <w:bookmarkStart w:id="624" w:name="_Toc203"/>
      <w:bookmarkEnd w:id="623"/>
      <w:r>
        <w:rPr>
          <w:rtl w:val="true"/>
        </w:rPr>
        <w:t>مخطوطات الرسالة</w:t>
      </w:r>
      <w:bookmarkEnd w:id="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16425_221814"/>
      <w:bookmarkStart w:id="626" w:name="pg16425_221814"/>
      <w:bookmarkEnd w:id="626"/>
    </w:p>
    <w:p>
      <w:pPr>
        <w:pStyle w:val="Heading4"/>
        <w:numPr>
          <w:ilvl w:val="3"/>
          <w:numId w:val="1"/>
        </w:numPr>
        <w:rPr/>
      </w:pPr>
      <w:bookmarkStart w:id="627" w:name="pg16425_221814"/>
      <w:bookmarkStart w:id="628" w:name="__RefHeading___Toc7830311_1280447820"/>
      <w:bookmarkStart w:id="629" w:name="_Toc204"/>
      <w:bookmarkEnd w:id="627"/>
      <w:bookmarkEnd w:id="628"/>
      <w:r>
        <w:rPr>
          <w:rtl w:val="true"/>
        </w:rPr>
        <w:t>مسألةٌ في الجوابِ عن الشُّبُهاتِ الواردةِ في خبرِ الغَديرِ</w:t>
      </w:r>
      <w:bookmarkEnd w:id="629"/>
    </w:p>
    <w:p>
      <w:pPr>
        <w:pStyle w:val="Heading5"/>
        <w:numPr>
          <w:ilvl w:val="4"/>
          <w:numId w:val="1"/>
        </w:numPr>
        <w:rPr/>
      </w:pPr>
      <w:bookmarkStart w:id="630" w:name="__RefHeading___Toc7830313_1280447820"/>
      <w:bookmarkStart w:id="631" w:name="_Toc205"/>
      <w:bookmarkEnd w:id="630"/>
      <w:r>
        <w:rPr>
          <w:rtl w:val="true"/>
        </w:rPr>
        <w:t>اشارة</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و سَألوا أيضاً،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تَحتَجّونَ بالنصِّ مِن النبيِّ صَلَّى اللّٰهُ عليه و آلِه</w:t>
      </w:r>
      <w:r>
        <w:rPr>
          <w:rStyle w:val="FootnoteAnchor"/>
          <w:rtl w:val="true"/>
        </w:rPr>
        <w:footnoteReference w:id="1212"/>
      </w:r>
      <w:r>
        <w:rPr>
          <w:rFonts w:ascii="Amiri" w:hAnsi="Amiri" w:eastAsia="Amiri" w:cs="Amiri"/>
          <w:color w:val="111111"/>
          <w:sz w:val="28"/>
          <w:sz w:val="28"/>
          <w:szCs w:val="28"/>
          <w:rtl w:val="true"/>
          <w:lang w:bidi="ar-SA"/>
        </w:rPr>
        <w:t>على صاحبِكم بما قالَ فيه يومَ الغَديرِ، و لَيسَ في ذلكَ أنّ عَليّاً بَعدي الإمامُ فيكم، و الخليفةُ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الردِّ عليكم بزَعمِكم فهو</w:t>
      </w:r>
      <w:r>
        <w:rPr>
          <w:rStyle w:val="FootnoteAnchor"/>
          <w:rtl w:val="true"/>
        </w:rPr>
        <w:footnoteReference w:id="1213"/>
      </w:r>
      <w:r>
        <w:rPr>
          <w:rFonts w:ascii="Amiri" w:hAnsi="Amiri" w:eastAsia="Amiri" w:cs="Amiri"/>
          <w:color w:val="111111"/>
          <w:sz w:val="28"/>
          <w:sz w:val="28"/>
          <w:szCs w:val="28"/>
          <w:rtl w:val="true"/>
          <w:lang w:bidi="ar-SA"/>
        </w:rPr>
        <w:t>حاجةُ‌</w:t>
      </w:r>
      <w:r>
        <w:rPr>
          <w:rStyle w:val="FootnoteAnchor"/>
          <w:rtl w:val="true"/>
        </w:rPr>
        <w:footnoteReference w:id="1214"/>
      </w:r>
      <w:r>
        <w:rPr>
          <w:rFonts w:ascii="Amiri" w:hAnsi="Amiri" w:eastAsia="Amiri" w:cs="Amiri"/>
          <w:color w:val="111111"/>
          <w:sz w:val="28"/>
          <w:sz w:val="28"/>
          <w:szCs w:val="28"/>
          <w:rtl w:val="true"/>
          <w:lang w:bidi="ar-SA"/>
        </w:rPr>
        <w:t>الكلامِ الواردِ مِن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المُفصِحِ المُبينِ عليه السلامُ إلىٰ تَكلُّفِكم</w:t>
      </w:r>
      <w:r>
        <w:rPr>
          <w:rStyle w:val="FootnoteAnchor"/>
          <w:rtl w:val="true"/>
        </w:rPr>
        <w:footnoteReference w:id="1215"/>
      </w:r>
      <w:r>
        <w:rPr>
          <w:rFonts w:ascii="Amiri" w:hAnsi="Amiri" w:eastAsia="Amiri" w:cs="Amiri"/>
          <w:color w:val="111111"/>
          <w:sz w:val="28"/>
          <w:sz w:val="28"/>
          <w:szCs w:val="28"/>
          <w:rtl w:val="true"/>
          <w:lang w:bidi="ar-SA"/>
        </w:rPr>
        <w:t>له و احتجاجِكم لِيَثبُتَ‌</w:t>
      </w:r>
      <w:r>
        <w:rPr>
          <w:rStyle w:val="FootnoteAnchor"/>
          <w:rtl w:val="true"/>
        </w:rPr>
        <w:footnoteReference w:id="1216"/>
      </w:r>
      <w:r>
        <w:rPr>
          <w:rFonts w:ascii="Amiri" w:hAnsi="Amiri" w:eastAsia="Amiri" w:cs="Amiri"/>
          <w:color w:val="111111"/>
          <w:sz w:val="28"/>
          <w:sz w:val="28"/>
          <w:szCs w:val="28"/>
          <w:rtl w:val="true"/>
          <w:lang w:bidi="ar-SA"/>
        </w:rPr>
        <w:t>معناه الذي تَدَّعونَه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أرادَ النبيُّ صَلَّى اللّٰهُ عليه و آلِه بذلكَ اللفظِ الموجِدِ للشُّبهةِ و المُوقِعِ للتأويلِ ما ذَهَبتم إليه، لَكانَ حينَئذٍ أقدَرَ منكم اليومَ علىٰ بلوغِ غايةِ‌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الإفصاحِ بالغرضِ المقصودِ و الأمرِ المشهودِ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ألّا نَصَّ علَى الخِطابِ نفسِه، كما استَغنَينا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أمرِه و نهيِه عليه </w:t>
      </w:r>
    </w:p>
    <w:p>
      <w:pPr>
        <w:pStyle w:val="BookText"/>
        <w:rPr/>
      </w:pPr>
      <w:r>
        <w:rPr>
          <w:rFonts w:ascii="Amiri" w:hAnsi="Amiri" w:eastAsia="Amiri" w:cs="Amiri"/>
          <w:color w:val="111111"/>
          <w:sz w:val="28"/>
          <w:sz w:val="28"/>
          <w:szCs w:val="28"/>
          <w:rtl w:val="true"/>
          <w:lang w:bidi="ar-SA"/>
        </w:rPr>
        <w:t>السلامُ إلىٰ‌</w:t>
      </w:r>
      <w:r>
        <w:rPr>
          <w:rStyle w:val="FootnoteAnchor"/>
          <w:rtl w:val="true"/>
        </w:rPr>
        <w:footnoteReference w:id="1217"/>
      </w:r>
      <w:r>
        <w:rPr>
          <w:rFonts w:ascii="Amiri" w:hAnsi="Amiri" w:eastAsia="Amiri" w:cs="Amiri"/>
          <w:color w:val="111111"/>
          <w:sz w:val="28"/>
          <w:sz w:val="28"/>
          <w:szCs w:val="28"/>
          <w:rtl w:val="true"/>
          <w:lang w:bidi="ar-SA"/>
        </w:rPr>
        <w:t>إقامةِ‌</w:t>
      </w:r>
      <w:r>
        <w:rPr>
          <w:rStyle w:val="FootnoteAnchor"/>
          <w:rtl w:val="true"/>
        </w:rPr>
        <w:footnoteReference w:id="1218"/>
      </w:r>
      <w:r>
        <w:rPr>
          <w:rFonts w:ascii="Amiri" w:hAnsi="Amiri" w:eastAsia="Amiri" w:cs="Amiri"/>
          <w:color w:val="111111"/>
          <w:sz w:val="28"/>
          <w:sz w:val="28"/>
          <w:szCs w:val="28"/>
          <w:rtl w:val="true"/>
          <w:lang w:bidi="ar-SA"/>
        </w:rPr>
        <w:t>شَريعةٍ مُكمِّلةٍ لَدَينا، مُتَّهَمةٍ عندَنا بآرائنا و قياسِنا و تأويلِ لُغةٍ و استحسانِ أمرٍ، فيَجيءُ إذَن و</w:t>
      </w:r>
      <w:r>
        <w:rPr>
          <w:rStyle w:val="FootnoteAnchor"/>
          <w:rtl w:val="true"/>
        </w:rPr>
        <w:footnoteReference w:id="1219"/>
      </w:r>
      <w:r>
        <w:rPr>
          <w:rFonts w:ascii="Amiri" w:hAnsi="Amiri" w:eastAsia="Amiri" w:cs="Amiri"/>
          <w:color w:val="111111"/>
          <w:sz w:val="28"/>
          <w:sz w:val="28"/>
          <w:szCs w:val="28"/>
          <w:rtl w:val="true"/>
          <w:lang w:bidi="ar-SA"/>
        </w:rPr>
        <w:t xml:space="preserve">نَحنُ مُفتَقِرونَ إلَى الِاجتهادِ، مُضطَرّونَ إلَى الإبانةِ و الإيضاحِ؟ أم تَراه عليه السلامُ قد كانَ أَوضَحَ كُلَّ شَيءٍ مِن أُمورِ الشريعةِ و أحوالِ الدينِ إلّاما يَتعلَّقُ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w:t>
      </w:r>
      <w:r>
        <w:rPr>
          <w:rStyle w:val="FootnoteAnchor"/>
          <w:rtl w:val="true"/>
        </w:rPr>
        <w:footnoteReference w:id="1220"/>
      </w:r>
      <w:r>
        <w:rPr>
          <w:rFonts w:ascii="Amiri" w:hAnsi="Amiri" w:eastAsia="Amiri" w:cs="Amiri"/>
          <w:color w:val="111111"/>
          <w:sz w:val="28"/>
          <w:sz w:val="28"/>
          <w:szCs w:val="28"/>
          <w:rtl w:val="true"/>
          <w:lang w:bidi="ar-SA"/>
        </w:rPr>
        <w:t>ما تأوَّلتم له مِن النصِّ‌، و جَعَلتم له معنىً و كلاماً إذَن مُستَظهَراً</w:t>
      </w:r>
      <w:r>
        <w:rPr>
          <w:rStyle w:val="FootnoteAnchor"/>
          <w:rtl w:val="true"/>
        </w:rPr>
        <w:footnoteReference w:id="1221"/>
      </w:r>
      <w:r>
        <w:rPr>
          <w:rFonts w:ascii="Amiri" w:hAnsi="Amiri" w:eastAsia="Amiri" w:cs="Amiri"/>
          <w:color w:val="111111"/>
          <w:sz w:val="28"/>
          <w:sz w:val="28"/>
          <w:szCs w:val="28"/>
          <w:rtl w:val="true"/>
          <w:lang w:bidi="ar-SA"/>
        </w:rPr>
        <w:t>لنفسِه في الاجتهادِ و الأخذِ بسابغِ النظَرِ</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الأجَلُّ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عليه السلامُ في يومِ الغَديرِ تصريحٌ في النصِّ بالإمامةِ‌، و الِاستخلافِ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يَحتَمِلُ سِوىٰ هذا المعنى، و لا يَليقُ خِلافُ‌</w:t>
      </w:r>
      <w:r>
        <w:rPr>
          <w:rStyle w:val="FootnoteAnchor"/>
          <w:rtl w:val="true"/>
        </w:rPr>
        <w:footnoteReference w:id="1223"/>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إن حُمِلَ علىٰ غيرِه كانَ خَطَلاً</w:t>
      </w:r>
      <w:r>
        <w:rPr>
          <w:rStyle w:val="FootnoteAnchor"/>
          <w:rtl w:val="true"/>
        </w:rPr>
        <w:footnoteReference w:id="1224"/>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ما قَصَدناه و اعتَمَدناه، و صارَ</w:t>
      </w:r>
      <w:r>
        <w:rPr>
          <w:rStyle w:val="FootnoteAnchor"/>
          <w:rtl w:val="true"/>
        </w:rPr>
        <w:footnoteReference w:id="1225"/>
      </w:r>
      <w:r>
        <w:rPr>
          <w:rFonts w:ascii="Amiri" w:hAnsi="Amiri" w:eastAsia="Amiri" w:cs="Amiri"/>
          <w:color w:val="111111"/>
          <w:sz w:val="28"/>
          <w:sz w:val="28"/>
          <w:szCs w:val="28"/>
          <w:rtl w:val="true"/>
          <w:lang w:bidi="ar-SA"/>
        </w:rPr>
        <w:t>مَن ألزَمَنا</w:t>
      </w:r>
      <w:r>
        <w:rPr>
          <w:rStyle w:val="FootnoteAnchor"/>
          <w:rtl w:val="true"/>
        </w:rPr>
        <w:footnoteReference w:id="1226"/>
      </w:r>
      <w:r>
        <w:rPr>
          <w:rFonts w:ascii="Amiri" w:hAnsi="Amiri" w:eastAsia="Amiri" w:cs="Amiri"/>
          <w:color w:val="111111"/>
          <w:sz w:val="28"/>
          <w:sz w:val="28"/>
          <w:szCs w:val="28"/>
          <w:rtl w:val="true"/>
          <w:lang w:bidi="ar-SA"/>
        </w:rPr>
        <w:t>أن يُعدَلَ عن هذا اللفظِ إلىٰ غيرِه مِن الألفاظِ مُتثبِّطاً</w:t>
      </w:r>
      <w:r>
        <w:rPr>
          <w:rStyle w:val="FootnoteAnchor"/>
          <w:rtl w:val="true"/>
        </w:rPr>
        <w:footnoteReference w:id="1227"/>
      </w:r>
      <w:r>
        <w:rPr>
          <w:rFonts w:ascii="Amiri" w:hAnsi="Amiri" w:eastAsia="Amiri" w:cs="Amiri"/>
          <w:color w:val="111111"/>
          <w:sz w:val="28"/>
          <w:sz w:val="28"/>
          <w:szCs w:val="28"/>
          <w:rtl w:val="true"/>
          <w:lang w:bidi="ar-SA"/>
        </w:rPr>
        <w:t>في الاقتراحِ مُعنِّناً</w:t>
      </w:r>
      <w:r>
        <w:rPr>
          <w:rStyle w:val="FootnoteAnchor"/>
          <w:rtl w:val="true"/>
        </w:rPr>
        <w:footnoteReference w:id="1228"/>
      </w:r>
      <w:r>
        <w:rPr>
          <w:rFonts w:ascii="Amiri" w:hAnsi="Amiri" w:eastAsia="Amiri" w:cs="Amiri"/>
          <w:color w:val="111111"/>
          <w:sz w:val="28"/>
          <w:sz w:val="28"/>
          <w:szCs w:val="28"/>
          <w:rtl w:val="true"/>
          <w:lang w:bidi="ar-SA"/>
        </w:rPr>
        <w:t xml:space="preserve">لأنّ الألفاظَ إذا دَلَّت علىٰ معنىً‌ </w:t>
      </w:r>
    </w:p>
    <w:p>
      <w:pPr>
        <w:pStyle w:val="BookText"/>
        <w:rPr/>
      </w:pPr>
      <w:r>
        <w:rPr>
          <w:rFonts w:ascii="Amiri" w:hAnsi="Amiri" w:eastAsia="Amiri" w:cs="Amiri"/>
          <w:color w:val="111111"/>
          <w:sz w:val="28"/>
          <w:sz w:val="28"/>
          <w:szCs w:val="28"/>
          <w:rtl w:val="true"/>
          <w:lang w:bidi="ar-SA"/>
        </w:rPr>
        <w:t>واحدٍ فإنّ المُتكلِّمَ مُخيَّرٌ بَينَها</w:t>
      </w:r>
      <w:r>
        <w:rPr>
          <w:rStyle w:val="FootnoteAnchor"/>
          <w:rtl w:val="true"/>
        </w:rPr>
        <w:footnoteReference w:id="1229"/>
      </w:r>
      <w:r>
        <w:rPr>
          <w:rFonts w:ascii="Amiri" w:hAnsi="Amiri" w:eastAsia="Amiri" w:cs="Amiri"/>
          <w:color w:val="111111"/>
          <w:sz w:val="28"/>
          <w:sz w:val="28"/>
          <w:szCs w:val="28"/>
          <w:rtl w:val="true"/>
          <w:lang w:bidi="ar-SA"/>
        </w:rPr>
        <w:t>، و لا لَفظَ إلّاو قد يَجوزُ أن تَقَعَ الشُّبهةُ فيه للمُتأمِّلِ‌، و أن لا يوفيَ النظَرَ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عليه السلامُ لَو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الإمامُ مِن بَعدي، و الخليفةُ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أصرَحُ الألفاظِ، جازَ أنَ تَدخُلَ شُبهةٌ علىٰ مُبطِلٍ‌،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إنّما أرادَ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عُثمانَ‌،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الخليفةُ إنِ اختارَتكَ الأُمّةُ و اجتَمَعَت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خِلافُ 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حَملُ لفظِ الغَديرِ علىٰ غيرِ النصِّ بالإمامةِ عُدولٌ عن ظاهرِ الكلامِ‌، و سنُبيِّنُ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دخولُ الشُّبهةِ في لفظِ خبرِ الغَديرِ، فإنّما أُتيَ فيها مَن دَخَلَت عليه مِن قِلّةِ تَبصُّرِه و قِلّةِ تأمُّلِه، كما دَخَلَت</w:t>
      </w:r>
      <w:r>
        <w:rPr>
          <w:rStyle w:val="FootnoteAnchor"/>
          <w:rtl w:val="true"/>
        </w:rPr>
        <w:footnoteReference w:id="1230"/>
      </w:r>
      <w:r>
        <w:rPr>
          <w:rFonts w:ascii="Amiri" w:hAnsi="Amiri" w:eastAsia="Amiri" w:cs="Amiri"/>
          <w:color w:val="111111"/>
          <w:sz w:val="28"/>
          <w:sz w:val="28"/>
          <w:szCs w:val="28"/>
          <w:rtl w:val="true"/>
          <w:lang w:bidi="ar-SA"/>
        </w:rPr>
        <w:t>علىٰ قومٍ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الآخرة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للآخرة كما</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خِلافَ بَينَنا و بَينَ المُعتَزِلةِ في أنّ اللّٰهَ تَعالىٰ كانَ قادراً علىٰ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هذا اللفظِ الذي دَخَلَت فيه الشُّبهةُ علَى المُخالِفينَ في الرؤيةِ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يَراه ذَوو الأبصارِ بأبصارِهم في دُنياً ولا آخِرةٍ‌</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تَزولَ شُبهةُ مَن خالَفَ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الإدراكَ غيرُ الرؤيةِ‌، و أنّ نَفيَ إدراكِ الأبصارِ لَيسَ بنَفيٍ لإدراكِ المُبصِرينَ‌</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فإنّ الكلامَ لَيسَ بعامٍّ للآخِرةِ 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مُتَناوِلٌ للدنيا</w:t>
      </w:r>
      <w:r>
        <w:rPr>
          <w:rFonts w:eastAsia="Amiri" w:cs="Amiri" w:ascii="Amiri" w:hAnsi="Amiri"/>
          <w:color w:val="111111"/>
          <w:sz w:val="28"/>
          <w:szCs w:val="28"/>
          <w:rtl w:val="true"/>
          <w:lang w:bidi="ar-SA"/>
        </w:rPr>
        <w:t xml:space="preserve">. </w:t>
      </w:r>
      <w:bookmarkStart w:id="632" w:name="pg16425_221817"/>
    </w:p>
    <w:p>
      <w:pPr>
        <w:pStyle w:val="BookText"/>
        <w:rPr/>
      </w:pPr>
      <w:bookmarkEnd w:id="632"/>
      <w:r>
        <w:rPr>
          <w:rFonts w:ascii="Amiri" w:hAnsi="Amiri" w:eastAsia="Amiri" w:cs="Amiri"/>
          <w:color w:val="111111"/>
          <w:sz w:val="28"/>
          <w:sz w:val="28"/>
          <w:szCs w:val="28"/>
          <w:rtl w:val="true"/>
          <w:lang w:bidi="ar-SA"/>
        </w:rPr>
        <w:t>فإذا قيلَ لنا كُلِّنا</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عَدَلَ عن</w:t>
      </w:r>
      <w:r>
        <w:rPr>
          <w:rStyle w:val="FootnoteAnchor"/>
          <w:rtl w:val="true"/>
        </w:rPr>
        <w:footnoteReference w:id="1236"/>
      </w:r>
      <w:r>
        <w:rPr>
          <w:rFonts w:ascii="Amiri" w:hAnsi="Amiri" w:eastAsia="Amiri" w:cs="Amiri"/>
          <w:color w:val="111111"/>
          <w:sz w:val="28"/>
          <w:sz w:val="28"/>
          <w:szCs w:val="28"/>
          <w:rtl w:val="true"/>
          <w:lang w:bidi="ar-SA"/>
        </w:rPr>
        <w:t>اللفظِ الصريحِ إلَى اللفظِ المُحتَمِلِ الذي عُلِمَ دخولُ الشُّبهةِ معه‌؟</w:t>
      </w:r>
    </w:p>
    <w:p>
      <w:pPr>
        <w:pStyle w:val="BookText"/>
        <w:rPr/>
      </w:pPr>
      <w:r>
        <w:rPr>
          <w:rFonts w:ascii="Amiri" w:hAnsi="Amiri" w:eastAsia="Amiri" w:cs="Amiri"/>
          <w:color w:val="111111"/>
          <w:sz w:val="28"/>
          <w:sz w:val="28"/>
          <w:szCs w:val="28"/>
          <w:rtl w:val="true"/>
          <w:lang w:bidi="ar-SA"/>
        </w:rPr>
        <w:t>لَم يَكُن لنا جوابٌ إلّامِثلَ ما أجَبنا</w:t>
      </w:r>
      <w:r>
        <w:rPr>
          <w:rStyle w:val="FootnoteAnchor"/>
          <w:rtl w:val="true"/>
        </w:rPr>
        <w:footnoteReference w:id="1237"/>
      </w:r>
      <w:r>
        <w:rPr>
          <w:rFonts w:ascii="Amiri" w:hAnsi="Amiri" w:eastAsia="Amiri" w:cs="Amiri"/>
          <w:color w:val="111111"/>
          <w:sz w:val="28"/>
          <w:sz w:val="28"/>
          <w:szCs w:val="28"/>
          <w:rtl w:val="true"/>
          <w:lang w:bidi="ar-SA"/>
        </w:rPr>
        <w:t>في خبرِ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إلّاأن يُدَلَّ‌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علىٰ أنّ خبرَ الغَديرِ يَقتَضي الِاستخلافَ و</w:t>
      </w:r>
      <w:r>
        <w:rPr>
          <w:rStyle w:val="FootnoteAnchor"/>
          <w:rtl w:val="true"/>
        </w:rPr>
        <w:footnoteReference w:id="1238"/>
      </w:r>
      <w:r>
        <w:rPr>
          <w:rFonts w:ascii="Amiri" w:hAnsi="Amiri" w:eastAsia="Amiri" w:cs="Amiri"/>
          <w:color w:val="111111"/>
          <w:sz w:val="28"/>
          <w:sz w:val="28"/>
          <w:szCs w:val="28"/>
          <w:rtl w:val="true"/>
          <w:lang w:bidi="ar-SA"/>
        </w:rPr>
        <w:t>الإمامةَ‌، مِن غيرِ احتمالٍ لسِواهما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7830315_1280447820"/>
      <w:bookmarkStart w:id="634" w:name="_Toc206"/>
      <w:bookmarkEnd w:id="633"/>
      <w:r>
        <w:rPr>
          <w:rtl w:val="true"/>
        </w:rPr>
        <w:t>تقرير دلالة حديث الغدير على الإمامة</w:t>
      </w:r>
      <w:bookmarkEnd w:id="634"/>
    </w:p>
    <w:p>
      <w:pPr>
        <w:pStyle w:val="BookText"/>
        <w:rPr/>
      </w:pPr>
      <w:r>
        <w:rPr>
          <w:rFonts w:ascii="Amiri" w:hAnsi="Amiri" w:eastAsia="Amiri" w:cs="Amiri"/>
          <w:color w:val="111111"/>
          <w:sz w:val="28"/>
          <w:sz w:val="28"/>
          <w:szCs w:val="28"/>
          <w:rtl w:val="true"/>
          <w:lang w:bidi="ar-SA"/>
        </w:rPr>
        <w:t>و الذي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قَرَّرَ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أُمّتَه علىٰ فَرضِ طاعتِه الذي</w:t>
      </w:r>
      <w:r>
        <w:rPr>
          <w:rStyle w:val="FootnoteAnchor"/>
          <w:rtl w:val="true"/>
        </w:rPr>
        <w:footnoteReference w:id="1240"/>
      </w:r>
      <w:r>
        <w:rPr>
          <w:rFonts w:ascii="Amiri" w:hAnsi="Amiri" w:eastAsia="Amiri" w:cs="Amiri"/>
          <w:color w:val="111111"/>
          <w:sz w:val="28"/>
          <w:sz w:val="28"/>
          <w:szCs w:val="28"/>
          <w:rtl w:val="true"/>
          <w:lang w:bidi="ar-SA"/>
        </w:rPr>
        <w:t>أَوجَبَها اللّٰهُ تَعالىٰ له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 و إنّما أرادَ تَعالىٰ أنّه أحَقُّ بتدبيرِهم و تصريفِهم، و أنّ طاعتَه عليهم واجبةٌ‌، فقالَ عليه السلامُ في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علىٰ هذه المُقدِّمةِ بحَرفِ العَطفِ فقالَ‌</w:t>
      </w:r>
      <w:r>
        <w:rPr>
          <w:rStyle w:val="FootnoteAnchor"/>
          <w:rtl w:val="true"/>
        </w:rPr>
        <w:footnoteReference w:id="12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يَحتَمِلُ معنَى</w:t>
      </w:r>
      <w:r>
        <w:rPr>
          <w:rStyle w:val="FootnoteAnchor"/>
          <w:rtl w:val="true"/>
        </w:rPr>
        <w:footnoteReference w:id="1243"/>
      </w:r>
      <w:r>
        <w:rPr>
          <w:rFonts w:ascii="Amiri" w:hAnsi="Amiri" w:eastAsia="Amiri" w:cs="Amiri"/>
          <w:color w:val="111111"/>
          <w:sz w:val="28"/>
          <w:sz w:val="28"/>
          <w:szCs w:val="28"/>
          <w:rtl w:val="true"/>
          <w:lang w:bidi="ar-SA"/>
        </w:rPr>
        <w:t>المُقدِّمةِ‌</w:t>
      </w:r>
      <w:r>
        <w:rPr>
          <w:rStyle w:val="FootnoteAnchor"/>
          <w:rtl w:val="true"/>
        </w:rPr>
        <w:footnoteReference w:id="1244"/>
      </w:r>
      <w:r>
        <w:rPr>
          <w:rFonts w:ascii="Amiri" w:hAnsi="Amiri" w:eastAsia="Amiri" w:cs="Amiri"/>
          <w:color w:val="111111"/>
          <w:sz w:val="28"/>
          <w:sz w:val="28"/>
          <w:szCs w:val="28"/>
          <w:rtl w:val="true"/>
          <w:lang w:bidi="ar-SA"/>
        </w:rPr>
        <w:t xml:space="preserve">، و إن كانَ مُحتَمِلاً لغَيرِها؛ </w:t>
      </w:r>
    </w:p>
    <w:p>
      <w:pPr>
        <w:pStyle w:val="BookText"/>
        <w:rPr/>
      </w:pPr>
      <w:r>
        <w:rPr>
          <w:rFonts w:ascii="Amiri" w:hAnsi="Amiri" w:eastAsia="Amiri" w:cs="Amiri"/>
          <w:color w:val="111111"/>
          <w:sz w:val="28"/>
          <w:sz w:val="28"/>
          <w:szCs w:val="28"/>
          <w:rtl w:val="true"/>
          <w:lang w:bidi="ar-SA"/>
        </w:rPr>
        <w:t xml:space="preserve">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يَحتَمِلُ‌</w:t>
      </w:r>
      <w:r>
        <w:rPr>
          <w:rStyle w:val="FootnoteAnchor"/>
          <w:rtl w:val="true"/>
        </w:rPr>
        <w:footnoteReference w:id="1246"/>
      </w:r>
      <w:r>
        <w:rPr>
          <w:rFonts w:ascii="Amiri" w:hAnsi="Amiri" w:eastAsia="Amiri" w:cs="Amiri"/>
          <w:color w:val="111111"/>
          <w:sz w:val="28"/>
          <w:sz w:val="28"/>
          <w:szCs w:val="28"/>
          <w:rtl w:val="true"/>
          <w:lang w:bidi="ar-SA"/>
        </w:rPr>
        <w:t xml:space="preserve">ابنَ العَمِّ‌، و الحَليفَ‌، و الناصِرَ، و الجارَ، و غيرَ ذلكَ‌؛ فقَد نَصَّ جميعُ أهلِ اللُّغةِ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كُتُبِهم، و 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الشافي</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مِن الشواهِدِ علىٰ ذلكَ‌، مِن القُرآنِ و السُّنّةِ و كلامِ العَرَبِ و أشعارِها</w:t>
      </w:r>
      <w:r>
        <w:rPr>
          <w:rStyle w:val="FootnoteAnchor"/>
          <w:rtl w:val="true"/>
        </w:rPr>
        <w:footnoteReference w:id="1248"/>
      </w:r>
      <w:r>
        <w:rPr>
          <w:rFonts w:ascii="IRNazanin" w:hAnsi="IRNazanin" w:eastAsia="IRNazanin"/>
          <w:color w:val="111111"/>
          <w:sz w:val="28"/>
          <w:sz w:val="28"/>
          <w:szCs w:val="28"/>
          <w:rtl w:val="true"/>
          <w:lang w:bidi="fa-IR"/>
        </w:rPr>
        <w:t>و</w:t>
      </w:r>
      <w:r>
        <w:rPr>
          <w:rStyle w:val="FootnoteAnchor"/>
          <w:rtl w:val="true"/>
        </w:rPr>
        <w:footnoteReference w:id="1249"/>
      </w:r>
      <w:r>
        <w:rPr>
          <w:rFonts w:ascii="Amiri" w:hAnsi="Amiri" w:eastAsia="Amiri" w:cs="Amiri"/>
          <w:color w:val="111111"/>
          <w:sz w:val="28"/>
          <w:sz w:val="28"/>
          <w:szCs w:val="28"/>
          <w:rtl w:val="true"/>
          <w:lang w:bidi="ar-SA"/>
        </w:rPr>
        <w:t>ما هو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في احتمالِ هذه اللفظةِ للمعنَى الذي ذَكرناه</w:t>
      </w:r>
      <w:r>
        <w:rPr>
          <w:rStyle w:val="FootnoteAnchor"/>
          <w:rtl w:val="true"/>
        </w:rPr>
        <w:footnoteReference w:id="1250"/>
      </w:r>
      <w:r>
        <w:rPr>
          <w:rFonts w:ascii="Amiri" w:hAnsi="Amiri" w:eastAsia="Amiri" w:cs="Amiri"/>
          <w:color w:val="111111"/>
          <w:sz w:val="28"/>
          <w:sz w:val="28"/>
          <w:szCs w:val="28"/>
          <w:rtl w:val="true"/>
          <w:lang w:bidi="ar-SA"/>
        </w:rPr>
        <w:t>أشهَرُ مِن أن يَخفىٰ علىٰ مُحصِّلٍ‌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شأنِ العَرَبِ‌</w:t>
      </w:r>
      <w:r>
        <w:rPr>
          <w:rStyle w:val="FootnoteAnchor"/>
          <w:rtl w:val="true"/>
        </w:rPr>
        <w:footnoteReference w:id="1251"/>
      </w:r>
      <w:r>
        <w:rPr>
          <w:rFonts w:ascii="Amiri" w:hAnsi="Amiri" w:eastAsia="Amiri" w:cs="Amiri"/>
          <w:color w:val="111111"/>
          <w:sz w:val="28"/>
          <w:sz w:val="28"/>
          <w:szCs w:val="28"/>
          <w:rtl w:val="true"/>
          <w:lang w:bidi="ar-SA"/>
        </w:rPr>
        <w:t>إذا عَطَفَت علىٰ‌</w:t>
      </w:r>
      <w:r>
        <w:rPr>
          <w:rStyle w:val="FootnoteAnchor"/>
          <w:rtl w:val="true"/>
        </w:rPr>
        <w:footnoteReference w:id="1252"/>
      </w:r>
      <w:r>
        <w:rPr>
          <w:rFonts w:ascii="Amiri" w:hAnsi="Amiri" w:eastAsia="Amiri" w:cs="Amiri"/>
          <w:color w:val="111111"/>
          <w:sz w:val="28"/>
          <w:sz w:val="28"/>
          <w:szCs w:val="28"/>
          <w:rtl w:val="true"/>
          <w:lang w:bidi="ar-SA"/>
        </w:rPr>
        <w:t>جُملةٍ مُفسِّرةٍ بكلامٍ‌</w:t>
      </w:r>
      <w:r>
        <w:rPr>
          <w:rStyle w:val="FootnoteAnchor"/>
          <w:rtl w:val="true"/>
        </w:rPr>
        <w:footnoteReference w:id="1253"/>
      </w:r>
      <w:r>
        <w:rPr>
          <w:rFonts w:ascii="Amiri" w:hAnsi="Amiri" w:eastAsia="Amiri" w:cs="Amiri"/>
          <w:color w:val="111111"/>
          <w:sz w:val="28"/>
          <w:sz w:val="28"/>
          <w:szCs w:val="28"/>
          <w:rtl w:val="true"/>
          <w:lang w:bidi="ar-SA"/>
        </w:rPr>
        <w:t>يَحتَمِلُ للمعنَى</w:t>
      </w:r>
      <w:r>
        <w:rPr>
          <w:rStyle w:val="FootnoteAnchor"/>
          <w:rtl w:val="true"/>
        </w:rPr>
        <w:footnoteReference w:id="1254"/>
      </w:r>
      <w:r>
        <w:rPr>
          <w:rFonts w:ascii="Amiri" w:hAnsi="Amiri" w:eastAsia="Amiri" w:cs="Amiri"/>
          <w:color w:val="111111"/>
          <w:sz w:val="28"/>
          <w:sz w:val="28"/>
          <w:szCs w:val="28"/>
          <w:rtl w:val="true"/>
          <w:lang w:bidi="ar-SA"/>
        </w:rPr>
        <w:t>الأوّلِ كما</w:t>
      </w:r>
      <w:r>
        <w:rPr>
          <w:rStyle w:val="FootnoteAnchor"/>
          <w:rtl w:val="true"/>
        </w:rPr>
        <w:footnoteReference w:id="1255"/>
      </w:r>
      <w:r>
        <w:rPr>
          <w:rFonts w:ascii="Amiri" w:hAnsi="Amiri" w:eastAsia="Amiri" w:cs="Amiri"/>
          <w:color w:val="111111"/>
          <w:sz w:val="28"/>
          <w:sz w:val="28"/>
          <w:szCs w:val="28"/>
          <w:rtl w:val="true"/>
          <w:lang w:bidi="ar-SA"/>
        </w:rPr>
        <w:t>يَحتَمِلُ غيرَه، أن لا يُريدوا بالكلامِ‌</w:t>
      </w:r>
      <w:r>
        <w:rPr>
          <w:rStyle w:val="FootnoteAnchor"/>
          <w:rtl w:val="true"/>
        </w:rPr>
        <w:footnoteReference w:id="1256"/>
      </w:r>
      <w:r>
        <w:rPr>
          <w:rFonts w:ascii="Amiri" w:hAnsi="Amiri" w:eastAsia="Amiri" w:cs="Amiri"/>
          <w:color w:val="111111"/>
          <w:sz w:val="28"/>
          <w:sz w:val="28"/>
          <w:szCs w:val="28"/>
          <w:rtl w:val="true"/>
          <w:lang w:bidi="ar-SA"/>
        </w:rPr>
        <w:t>إلّاالمعنَى الأوّلَ دونَ ما عَداه؛ ألا تَرىٰ أنّ أحَدَهم إذا قالَ 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تَعرِفونَ عَبدي زَيداً</w:t>
      </w:r>
      <w:r>
        <w:rPr>
          <w:rStyle w:val="FootnoteAnchor"/>
          <w:rtl w:val="true"/>
        </w:rPr>
        <w:footnoteReference w:id="12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عَبيدٌ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عاطفاً علىٰ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فاشهَدوا أنّني قد أعتَقتُ 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وَهَبتُه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يَجُزْ أن يُحمَلَ‌</w:t>
      </w:r>
      <w:r>
        <w:rPr>
          <w:rStyle w:val="FootnoteAnchor"/>
          <w:rtl w:val="true"/>
        </w:rPr>
        <w:footnoteReference w:id="1258"/>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المُحتَمِلُ إلّاعلَى العَبدِ الأوّلِ الذي وَقَعَ‌ </w:t>
      </w:r>
    </w:p>
    <w:p>
      <w:pPr>
        <w:pStyle w:val="BookText"/>
        <w:rPr/>
      </w:pPr>
      <w:r>
        <w:rPr>
          <w:rFonts w:ascii="Amiri" w:hAnsi="Amiri" w:eastAsia="Amiri" w:cs="Amiri"/>
          <w:color w:val="111111"/>
          <w:sz w:val="28"/>
          <w:sz w:val="28"/>
          <w:szCs w:val="28"/>
          <w:rtl w:val="true"/>
          <w:lang w:bidi="ar-SA"/>
        </w:rPr>
        <w:t>التصريحُ به، و مَن حَمَلَه علىٰ سِواه كانَ مُخطئاً عادلاً عن حقيقةِ الكلامِ و مَنعِه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صَحَّ ما ذَكرنا، و كانَ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أَولىٰ به مِن نفسِه، فعَليٌّ أَولىٰ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يَكونُ أَولىٰ بنا مِن نُفوسِنا إلّاو طاعتُه واجبةٌ علينا، و لا يَكونُ طاعتُه واجبةً علينا إلّاو هو إمامٌ مُستَخلَفٌ‌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علىٰ ما ذَكرناه و رَتَّبناه بَينَ أن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طاعتُه واجبةٌ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يَقولَ النبيُّ عليه السلامُ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طاعَتي واجبةً‌</w:t>
      </w:r>
      <w:r>
        <w:rPr>
          <w:rStyle w:val="FootnoteAnchor"/>
          <w:rtl w:val="true"/>
        </w:rPr>
        <w:footnoteReference w:id="1260"/>
      </w:r>
      <w:r>
        <w:rPr>
          <w:rFonts w:ascii="Amiri" w:hAnsi="Amiri" w:eastAsia="Amiri" w:cs="Amiri"/>
          <w:color w:val="111111"/>
          <w:sz w:val="28"/>
          <w:sz w:val="28"/>
          <w:szCs w:val="28"/>
          <w:rtl w:val="true"/>
          <w:lang w:bidi="ar-SA"/>
        </w:rPr>
        <w:t>عليكم و لازمةً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w:t>
      </w:r>
      <w:r>
        <w:rPr>
          <w:rStyle w:val="FootnoteAnchor"/>
          <w:rtl w:val="true"/>
        </w:rPr>
        <w:footnoteReference w:id="1261"/>
      </w:r>
      <w:r>
        <w:rPr>
          <w:rFonts w:ascii="Amiri" w:hAnsi="Amiri" w:eastAsia="Amiri" w:cs="Amiri"/>
          <w:color w:val="111111"/>
          <w:sz w:val="28"/>
          <w:sz w:val="28"/>
          <w:szCs w:val="28"/>
          <w:rtl w:val="true"/>
          <w:lang w:bidi="ar-SA"/>
        </w:rPr>
        <w:t>كافيةٌ في جوابِ هذه المَسائلِ‌؛ فمَن أرادَ التفريعَ‌</w:t>
      </w:r>
      <w:r>
        <w:rPr>
          <w:rStyle w:val="FootnoteAnchor"/>
          <w:rtl w:val="true"/>
        </w:rPr>
        <w:footnoteReference w:id="1262"/>
      </w:r>
      <w:r>
        <w:rPr>
          <w:rFonts w:ascii="Amiri" w:hAnsi="Amiri" w:eastAsia="Amiri" w:cs="Amiri"/>
          <w:color w:val="111111"/>
          <w:sz w:val="28"/>
          <w:sz w:val="28"/>
          <w:szCs w:val="28"/>
          <w:rtl w:val="true"/>
          <w:lang w:bidi="ar-SA"/>
        </w:rPr>
        <w:t>و التطويلَ و التشعيبَ‌</w:t>
      </w:r>
      <w:r>
        <w:rPr>
          <w:rStyle w:val="FootnoteAnchor"/>
          <w:rtl w:val="true"/>
        </w:rPr>
        <w:footnoteReference w:id="1263"/>
      </w:r>
      <w:r>
        <w:rPr>
          <w:rFonts w:ascii="Amiri" w:hAnsi="Amiri" w:eastAsia="Amiri" w:cs="Amiri"/>
          <w:color w:val="111111"/>
          <w:sz w:val="28"/>
          <w:sz w:val="28"/>
          <w:szCs w:val="28"/>
          <w:rtl w:val="true"/>
          <w:lang w:bidi="ar-SA"/>
        </w:rPr>
        <w:t xml:space="preserve">، فعَلَيه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Style w:val="FootnoteAnchor"/>
          <w:rtl w:val="true"/>
        </w:rPr>
        <w:footnoteReference w:id="1264"/>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مَجراه مِن كُتُبِنا في الإمامةِ و تَصانيفِنا و أَمالينا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نَسألُ اللّٰهَ تأييداً و توفيقاً و تسديداً في قولٍ و عملٍ‌؛ فإنّه نِعمَ المَولىٰ و نِعمَ النصيرُ</w:t>
      </w:r>
      <w:r>
        <w:rPr>
          <w:rFonts w:eastAsia="Amiri" w:cs="Amiri" w:ascii="Amiri" w:hAnsi="Amiri"/>
          <w:color w:val="111111"/>
          <w:sz w:val="28"/>
          <w:szCs w:val="28"/>
          <w:rtl w:val="true"/>
          <w:lang w:bidi="ar-SA"/>
        </w:rPr>
        <w:t xml:space="preserve">. </w:t>
      </w:r>
      <w:bookmarkStart w:id="635" w:name="pg16425_221820"/>
    </w:p>
    <w:p>
      <w:pPr>
        <w:pStyle w:val="Heading3"/>
        <w:numPr>
          <w:ilvl w:val="2"/>
          <w:numId w:val="1"/>
        </w:numPr>
        <w:rPr/>
      </w:pPr>
      <w:bookmarkStart w:id="636" w:name="__RefHeading___Toc7830317_1280447820"/>
      <w:bookmarkStart w:id="637" w:name="_Toc207"/>
      <w:bookmarkEnd w:id="635"/>
      <w:bookmarkEnd w:id="636"/>
      <w:r>
        <w:rPr>
          <w:rtl w:val="true"/>
        </w:rPr>
        <w:t>(</w:t>
      </w:r>
      <w:r>
        <w:rPr/>
        <w:t>62</w:t>
      </w:r>
      <w:r>
        <w:rPr>
          <w:rtl w:val="true"/>
        </w:rPr>
        <w:t xml:space="preserve">) </w:t>
      </w:r>
      <w:r>
        <w:rPr>
          <w:rtl w:val="true"/>
        </w:rPr>
        <w:t>مسألةٌ في عِلّةِ مُبايَعةِ أميرِ المؤمنينَ عليه السلام أبا بَكرٍ</w:t>
      </w:r>
      <w:bookmarkEnd w:id="63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8" w:name="__RefHeading___Toc7830319_1280447820"/>
      <w:bookmarkStart w:id="639" w:name="_Toc208"/>
      <w:bookmarkEnd w:id="638"/>
      <w:r>
        <w:rPr>
          <w:rtl w:val="true"/>
        </w:rPr>
        <w:t>اشارة</w:t>
      </w:r>
      <w:bookmarkEnd w:id="63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0" w:name="pg16425_221822"/>
      <w:bookmarkStart w:id="641" w:name="pg16425_221822"/>
      <w:bookmarkEnd w:id="641"/>
    </w:p>
    <w:p>
      <w:pPr>
        <w:pStyle w:val="Heading4"/>
        <w:numPr>
          <w:ilvl w:val="3"/>
          <w:numId w:val="1"/>
        </w:numPr>
        <w:rPr/>
      </w:pPr>
      <w:bookmarkStart w:id="642" w:name="pg16425_221822"/>
      <w:bookmarkStart w:id="643" w:name="__RefHeading___Toc7830321_1280447820"/>
      <w:bookmarkStart w:id="644" w:name="_Toc209"/>
      <w:bookmarkEnd w:id="642"/>
      <w:bookmarkEnd w:id="643"/>
      <w:r>
        <w:rPr>
          <w:rtl w:val="true"/>
        </w:rPr>
        <w:t>مقدّمة التحقيق</w:t>
      </w:r>
      <w:bookmarkEnd w:id="644"/>
    </w:p>
    <w:p>
      <w:pPr>
        <w:pStyle w:val="Heading5"/>
        <w:numPr>
          <w:ilvl w:val="4"/>
          <w:numId w:val="1"/>
        </w:numPr>
        <w:rPr/>
      </w:pPr>
      <w:bookmarkStart w:id="645" w:name="__RefHeading___Toc7830323_1280447820"/>
      <w:bookmarkStart w:id="646" w:name="_Toc210"/>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تعتبر هذه الرسالة جزءاً من مجموعة مسائل وجّهها بعض المخالفين إلى الشريف المرتضى للإجابة عليها؛ فإنّها تبدأ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سألوا أيضاً،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عُطف السؤال فيها على سؤال آخر قبله، و لا نعلم بالدقّة باقي الأسئلة المطروحة في هذه المجموعة، و 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في الجواب عن الشبهات الواردة في خبر 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إحدى 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منها</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7830325_1280447820"/>
      <w:bookmarkStart w:id="648" w:name="_Toc211"/>
      <w:bookmarkEnd w:id="647"/>
      <w:r>
        <w:rPr>
          <w:rtl w:val="true"/>
        </w:rPr>
        <w:t>محتوى الرسالة و نسبتها إلى المؤلّف</w:t>
      </w:r>
      <w:bookmarkEnd w:id="648"/>
    </w:p>
    <w:p>
      <w:pPr>
        <w:pStyle w:val="BookText"/>
        <w:rPr/>
      </w:pPr>
      <w:r>
        <w:rPr>
          <w:rFonts w:ascii="Amiri" w:hAnsi="Amiri" w:eastAsia="Amiri" w:cs="Amiri"/>
          <w:color w:val="111111"/>
          <w:sz w:val="28"/>
          <w:sz w:val="28"/>
          <w:szCs w:val="28"/>
          <w:rtl w:val="true"/>
          <w:lang w:bidi="ar-SA"/>
        </w:rPr>
        <w:t>لقد وجّه السائل إشكالين،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نصّ اللّٰه تعالى على أمير المؤمنين عليه السلام بالإمامة، فإمّا أن يكون عالماً بأنّه قادر على القيام بشؤون الإمامة أو لا، فعلى الأوّل لِمَ لم يقم أمير المؤمنين عليه السلام بما يلزم للحصول على منصب الإمامة من التعريف بنفسه و التذكير بالنصّ؟ 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لم يكن أمير المؤمنين عليه السلام قادراً على القيام بشؤون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يكون تكليفه بذلك تكليفاً بما لا يطاق، و هو قبيح</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الشريف المرتضى سوف يختار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عليه السلام كان قادراً عى القيام بشؤون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فيجب أن يجيب على الإشكال الموجّه في هذا الشقّ‌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ما يدلّ على عدم وجود النصّ‌، و هو أنّ أمير المؤمنين عليه السلام قد بايع أبا بكر، فلو كان هناك نصّ لَما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 إنّه قد بايع مكرهاً،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تأتوا بدليل على ذلك؛ فإنّ البيعة تدلّ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الشريف المرتضى على الإشكالين معاً بما يناسبهما، و 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الإشكال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أمير المؤمنين عليه السلام كان قادراً على القيام بشؤون الإمامة كلّها و زيادة، ولكن كان هناك مانع منع من القيام بذلك، و هو أنّهم قد عقدوا الإمامة لغيره، و منعوه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سبب عدم تعريفهم و تذكيرهم بحقّه و بالنصّ فهو أنّه وجد عدم الفائدة في ذلك، فإنّ من خالف صريح كلام نبيّه صلّى اللّٰه عليه و آله كيف يمكن أن يرجع إلى الحقّ بتذكير مذكّر و تبصير مبصّر؟</w:t>
      </w:r>
    </w:p>
    <w:p>
      <w:pPr>
        <w:pStyle w:val="BookText"/>
        <w:rPr/>
      </w:pPr>
      <w:r>
        <w:rPr>
          <w:rFonts w:ascii="Amiri" w:hAnsi="Amiri" w:eastAsia="Amiri" w:cs="Amiri"/>
          <w:color w:val="111111"/>
          <w:sz w:val="28"/>
          <w:sz w:val="28"/>
          <w:szCs w:val="28"/>
          <w:rtl w:val="true"/>
          <w:lang w:bidi="ar-SA"/>
        </w:rPr>
        <w:t>جواب الإشكال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أمير المؤمنين عليه السلام لم يبايع أبا بكر عن رضا و تسليم، و إنّما أظهر الرضا و كفّ عن المنازعة من باب الضرورة و بعد حصول مجموعة من المراجعات و المعاتبات و التهديدات، و كان قبل ذلك قد أظهر السخط و عدم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ادّعى السائل أنّ الظاهر من بيعة أمير المؤمنين عليه السلامُ أنّه كان راضياً بذلك، و أنّ الشيعة يدّعون أنّه كان مُكرَهاً على ذلك، فعليهم المجيء بالدليل؛ فإنّ البيعة من أوضح الأدلّة على الرضا، أمّا الإكراه الباطني فهو بحاجة إلى دليل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الشريف المرتضى على ذلك بأن قام بقلب المسألة،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بالعكس تماماً، و هو أنّ مدّعي الرضا بالبيعة بحاجة إلى دليل، لا مدّعي الإكراه؛ و ذلك لأنّه ممّا لا شكّ فيه أنّ أمير المؤمنين عليه السلامُ كان ساخطاً على الوضع القائم، و قد </w:t>
      </w:r>
    </w:p>
    <w:p>
      <w:pPr>
        <w:pStyle w:val="BookText"/>
        <w:rPr/>
      </w:pPr>
      <w:r>
        <w:rPr>
          <w:rFonts w:ascii="Amiri" w:hAnsi="Amiri" w:eastAsia="Amiri" w:cs="Amiri"/>
          <w:color w:val="111111"/>
          <w:sz w:val="28"/>
          <w:sz w:val="28"/>
          <w:szCs w:val="28"/>
          <w:rtl w:val="true"/>
          <w:lang w:bidi="ar-SA"/>
        </w:rPr>
        <w:t>تأخّر عن البيعة و أظهر الغضب، ثمّ كفّ بعد ذلك عن إظهار المنازعة، فَمَن ادّعى من المخالفين بعد اتّفاقهم معنا على تقدُّم سخطه، أنّه قد رضي بعد ذلك في قلبه، فعليه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مدّعي الإكراه لا حاجة به إلى دليل كما ادّعى السائل، بل بالعكس، و هو أنّ مدّعي الرضا بحاجة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أنّه لم يكن راضياً ببيعة أبي بكر هو أنّه قد ثبت بما لا يدع مجالاً للشكّ أنّ النبيّ صلّى اللّٰهُ عليه و آلِه نصّ على إمامة أمير المؤمنين عليه السلامُ من بعده، و إذا كان كذلك فلا شكّ أنّه كان كارهاً لعقد الإمامة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إذا دلّت بيعة أمير المؤمنين عليه السلامُ علىٰ رضاه و صحّة إ مامة أبي بكر، لدلّت بيعة الإمام الحسن عليه السلام لمعاوية علىٰ رضاه و صحّة إ مامته، و كلّ ما يجيب به من يرفض إمامة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المعتزلة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به في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انتهىٰ جواب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هذه الرسالة علّمنا طريقة مهمّة في الجدل و المناظرة، و هي أنّ المجادل يجب أن لا ينبهر بكلام الخصم، فينسى موقفه و مبانيه و أدلّته، و إنّما عليه التمسّك بآرائه و أدلّته، و عدم التزلزل أمام الشبهة، فإنّ الشبهة التي أوردها السائل قد تبدو قويّة في بادئ الأمر، و تكون نتيجتها أنّ من يدّعي الإكراه فعليه الدليل، لكن الشريف المرتضى تمكّن من المحافظة بكلّ رباطة جأش على موقفه و رأيه في المسألة، و انتهى بعد بيان قوي إلى أنّ مدّعي الرضا هو الذي عليه أن يأتي بالدليل، و هذا درس نافع للغاية في مجال الجدل و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أرجع الشريف المرتضى في هذه المسألة إلى كتابَيه الشافي و الذخيرة، و هو يعتبر قرينة داخليّة مهمّة على تصحيح نسبة المسألة إليه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كانت هذه الرسالة قد طبعت في ضمن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bookmarkStart w:id="649" w:name="pg16425_221825"/>
    </w:p>
    <w:p>
      <w:pPr>
        <w:pStyle w:val="Heading5"/>
        <w:numPr>
          <w:ilvl w:val="4"/>
          <w:numId w:val="1"/>
        </w:numPr>
        <w:rPr/>
      </w:pPr>
      <w:bookmarkStart w:id="650" w:name="__RefHeading___Toc7830327_1280447820"/>
      <w:bookmarkStart w:id="651" w:name="_Toc212"/>
      <w:bookmarkEnd w:id="649"/>
      <w:bookmarkEnd w:id="650"/>
      <w:r>
        <w:rPr>
          <w:rtl w:val="true"/>
        </w:rPr>
        <w:t>مخطوطات الرسالة</w:t>
      </w:r>
      <w:bookmarkEnd w:id="6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652" w:name="pg16425_221826"/>
    </w:p>
    <w:p>
      <w:pPr>
        <w:pStyle w:val="BookText"/>
        <w:rPr/>
      </w:pPr>
      <w:bookmarkEnd w:id="65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7830329_1280447820"/>
      <w:bookmarkStart w:id="654" w:name="_Toc213"/>
      <w:bookmarkEnd w:id="653"/>
      <w:r>
        <w:rPr>
          <w:rtl w:val="true"/>
        </w:rPr>
        <w:t>مسألةٌ في عِلّةِ مُبايَعةِ أميرِ المؤمنينَ عليه السلام أبا بَكرٍ</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سَألوا أيضاً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يَخلو أن يَكونَ اللّٰهُ تَعالىٰ لمّا أمَرَ بنَصبِ أميرِ المؤمنينَ عليه السلامُ إماماً قد عَلِمَ أنّه قادرٌ علىٰ ذلكَ‌،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يَعلَمُ أنّه قادرٌ، و لَم يَفعَلْ في ذلكَ ما يَلزَمُه</w:t>
      </w:r>
      <w:r>
        <w:rPr>
          <w:rStyle w:val="FootnoteAnchor"/>
          <w:rtl w:val="true"/>
        </w:rPr>
        <w:footnoteReference w:id="1265"/>
      </w:r>
      <w:r>
        <w:rPr>
          <w:rFonts w:ascii="Amiri" w:hAnsi="Amiri" w:eastAsia="Amiri" w:cs="Amiri"/>
          <w:color w:val="111111"/>
          <w:sz w:val="28"/>
          <w:sz w:val="28"/>
          <w:szCs w:val="28"/>
          <w:rtl w:val="true"/>
          <w:lang w:bidi="ar-SA"/>
        </w:rPr>
        <w:t>، فحوشِيَ‌</w:t>
      </w:r>
      <w:r>
        <w:rPr>
          <w:rStyle w:val="FootnoteAnchor"/>
          <w:rtl w:val="true"/>
        </w:rPr>
        <w:footnoteReference w:id="1266"/>
      </w:r>
      <w:r>
        <w:rPr>
          <w:rFonts w:ascii="Amiri" w:hAnsi="Amiri" w:eastAsia="Amiri" w:cs="Amiri"/>
          <w:color w:val="111111"/>
          <w:sz w:val="28"/>
          <w:sz w:val="28"/>
          <w:szCs w:val="28"/>
          <w:rtl w:val="true"/>
          <w:lang w:bidi="ar-SA"/>
        </w:rPr>
        <w:t>عندَنا مِن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يَعلَمُ أنّه يَعجِزُ عمّا كَلَّفَه القيامَ به، فقَد كَلَّفَه ما لا قُدرةَ له عليه، و حَمَّلَه ما لا يَحتَمِلُه</w:t>
      </w:r>
      <w:r>
        <w:rPr>
          <w:rStyle w:val="FootnoteAnchor"/>
          <w:rtl w:val="true"/>
        </w:rPr>
        <w:footnoteReference w:id="1267"/>
      </w:r>
      <w:r>
        <w:rPr>
          <w:rFonts w:ascii="Amiri" w:hAnsi="Amiri" w:eastAsia="Amiri" w:cs="Amiri"/>
          <w:color w:val="111111"/>
          <w:sz w:val="28"/>
          <w:sz w:val="28"/>
          <w:szCs w:val="28"/>
          <w:rtl w:val="true"/>
          <w:lang w:bidi="ar-SA"/>
        </w:rPr>
        <w:t>، و جَشَّمَه</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و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أجشَمَني فلانٌ أمراً و جَشَّمَنيهِ‌؛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جَشَّمتُه الأمرَ تجشيماً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تجشّمتُ الأمر و تجسَّمتُه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نفسَك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يَتمكَّنُ منه و لا يُطيقُه؛ فتَعالَى اللّٰهُ عن كُلِّ قَبيحٍ عُلُوّاً كَبيراً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w:t>
      </w:r>
      <w:r>
        <w:rPr>
          <w:rStyle w:val="FootnoteAnchor"/>
          <w:rtl w:val="true"/>
        </w:rPr>
        <w:footnoteReference w:id="1269"/>
      </w:r>
      <w:r>
        <w:rPr>
          <w:rFonts w:ascii="Amiri" w:hAnsi="Amiri" w:eastAsia="Amiri" w:cs="Amiri"/>
          <w:color w:val="111111"/>
          <w:sz w:val="28"/>
          <w:sz w:val="28"/>
          <w:szCs w:val="28"/>
          <w:rtl w:val="true"/>
          <w:lang w:bidi="ar-SA"/>
        </w:rPr>
        <w:t>المَنصوصُ‌</w:t>
      </w:r>
      <w:r>
        <w:rPr>
          <w:rStyle w:val="FootnoteAnchor"/>
          <w:rtl w:val="true"/>
        </w:rPr>
        <w:footnoteReference w:id="1270"/>
      </w:r>
      <w:r>
        <w:rPr>
          <w:rFonts w:ascii="Amiri" w:hAnsi="Amiri" w:eastAsia="Amiri" w:cs="Amiri"/>
          <w:color w:val="111111"/>
          <w:sz w:val="28"/>
          <w:sz w:val="28"/>
          <w:szCs w:val="28"/>
          <w:rtl w:val="true"/>
          <w:lang w:bidi="ar-SA"/>
        </w:rPr>
        <w:t>عليه عليه السلامُ ألّادَلَّ علىٰ نفسِه‌؟ و ألّا قامَ‌</w:t>
      </w:r>
      <w:r>
        <w:rPr>
          <w:rStyle w:val="FootnoteAnchor"/>
          <w:rtl w:val="true"/>
        </w:rPr>
        <w:footnoteReference w:id="1271"/>
      </w:r>
      <w:r>
        <w:rPr>
          <w:rFonts w:ascii="Amiri" w:hAnsi="Amiri" w:eastAsia="Amiri" w:cs="Amiri"/>
          <w:color w:val="111111"/>
          <w:sz w:val="28"/>
          <w:sz w:val="28"/>
          <w:szCs w:val="28"/>
          <w:rtl w:val="true"/>
          <w:lang w:bidi="ar-SA"/>
        </w:rPr>
        <w:t xml:space="preserve">مَقاماً </w:t>
      </w:r>
    </w:p>
    <w:p>
      <w:pPr>
        <w:pStyle w:val="BookText"/>
        <w:rPr/>
      </w:pPr>
      <w:r>
        <w:rPr>
          <w:rFonts w:ascii="Amiri" w:hAnsi="Amiri" w:eastAsia="Amiri" w:cs="Amiri"/>
          <w:color w:val="111111"/>
          <w:sz w:val="28"/>
          <w:sz w:val="28"/>
          <w:szCs w:val="28"/>
          <w:rtl w:val="true"/>
          <w:lang w:bidi="ar-SA"/>
        </w:rPr>
        <w:t>واحداً يُذكِّرُهم النَّصَّ عليه‌؟ بَل رُوِّينا و رُوِّيتم أنّه بايَعَ أبا بَكرٍ؛ فقُلتم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فهاتوا فَصلاً كشُهرةِ هذه البَيعةِ و وضوحِها، و إلّافقَد أتيتم لنا فَصلاً لَسنا نَتبيَّنُ لكم عليه عِلّةً‌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الآنَ في أيدينا إيجابُه البَيعةَ‌</w:t>
      </w:r>
      <w:r>
        <w:rPr>
          <w:rStyle w:val="FootnoteAnchor"/>
          <w:rtl w:val="true"/>
        </w:rPr>
        <w:footnoteReference w:id="1273"/>
      </w:r>
      <w:r>
        <w:rPr>
          <w:rFonts w:ascii="Amiri" w:hAnsi="Amiri" w:eastAsia="Amiri" w:cs="Amiri"/>
          <w:color w:val="111111"/>
          <w:sz w:val="28"/>
          <w:sz w:val="28"/>
          <w:szCs w:val="28"/>
          <w:rtl w:val="true"/>
          <w:lang w:bidi="ar-SA"/>
        </w:rPr>
        <w:t>و إقرارُه بها و إجابتُه إليها و صحّةُ وقوعِها، و لَيسَ ما أَجمَعتم عليه معنا كما فيه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خالَفتمونا</w:t>
      </w:r>
      <w:r>
        <w:rPr>
          <w:rStyle w:val="FootnoteAnchor"/>
          <w:rtl w:val="true"/>
        </w:rPr>
        <w:footnoteReference w:id="1274"/>
      </w:r>
      <w:r>
        <w:rPr>
          <w:rFonts w:ascii="IRNazanin" w:hAnsi="IRNazanin" w:eastAsia="IRNazanin"/>
          <w:color w:val="111111"/>
          <w:sz w:val="28"/>
          <w:sz w:val="28"/>
          <w:szCs w:val="28"/>
          <w:rtl w:val="true"/>
          <w:lang w:bidi="fa-IR"/>
        </w:rPr>
        <w:t>فقولوا</w:t>
      </w:r>
      <w:r>
        <w:rPr>
          <w:rStyle w:val="FootnoteAnchor"/>
          <w:rtl w:val="true"/>
        </w:rPr>
        <w:footnoteReference w:id="1275"/>
      </w:r>
      <w:r>
        <w:rPr>
          <w:rFonts w:ascii="Amiri" w:hAnsi="Amiri" w:eastAsia="Amiri" w:cs="Amiri"/>
          <w:color w:val="111111"/>
          <w:sz w:val="28"/>
          <w:sz w:val="28"/>
          <w:szCs w:val="28"/>
          <w:rtl w:val="true"/>
          <w:lang w:bidi="ar-SA"/>
        </w:rPr>
        <w:t>و أَنصِفوا، و اعلَموا أنّنا لا نَقبَلُ‌</w:t>
      </w:r>
      <w:r>
        <w:rPr>
          <w:rStyle w:val="FootnoteAnchor"/>
          <w:rtl w:val="true"/>
        </w:rPr>
        <w:footnoteReference w:id="1276"/>
      </w:r>
      <w:r>
        <w:rPr>
          <w:rFonts w:ascii="Amiri" w:hAnsi="Amiri" w:eastAsia="Amiri" w:cs="Amiri"/>
          <w:color w:val="111111"/>
          <w:sz w:val="28"/>
          <w:sz w:val="28"/>
          <w:szCs w:val="28"/>
          <w:rtl w:val="true"/>
          <w:lang w:bidi="ar-SA"/>
        </w:rPr>
        <w:t>منكم إلّاما شاكَلَ في الشُّهرةِ أمرَ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أنّا قد بيّنّا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الشافي</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في</w:t>
      </w:r>
      <w:r>
        <w:rPr>
          <w:rStyle w:val="FootnoteAnchor"/>
          <w:rtl w:val="true"/>
        </w:rPr>
        <w:footnoteReference w:id="1278"/>
      </w:r>
      <w:r>
        <w:rPr>
          <w:rFonts w:ascii="Amiri" w:hAnsi="Amiri" w:eastAsia="Amiri" w:cs="Amiri"/>
          <w:color w:val="111111"/>
          <w:sz w:val="28"/>
          <w:sz w:val="28"/>
          <w:szCs w:val="28"/>
          <w:rtl w:val="true"/>
          <w:lang w:bidi="ar-SA"/>
        </w:rPr>
        <w:t>الكلامِ‌</w:t>
      </w:r>
      <w:r>
        <w:rPr>
          <w:rStyle w:val="FootnoteAnchor"/>
          <w:rtl w:val="true"/>
        </w:rPr>
        <w:footnoteReference w:id="1279"/>
      </w:r>
      <w:r>
        <w:rPr>
          <w:rFonts w:ascii="Amiri" w:hAnsi="Amiri" w:eastAsia="Amiri" w:cs="Amiri"/>
          <w:color w:val="111111"/>
          <w:sz w:val="28"/>
          <w:sz w:val="28"/>
          <w:szCs w:val="28"/>
          <w:rtl w:val="true"/>
          <w:lang w:bidi="ar-SA"/>
        </w:rPr>
        <w:t xml:space="preserve">و في كتابِنا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الإمامةِ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إظهارِ أميرِ المؤمنينَ عليه السلامُ مُبايَعةَ أبي بَكرٍ، و كَفِّه عن مُنازَعتِه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ذِكرِ جُملةٍ هاهُنا يُستَغنىٰ بها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في ابتداءِ ما ذُكِرَ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تَعالىٰ نَصَّ علىٰ‌ </w:t>
      </w:r>
    </w:p>
    <w:p>
      <w:pPr>
        <w:pStyle w:val="BookText"/>
        <w:rPr/>
      </w:pPr>
      <w:r>
        <w:rPr>
          <w:rFonts w:ascii="Amiri" w:hAnsi="Amiri" w:eastAsia="Amiri" w:cs="Amiri"/>
          <w:color w:val="111111"/>
          <w:sz w:val="28"/>
          <w:sz w:val="28"/>
          <w:szCs w:val="28"/>
          <w:rtl w:val="true"/>
          <w:lang w:bidi="ar-SA"/>
        </w:rPr>
        <w:t>أميرِ المؤمنينَ عليه السلامُ بالإمامةِ‌، و تقسيمِ حالِه في القُدرةِ علَى القيامِ بها أو العجزِ</w:t>
      </w:r>
      <w:r>
        <w:rPr>
          <w:rStyle w:val="FootnoteAnchor"/>
          <w:rtl w:val="true"/>
        </w:rPr>
        <w:footnoteReference w:id="1281"/>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ما كَلَّفَه القيامَ مِن الإمامةِ إلّابما يُطيقُه و يَستَطيعُه و تَفضُلُ قُدرتُه عليه و يَزيدُ أضعافاً، غيرَ أنّ الفاعلَ و إن كانَ قادراً فلا بُدَّ في</w:t>
      </w:r>
      <w:r>
        <w:rPr>
          <w:rStyle w:val="FootnoteAnchor"/>
          <w:rtl w:val="true"/>
        </w:rPr>
        <w:footnoteReference w:id="1282"/>
      </w:r>
      <w:r>
        <w:rPr>
          <w:rFonts w:ascii="Amiri" w:hAnsi="Amiri" w:eastAsia="Amiri" w:cs="Amiri"/>
          <w:color w:val="111111"/>
          <w:sz w:val="28"/>
          <w:sz w:val="28"/>
          <w:szCs w:val="28"/>
          <w:rtl w:val="true"/>
          <w:lang w:bidi="ar-SA"/>
        </w:rPr>
        <w:t xml:space="preserve">وقوعِ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قادراً عليه </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علىٰ ما أَوجَبَه اللّٰهُ و اقتَضاه العقلُ‌</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السبَبُ في أنّه عليه السلامُ لَم</w:t>
      </w:r>
      <w:r>
        <w:rPr>
          <w:rStyle w:val="FootnoteAnchor"/>
          <w:rtl w:val="true"/>
        </w:rPr>
        <w:footnoteReference w:id="1285"/>
      </w:r>
      <w:r>
        <w:rPr>
          <w:rFonts w:ascii="Amiri" w:hAnsi="Amiri" w:eastAsia="Amiri" w:cs="Amiri"/>
          <w:color w:val="111111"/>
          <w:sz w:val="28"/>
          <w:sz w:val="28"/>
          <w:szCs w:val="28"/>
          <w:rtl w:val="true"/>
          <w:lang w:bidi="ar-SA"/>
        </w:rPr>
        <w:t>يُدبِّرْ أمرَ الأُمّةِ و لَم</w:t>
      </w:r>
      <w:r>
        <w:rPr>
          <w:rStyle w:val="FootnoteAnchor"/>
          <w:rtl w:val="true"/>
        </w:rPr>
        <w:footnoteReference w:id="1286"/>
      </w:r>
      <w:r>
        <w:rPr>
          <w:rFonts w:ascii="Amiri" w:hAnsi="Amiri" w:eastAsia="Amiri" w:cs="Amiri"/>
          <w:color w:val="111111"/>
          <w:sz w:val="28"/>
          <w:sz w:val="28"/>
          <w:szCs w:val="28"/>
          <w:rtl w:val="true"/>
          <w:lang w:bidi="ar-SA"/>
        </w:rPr>
        <w:t>يَتصرَّفْ فيهم كما أَوجَبَه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مَنَعوه مِن ذلكَ‌؛ لأنّهم عَقَدوا الإمامةَ لغَيرِه، و دَخَّلوها</w:t>
      </w:r>
      <w:r>
        <w:rPr>
          <w:rStyle w:val="FootnoteAnchor"/>
          <w:rtl w:val="true"/>
        </w:rPr>
        <w:footnoteReference w:id="1287"/>
      </w:r>
      <w:r>
        <w:rPr>
          <w:rFonts w:ascii="Amiri" w:hAnsi="Amiri" w:eastAsia="Amiri" w:cs="Amiri"/>
          <w:color w:val="111111"/>
          <w:sz w:val="28"/>
          <w:sz w:val="28"/>
          <w:szCs w:val="28"/>
          <w:rtl w:val="true"/>
          <w:lang w:bidi="ar-SA"/>
        </w:rPr>
        <w:t>في سِواه، و ادَّعَوا أنّهم قد أَجمَعوا علىٰ إمامةِ غيرِه، و أنّ مَن خالَفَه و عَصاه و تأخَّرَ عن بَيعتِه مارِقٌ‌</w:t>
      </w:r>
      <w:r>
        <w:rPr>
          <w:rStyle w:val="FootnoteAnchor"/>
          <w:rtl w:val="true"/>
        </w:rPr>
        <w:footnoteReference w:id="1288"/>
      </w:r>
      <w:r>
        <w:rPr>
          <w:rFonts w:ascii="Amiri" w:hAnsi="Amiri" w:eastAsia="Amiri" w:cs="Amiri"/>
          <w:color w:val="111111"/>
          <w:sz w:val="28"/>
          <w:sz w:val="28"/>
          <w:szCs w:val="28"/>
          <w:rtl w:val="true"/>
          <w:lang w:bidi="ar-SA"/>
        </w:rPr>
        <w:t>و لِعَصا الدينِ شاقٌّ‌</w:t>
      </w:r>
      <w:r>
        <w:rPr>
          <w:rStyle w:val="FootnoteAnchor"/>
          <w:rtl w:val="true"/>
        </w:rPr>
        <w:footnoteReference w:id="1289"/>
      </w:r>
      <w:r>
        <w:rPr>
          <w:rFonts w:ascii="Amiri" w:hAnsi="Amiri" w:eastAsia="Amiri" w:cs="Amiri"/>
          <w:color w:val="111111"/>
          <w:sz w:val="28"/>
          <w:sz w:val="28"/>
          <w:szCs w:val="28"/>
          <w:rtl w:val="true"/>
          <w:lang w:bidi="ar-SA"/>
        </w:rPr>
        <w:t xml:space="preserve">و هذا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السلامُ مِن أن يَفعَلَ ما كُلِّفَه قويٌّ‌، فلا لَومَ‌</w:t>
      </w:r>
      <w:r>
        <w:rPr>
          <w:rStyle w:val="FootnoteAnchor"/>
          <w:rtl w:val="true"/>
        </w:rPr>
        <w:footnoteReference w:id="1290"/>
      </w:r>
      <w:r>
        <w:rPr>
          <w:rFonts w:ascii="Amiri" w:hAnsi="Amiri" w:eastAsia="Amiri" w:cs="Amiri"/>
          <w:color w:val="111111"/>
          <w:sz w:val="28"/>
          <w:sz w:val="28"/>
          <w:szCs w:val="28"/>
          <w:rtl w:val="true"/>
          <w:lang w:bidi="ar-SA"/>
        </w:rPr>
        <w:t>علىٰ تكليفِه تَعالىٰ مِن التصَرُّفِ فيها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مَنَعَه عليه السلامُ مِن أن يَقومَ مَقاماً يُذكِّرُهم فيه حَقَّه، هو ما ذَكرنا بعضَه، و أشَرنا إلىٰ جميعِه؛ فكَيفَ يَطمَعُ في رُجوعِ القومِ بالتذكيرِ و التبصيرِ، و هو عليه السلامُ قد شاهَدَهم خالَفوا الرسولَ صَلَّى اللّٰهُ عليه و آلِه جِهاراً و عِياناً، و </w:t>
      </w:r>
    </w:p>
    <w:p>
      <w:pPr>
        <w:pStyle w:val="BookText"/>
        <w:rPr/>
      </w:pPr>
      <w:r>
        <w:rPr>
          <w:rFonts w:ascii="Amiri" w:hAnsi="Amiri" w:eastAsia="Amiri" w:cs="Amiri"/>
          <w:color w:val="111111"/>
          <w:sz w:val="28"/>
          <w:sz w:val="28"/>
          <w:szCs w:val="28"/>
          <w:rtl w:val="true"/>
          <w:lang w:bidi="ar-SA"/>
        </w:rPr>
        <w:t>عَدَلوا عمّن نَصَّ عليه، و أشَرنا</w:t>
      </w:r>
      <w:r>
        <w:rPr>
          <w:rStyle w:val="FootnoteAnchor"/>
          <w:rtl w:val="true"/>
        </w:rPr>
        <w:footnoteReference w:id="1291"/>
      </w:r>
      <w:r>
        <w:rPr>
          <w:rFonts w:ascii="Amiri" w:hAnsi="Amiri" w:eastAsia="Amiri" w:cs="Amiri"/>
          <w:color w:val="111111"/>
          <w:sz w:val="28"/>
          <w:sz w:val="28"/>
          <w:szCs w:val="28"/>
          <w:rtl w:val="true"/>
          <w:lang w:bidi="ar-SA"/>
        </w:rPr>
        <w:t>بالإمامةِ إليه‌؟ هذا مع قُربِ العَهدِ، الذي لا يَقَعُ في مِثلِه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w:t>
      </w:r>
      <w:r>
        <w:rPr>
          <w:rStyle w:val="FootnoteAnchor"/>
          <w:rtl w:val="true"/>
        </w:rPr>
        <w:footnoteReference w:id="1292"/>
      </w:r>
      <w:r>
        <w:rPr>
          <w:rFonts w:ascii="Amiri" w:hAnsi="Amiri" w:eastAsia="Amiri" w:cs="Amiri"/>
          <w:color w:val="111111"/>
          <w:sz w:val="28"/>
          <w:sz w:val="28"/>
          <w:szCs w:val="28"/>
          <w:rtl w:val="true"/>
          <w:lang w:bidi="ar-SA"/>
        </w:rPr>
        <w:t>لَم يُطِعْ رَبَّه تَعالىٰ و خالَفَ نَبيَّه صَلَّى اللّٰهُ عليه و آلِه كَيفَ يَطمَعُ طامعٌ في إجابتِه و يَرجو رُجوعَه و طاعتَه‌؟</w:t>
      </w:r>
    </w:p>
    <w:p>
      <w:pPr>
        <w:pStyle w:val="BookText"/>
        <w:rPr/>
      </w:pPr>
      <w:r>
        <w:rPr>
          <w:rFonts w:ascii="Amiri" w:hAnsi="Amiri" w:eastAsia="Amiri" w:cs="Amiri"/>
          <w:color w:val="111111"/>
          <w:sz w:val="28"/>
          <w:sz w:val="28"/>
          <w:szCs w:val="28"/>
          <w:rtl w:val="true"/>
          <w:lang w:bidi="ar-SA"/>
        </w:rPr>
        <w:t>و أمّا أميرُ المؤمنينَ عليه السلامُ‌، فما بايَعَ أبا بَكرٍ قَطُّ، و لا رَضيَ بإمامتِه و سَلَّمَ صحّتَها</w:t>
      </w:r>
      <w:r>
        <w:rPr>
          <w:rStyle w:val="FootnoteAnchor"/>
          <w:rtl w:val="true"/>
        </w:rPr>
        <w:footnoteReference w:id="1293"/>
      </w:r>
      <w:r>
        <w:rPr>
          <w:rFonts w:ascii="Amiri" w:hAnsi="Amiri" w:eastAsia="Amiri" w:cs="Amiri"/>
          <w:color w:val="111111"/>
          <w:sz w:val="28"/>
          <w:sz w:val="28"/>
          <w:szCs w:val="28"/>
          <w:rtl w:val="true"/>
          <w:lang w:bidi="ar-SA"/>
        </w:rPr>
        <w:t xml:space="preserve">و افتَرَضَ علىٰ نفسِه طاعتَه، و إنّما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رَضيَ‌، بأن كَفَّ عن المُنازَعةِ و المُجاذَبةِ‌، بَعدَ أن كانَ أظهَرَ السُّخطَ و الكَراهيَةَ هو و جَماعةُ بَني هاشمٍ و جَماعةٌ مِن المُهاجِرينَ و الأنصارِ، و تأخَّروا عن البَيعةِ‌، و جَرَت في ذلكَ مِن المُراسَلاتِ و المُراجَعاتِ و المُعاتَباتِ و التهويلاتِ و التهديداتِ ما هو مَسطورٌ في كُتُبِ العامّةِ فَضلاً عن الخاصّةِ‌، فأَوجَبَت الحالُ الكَفَّ عن إظهارِ المُنازَعةِ و الإمساكَ عن المُخالَفةِ‌، حتّىٰ لا يَنتَشِرَ الحَبلُ و يَتفرَّقَ الشَّملُ‌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المُخالِفُ يَدَّعي غيرَ هذا الذي ذَكرناه، فهو دَعوىً عاريةٌ مِن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يَرِدْ علَى المُخالِفِ‌</w:t>
      </w:r>
      <w:r>
        <w:rPr>
          <w:rStyle w:val="FootnoteAnchor"/>
          <w:rtl w:val="true"/>
        </w:rPr>
        <w:footnoteReference w:id="1294"/>
      </w:r>
      <w:r>
        <w:rPr>
          <w:rFonts w:ascii="Amiri" w:hAnsi="Amiri" w:eastAsia="Amiri" w:cs="Amiri"/>
          <w:color w:val="111111"/>
          <w:sz w:val="28"/>
          <w:sz w:val="28"/>
          <w:szCs w:val="28"/>
          <w:rtl w:val="true"/>
          <w:lang w:bidi="ar-SA"/>
        </w:rPr>
        <w:t>ما ذَكرناه، فلا حُجّةَ في القَدرِ المعروفِ‌</w:t>
      </w:r>
      <w:r>
        <w:rPr>
          <w:rStyle w:val="FootnoteAnchor"/>
          <w:rtl w:val="true"/>
        </w:rPr>
        <w:footnoteReference w:id="1295"/>
      </w:r>
      <w:r>
        <w:rPr>
          <w:rFonts w:ascii="Amiri" w:hAnsi="Amiri" w:eastAsia="Amiri" w:cs="Amiri"/>
          <w:color w:val="111111"/>
          <w:sz w:val="28"/>
          <w:sz w:val="28"/>
          <w:szCs w:val="28"/>
          <w:rtl w:val="true"/>
          <w:lang w:bidi="ar-SA"/>
        </w:rPr>
        <w:t>لأنّ إظهارَ الرضا عندَ الأسبابِ التي جَرَت لا يَدُلُّ علىٰ رضا القُلوبِ و تسليمِ الصدورِ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الترجيحُ علينا بأنّنا نُسلِّمُ البَيعةَ الظاهرةَ‌، و نَدَّعي أُموراً باطنةً مِن الإكراهِ‌ </w:t>
      </w:r>
    </w:p>
    <w:p>
      <w:pPr>
        <w:pStyle w:val="BookText"/>
        <w:rPr/>
      </w:pPr>
      <w:r>
        <w:rPr>
          <w:rFonts w:ascii="Amiri" w:hAnsi="Amiri" w:eastAsia="Amiri" w:cs="Amiri"/>
          <w:color w:val="111111"/>
          <w:sz w:val="28"/>
          <w:sz w:val="28"/>
          <w:szCs w:val="28"/>
          <w:rtl w:val="true"/>
          <w:lang w:bidi="ar-SA"/>
        </w:rPr>
        <w:t>و السُّخطِ، فغَيرُ صحيحٍ‌؛ لأنّ سُخطَ أميرِ المؤمنينَ عليه السلامُ و تأخُّرَه عن البَيعةِ و إظهارَه</w:t>
      </w:r>
      <w:r>
        <w:rPr>
          <w:rStyle w:val="FootnoteAnchor"/>
          <w:rtl w:val="true"/>
        </w:rPr>
        <w:footnoteReference w:id="1296"/>
      </w:r>
      <w:r>
        <w:rPr>
          <w:rFonts w:ascii="Amiri" w:hAnsi="Amiri" w:eastAsia="Amiri" w:cs="Amiri"/>
          <w:color w:val="111111"/>
          <w:sz w:val="28"/>
          <w:sz w:val="28"/>
          <w:szCs w:val="28"/>
          <w:rtl w:val="true"/>
          <w:lang w:bidi="ar-SA"/>
        </w:rPr>
        <w:t>الغضبَ لمّا عُقِدَ الأمرُ لغَيرِه هو المعلومُ ضرورةً‌، و الذي لا خِلافَ بَينَ العقلاءِ فيه، ثُمَّ كَفَّ بَعدَ ذلكَ عن إظهارِ المُنازَعةِ و المُجاذَبةِ‌، و إن كانَ عليه السلامُ في خَلَواتِه و بَينَ أصحابِه و ثِقاتِه يَتألَّمُ و يَتظلَّمُ و يَقولُ أقوالاً مَرويّةً‌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ادَّعىٰ مِن مُخالِفينا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إجماعِهم مَعَنا علىٰ أنّه عليه السلامُ كانَ ساخِطاً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رَضيَ بقَلبِه و سَلَّمَ في سِرِّه، فعَلَيه الدَّلالةُ‌؛ لأنّه قد ادَّعىٰ ما الظاهرُ</w:t>
      </w:r>
      <w:r>
        <w:rPr>
          <w:rStyle w:val="FootnoteAnchor"/>
          <w:rtl w:val="true"/>
        </w:rPr>
        <w:footnoteReference w:id="1297"/>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يُعتَمَدُ عليه في أنّه عليه السلامُ كانَ ساخِطاً كارِهاً بقَلبِه و إن كانَ مُمسِكاً بلِسانِه</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أنّ النبيَّ صَلَّى اللّٰهُ عليه و آلِه نَصَّ عليه بالإمامةِ في مَقامٍ بَعدَ مَقامٍ و مَقالٍ بَعدَ مَقالٍ‌، و بما رَواه المُخالِفُ و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الغَديرِ، و قِصّةِ تَبوكَ‌</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w:t>
      </w:r>
      <w:r>
        <w:rPr>
          <w:rStyle w:val="FootnoteAnchor"/>
          <w:rtl w:val="true"/>
        </w:rPr>
        <w:footnoteReference w:id="1300"/>
      </w:r>
      <w:r>
        <w:rPr>
          <w:rFonts w:ascii="Amiri" w:hAnsi="Amiri" w:eastAsia="Amiri" w:cs="Amiri"/>
          <w:color w:val="111111"/>
          <w:sz w:val="28"/>
          <w:sz w:val="28"/>
          <w:szCs w:val="28"/>
          <w:rtl w:val="true"/>
          <w:lang w:bidi="ar-SA"/>
        </w:rPr>
        <w:t>هو ظاهرٌ في الروايةِ الخاصّةِ و إن كانَ قَليلاً في العامّةِ‌، مِن</w:t>
      </w:r>
      <w:r>
        <w:rPr>
          <w:rStyle w:val="FootnoteAnchor"/>
          <w:rtl w:val="true"/>
        </w:rPr>
        <w:footnoteReference w:id="1301"/>
      </w:r>
      <w:r>
        <w:rPr>
          <w:rFonts w:ascii="Amiri" w:hAnsi="Amiri" w:eastAsia="Amiri" w:cs="Amiri"/>
          <w:color w:val="111111"/>
          <w:sz w:val="28"/>
          <w:sz w:val="28"/>
          <w:szCs w:val="28"/>
          <w:rtl w:val="true"/>
          <w:lang w:bidi="ar-SA"/>
        </w:rPr>
        <w:t>خبرِ يَومِ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أنّه الإمامُ‌، فلا بُدَّ مِن أن يَكونَ كارهاً لعَقدِ الإمامةِ لغَيرِه، و أن يَكونَ ما فَعَلَه مِن إظهارِ البَيعةِ إنّما هو للتقيّةِ و الضرورةِ‌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شَكَّ مُخالِفونا في النَّصِّ دَلَلناهم عليه و أوضَحناه لهم؛ فإنّ الكلامَ في </w:t>
      </w:r>
    </w:p>
    <w:p>
      <w:pPr>
        <w:pStyle w:val="BookText"/>
        <w:rPr/>
      </w:pPr>
      <w:r>
        <w:rPr>
          <w:rFonts w:ascii="Amiri" w:hAnsi="Amiri" w:eastAsia="Amiri" w:cs="Amiri"/>
          <w:color w:val="111111"/>
          <w:sz w:val="28"/>
          <w:sz w:val="28"/>
          <w:szCs w:val="28"/>
          <w:rtl w:val="true"/>
          <w:lang w:bidi="ar-SA"/>
        </w:rPr>
        <w:t>تثبيتِ‌</w:t>
      </w:r>
      <w:r>
        <w:rPr>
          <w:rStyle w:val="FootnoteAnchor"/>
          <w:rtl w:val="true"/>
        </w:rPr>
        <w:footnoteReference w:id="1302"/>
      </w:r>
      <w:r>
        <w:rPr>
          <w:rFonts w:ascii="Amiri" w:hAnsi="Amiri" w:eastAsia="Amiri" w:cs="Amiri"/>
          <w:color w:val="111111"/>
          <w:sz w:val="28"/>
          <w:sz w:val="28"/>
          <w:szCs w:val="28"/>
          <w:rtl w:val="true"/>
          <w:lang w:bidi="ar-SA"/>
        </w:rPr>
        <w:t>النَّصِّ أَوضَحُ مِن الكلامِ في تَقيّتِه</w:t>
      </w:r>
      <w:r>
        <w:rPr>
          <w:rStyle w:val="FootnoteAnchor"/>
          <w:rtl w:val="true"/>
        </w:rPr>
        <w:footnoteReference w:id="1303"/>
      </w:r>
      <w:r>
        <w:rPr>
          <w:rFonts w:ascii="Amiri" w:hAnsi="Amiri" w:eastAsia="Amiri" w:cs="Amiri"/>
          <w:color w:val="111111"/>
          <w:sz w:val="28"/>
          <w:sz w:val="28"/>
          <w:szCs w:val="28"/>
          <w:rtl w:val="true"/>
          <w:lang w:bidi="ar-SA"/>
        </w:rPr>
        <w:t>و السبَبِ في إمساكِه، فلا شُبهةَ في أنّ ذلكَ كُلَّه بغَيرِ الرضا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يُسلِّمونا النَّصَّ كانَ كلامُهم في سببِ البيعةِ و عِلّةِ الإمساكِ لغواً و عبَثاً؛ لأنّ مَن لَيسَ بمنصوصٍ عليه و لا حَظَّ له في الإمامةِ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w:t>
      </w:r>
      <w:r>
        <w:rPr>
          <w:rStyle w:val="FootnoteAnchor"/>
          <w:rtl w:val="true"/>
        </w:rPr>
        <w:footnoteReference w:id="1304"/>
      </w:r>
      <w:r>
        <w:rPr>
          <w:rFonts w:ascii="Amiri" w:hAnsi="Amiri" w:eastAsia="Amiri" w:cs="Amiri"/>
          <w:color w:val="111111"/>
          <w:sz w:val="28"/>
          <w:sz w:val="28"/>
          <w:szCs w:val="28"/>
          <w:rtl w:val="true"/>
          <w:lang w:bidi="ar-SA"/>
        </w:rPr>
        <w:t>يُغالِبْ عليها و يُحارِبْ؟ و لا يُتعجَّبُ مِن مُبايَعتِه و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إظهارَ أميرِ المؤمنينَ عليه السلامُ بَيعةَ المُقدَّمينَ‌</w:t>
      </w:r>
      <w:r>
        <w:rPr>
          <w:rStyle w:val="FootnoteAnchor"/>
          <w:rtl w:val="true"/>
        </w:rPr>
        <w:footnoteReference w:id="1305"/>
      </w:r>
      <w:r>
        <w:rPr>
          <w:rFonts w:ascii="Amiri" w:hAnsi="Amiri" w:eastAsia="Amiri" w:cs="Amiri"/>
          <w:color w:val="111111"/>
          <w:sz w:val="28"/>
          <w:sz w:val="28"/>
          <w:szCs w:val="28"/>
          <w:rtl w:val="true"/>
          <w:lang w:bidi="ar-SA"/>
        </w:rPr>
        <w:t xml:space="preserve">عليه و إمساكَه عن مُجاهَدتِهم و كَفَّه عن مُكاشَفتِهم كانَ مِثلَ فِعلِ الحَسَنِ عليه السلامُ مع مُعاويةَ و بَيعةِ الأُمّةِ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الصالحونَ و الخيِّرونَ الفاضلونَ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و ابنِه يَزيدَ مِن بَعدِه و جميعِ مَن وَليَ الأمرَ مِن بَني مَروانَ‌، و مُخاطَبتِهم</w:t>
      </w:r>
      <w:r>
        <w:rPr>
          <w:rStyle w:val="FootnoteAnchor"/>
          <w:rtl w:val="true"/>
        </w:rPr>
        <w:footnoteReference w:id="1306"/>
      </w:r>
      <w:r>
        <w:rPr>
          <w:rFonts w:ascii="Amiri" w:hAnsi="Amiri" w:eastAsia="Amiri" w:cs="Amiri"/>
          <w:color w:val="111111"/>
          <w:sz w:val="28"/>
          <w:sz w:val="28"/>
          <w:szCs w:val="28"/>
          <w:rtl w:val="true"/>
          <w:lang w:bidi="ar-SA"/>
        </w:rPr>
        <w:t>لهُم بإمرةِ المؤمنينَ‌؛ فيَنبَغي أن يُستدَلَّ بذلكَ علَى استحقاقِهم للإمامةِ‌، و كَونِهم فيها علَى الحقِّ و الصوابِ‌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قُلنا كُلُّنا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هُناكَ غلبةٌ و قَهرٌ و استيلاءٌ‌، و لَم تَكُن القلوبُ راضيةً بما أظهَروا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الشيعةُ الإماميّةُ مِثلَ ذلكَ في بَيعةِ أميرِ المؤمنينَ عليه السَّلامُ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الإماميّةِ لِمَن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أيدينا</w:t>
      </w:r>
      <w:r>
        <w:rPr>
          <w:rStyle w:val="FootnoteAnchor"/>
          <w:rtl w:val="true"/>
        </w:rPr>
        <w:footnoteReference w:id="1307"/>
      </w:r>
      <w:r>
        <w:rPr>
          <w:rFonts w:ascii="Amiri" w:hAnsi="Amiri" w:eastAsia="Amiri" w:cs="Amiri"/>
          <w:color w:val="111111"/>
          <w:sz w:val="28"/>
          <w:sz w:val="28"/>
          <w:szCs w:val="28"/>
          <w:rtl w:val="true"/>
          <w:lang w:bidi="ar-SA"/>
        </w:rPr>
        <w:t xml:space="preserve">البَيعةُ و الرضا و التسليمُ‌، و ذلكَ هو الظاهرُ اللائحُ‌؛ و مَن ادَّعىٰ شيئاً في الباطنِ يُخالِفُ ذلكَ‌، </w:t>
      </w:r>
    </w:p>
    <w:p>
      <w:pPr>
        <w:pStyle w:val="BookText"/>
        <w:rPr/>
      </w:pPr>
      <w:r>
        <w:rPr>
          <w:rFonts w:ascii="Amiri" w:hAnsi="Amiri" w:eastAsia="Amiri" w:cs="Amiri"/>
          <w:color w:val="111111"/>
          <w:sz w:val="28"/>
          <w:sz w:val="28"/>
          <w:szCs w:val="28"/>
          <w:rtl w:val="true"/>
          <w:lang w:bidi="ar-SA"/>
        </w:rPr>
        <w:t>عليه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جوابُ المُعتزِلةِ‌</w:t>
      </w:r>
      <w:r>
        <w:rPr>
          <w:rStyle w:val="FootnoteAnchor"/>
          <w:rtl w:val="true"/>
        </w:rPr>
        <w:footnoteReference w:id="1308"/>
      </w:r>
      <w:r>
        <w:rPr>
          <w:rFonts w:ascii="Amiri" w:hAnsi="Amiri" w:eastAsia="Amiri" w:cs="Amiri"/>
          <w:color w:val="111111"/>
          <w:sz w:val="28"/>
          <w:sz w:val="28"/>
          <w:szCs w:val="28"/>
          <w:rtl w:val="true"/>
          <w:lang w:bidi="ar-SA"/>
        </w:rPr>
        <w:t>و مَن نَفىٰ إمامةَ هؤلاءِ الفُسّاقِ عن هذا الِاعتراضِ إذا اعتُرِضَ به في إمامةِ معاويةَ و يَزيدَ ابنِه و بَني مَروانَ‌، و هَيهاتَ أن يَجِدوا فَصلاً</w:t>
      </w:r>
      <w:r>
        <w:rPr>
          <w:rStyle w:val="FootnoteAnchor"/>
          <w:rtl w:val="true"/>
        </w:rPr>
        <w:footnoteReference w:id="1309"/>
      </w:r>
      <w:r>
        <w:rPr>
          <w:rFonts w:ascii="Amiri" w:hAnsi="Amiri" w:eastAsia="Amiri" w:cs="Amiri"/>
          <w:color w:val="111111"/>
          <w:sz w:val="28"/>
          <w:sz w:val="28"/>
          <w:szCs w:val="28"/>
          <w:rtl w:val="true"/>
          <w:lang w:bidi="ar-SA"/>
        </w:rPr>
        <w:t>بَينَ الأمرَينِ‌، ما أظَلَّت سَماءٌ أرضاً و خالَفَ الطولُ العَرضَ‌</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يُحمَلُ علىٰ قِلّةِ الفِكرِ فيما ذَكرناه و العَصَبيّةِ و الهَوىٰ‌، و نَعوذُ</w:t>
      </w:r>
      <w:r>
        <w:rPr>
          <w:rStyle w:val="FootnoteAnchor"/>
          <w:rtl w:val="true"/>
        </w:rPr>
        <w:footnoteReference w:id="1310"/>
      </w:r>
      <w:r>
        <w:rPr>
          <w:rFonts w:ascii="Amiri" w:hAnsi="Amiri" w:eastAsia="Amiri" w:cs="Amiri"/>
          <w:color w:val="111111"/>
          <w:sz w:val="28"/>
          <w:sz w:val="28"/>
          <w:szCs w:val="28"/>
          <w:rtl w:val="true"/>
          <w:lang w:bidi="ar-SA"/>
        </w:rPr>
        <w:t>باللّٰهِ مِن ذلكَ‌</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5" w:name="pg16425_221834"/>
      <w:bookmarkStart w:id="656" w:name="pg16425_221834"/>
      <w:bookmarkEnd w:id="656"/>
    </w:p>
    <w:p>
      <w:pPr>
        <w:pStyle w:val="Heading3"/>
        <w:numPr>
          <w:ilvl w:val="2"/>
          <w:numId w:val="1"/>
        </w:numPr>
        <w:rPr/>
      </w:pPr>
      <w:bookmarkStart w:id="657" w:name="pg16425_221834"/>
      <w:bookmarkStart w:id="658" w:name="__RefHeading___Toc7830331_1280447820"/>
      <w:bookmarkStart w:id="659" w:name="_Toc214"/>
      <w:bookmarkEnd w:id="657"/>
      <w:bookmarkEnd w:id="658"/>
      <w:r>
        <w:rPr>
          <w:rtl w:val="true"/>
        </w:rPr>
        <w:t>(</w:t>
      </w:r>
      <w:r>
        <w:rPr/>
        <w:t>63</w:t>
      </w:r>
      <w:r>
        <w:rPr>
          <w:rtl w:val="true"/>
        </w:rPr>
        <w:t xml:space="preserve">) </w:t>
      </w:r>
      <w:r>
        <w:rPr>
          <w:rtl w:val="true"/>
        </w:rPr>
        <w:t>مسألةٌ في عِلّةِ امتناعِ عليٍّ عليه السلام عن مُحارَبةِ الغاصبينَ لحَقِّه بَعدَ الرسولِ صلى الله عليه و آله</w:t>
      </w:r>
      <w:bookmarkEnd w:id="65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0" w:name="__RefHeading___Toc7830333_1280447820"/>
      <w:bookmarkStart w:id="661" w:name="_Toc215"/>
      <w:bookmarkEnd w:id="660"/>
      <w:r>
        <w:rPr>
          <w:rtl w:val="true"/>
        </w:rPr>
        <w:t>اشارة</w:t>
      </w:r>
      <w:bookmarkEnd w:id="66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2" w:name="pg16425_221836"/>
      <w:bookmarkStart w:id="663" w:name="pg16425_221836"/>
      <w:bookmarkEnd w:id="663"/>
    </w:p>
    <w:p>
      <w:pPr>
        <w:pStyle w:val="Heading4"/>
        <w:numPr>
          <w:ilvl w:val="3"/>
          <w:numId w:val="1"/>
        </w:numPr>
        <w:rPr/>
      </w:pPr>
      <w:bookmarkStart w:id="664" w:name="pg16425_221836"/>
      <w:bookmarkStart w:id="665" w:name="__RefHeading___Toc7830335_1280447820"/>
      <w:bookmarkStart w:id="666" w:name="_Toc216"/>
      <w:bookmarkEnd w:id="664"/>
      <w:bookmarkEnd w:id="665"/>
      <w:r>
        <w:rPr>
          <w:rtl w:val="true"/>
        </w:rPr>
        <w:t>مقدّمة التحقيق</w:t>
      </w:r>
      <w:bookmarkEnd w:id="666"/>
    </w:p>
    <w:p>
      <w:pPr>
        <w:pStyle w:val="Heading5"/>
        <w:numPr>
          <w:ilvl w:val="4"/>
          <w:numId w:val="1"/>
        </w:numPr>
        <w:rPr/>
      </w:pPr>
      <w:bookmarkStart w:id="667" w:name="__RefHeading___Toc7830337_1280447820"/>
      <w:bookmarkStart w:id="668" w:name="_Toc217"/>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لقد أثارت إمامة أمير المؤمنين عليه السلامُ و نصبه من قِبَل رسول اللّٰه صلّى اللّٰهُ عليه و آلِه إشكالات عديدة من قِبَل المخالفين، أدّت إلى أن ينبري علماء الشيعة للردّ عليها و بيان وجوه الخطأ فيها؛ و من تلك الإشكالات التي طرحت حول ذلك و خُصّصت له هذه الرسالة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يقف عليه السلامُ بوجه الحكم القائم، و يحارب الذين أنكروا إمامته، و يسترجع حقّه بالقوّة‌؟</w:t>
      </w:r>
    </w:p>
    <w:p>
      <w:pPr>
        <w:pStyle w:val="BookText"/>
        <w:rPr/>
      </w:pPr>
      <w:r>
        <w:rPr>
          <w:rFonts w:ascii="Amiri" w:hAnsi="Amiri" w:eastAsia="Amiri" w:cs="Amiri"/>
          <w:color w:val="111111"/>
          <w:sz w:val="28"/>
          <w:sz w:val="28"/>
          <w:szCs w:val="28"/>
          <w:rtl w:val="true"/>
          <w:lang w:bidi="ar-SA"/>
        </w:rPr>
        <w:t>إنّ جواب علماء الشيعة عادة على هذا الإشكال هو أنّه عليه السلامُ لو قام بذلك لارتدّ الناس، و عادوا إلى الكفر، مع قُرب عهدهم به، و لذلك امتنع عليه السلامُ من القتال دفعاً للفساد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هناك إشكال قد يرد على هذا الجواب، و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إمامته عليه السلامُ من المصالح الدينيّة التي لا غنى عنها، و مع ذلك يتعلّق بها الفساد و الردّة‌؟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الردّة التي كان يَخاف عليه السلامُ منها، أ وَ لستم تدّعون أنّ كلّ من خالف النصّ و جحده يكون كافراً مرتدّاً؟ فكأنّه عليه السلامُ في هذه الصورة قد خاف ممّا هو واقع أصلاً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محتوى الإشكال المطروح في هذه الرسالة و الذي قام الشريف المرتضى بالإجابة عليه، حيث أجاب على الإشكال الأوّل بعد تقديم مقدّمة، مفادها </w:t>
      </w:r>
    </w:p>
    <w:p>
      <w:pPr>
        <w:pStyle w:val="BookText"/>
        <w:rPr/>
      </w:pPr>
      <w:r>
        <w:rPr>
          <w:rFonts w:ascii="Amiri" w:hAnsi="Amiri" w:eastAsia="Amiri" w:cs="Amiri"/>
          <w:color w:val="111111"/>
          <w:sz w:val="28"/>
          <w:sz w:val="28"/>
          <w:szCs w:val="28"/>
          <w:rtl w:val="true"/>
          <w:lang w:bidi="ar-SA"/>
        </w:rPr>
        <w:t>أنّ اللّٰه تعالى قد فعل ما فيه مصلحة في دين الناس من نصب أمير المؤمنين عليه السلامُ للإ مامة، و قد كان تحقُّق هذه المصلحة متوقّفاً على تمكين الناس له من تسلّم الحكم و السلطة، فإن لم يمكّنوه من ذلك، فهم الملومون على تركهم ذلك، و تقصيرهم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بيّن جوابه على الإشكال الأصلي حول سبب ترك أمير المؤمنين عليه السلامُ محاربة القوم، و عدم استرجاع حقّه بالقوّة، فأجاب بطريقة أُخرى غير ما تقدّم في جواب علماء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الهدف من الحرب أن يرجع القوم إلى الحقّ‌، فقد يمكن أن يَعلم عليه السلامُ من دراسة أحوالهم و اطّلاعه عليها أنّهم لا يرجعون حتّى مع الحرب، بل يصرّون على موقفهم الرافض له، فحينئذ لا تبقى فائدة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الهدف منها هو ما يجب على الإمام من جهاد الباغي، فإنّ هذا إنّما يجب مع التمكّن منه و القدرة عليه، و لم تكن له عليه السلامُ تلك القدرة في ذلك الوقت، و هذا كاف في سقوط فرض الحرب و وجوبها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إلى الجواب المطروح من قِبَل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سبب ترك الحرب الخوف من ارتداد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عليه بأنّ هذا سيؤدّي إلى أن تتحوّل الإمامة من مصلحة دينيّة إلى مفسدة، فقد أجاب الشريف المرتضى عليه بأنّه لو أدّى جهاد الباغي إلى الفساد و الارتداد لكان قبيحاً، لكن هذا لا يؤدّي إلى أن تصير الإمامة بنفسها قبيحة أيضاً، فإنّ تدبير الإمام لأُمور الأُمّة و رعاية مصالحها لا يكون قبيحاً، و إنّما قد يعرض الفساد لأمر خارج، و هو جهاد 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ليس الأمر كما جاء في الإشكال، فإنّ الإمامة سوف تبقى على حُسنها، و لن تتحوّل إلى أمر قبيح، بل الفساد و القبح يكون لأمر خارج عارض</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إلى الإشكال الثاني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من أيّ شيء كان يخاف ما دام الجميع كانوا قد ارتدّوا بإنكارهم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عنه الشريف المرتضى </w:t>
      </w:r>
    </w:p>
    <w:p>
      <w:pPr>
        <w:pStyle w:val="BookText"/>
        <w:rPr/>
      </w:pPr>
      <w:r>
        <w:rPr>
          <w:rFonts w:ascii="Amiri" w:hAnsi="Amiri" w:eastAsia="Amiri" w:cs="Amiri"/>
          <w:color w:val="111111"/>
          <w:sz w:val="28"/>
          <w:sz w:val="28"/>
          <w:szCs w:val="28"/>
          <w:rtl w:val="true"/>
          <w:lang w:bidi="ar-SA"/>
        </w:rPr>
        <w:t>بعدّة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خاف من ارتداد المستضعفين الذين ما كانوا مرتدّين قبل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يشير إلى نقطة مهمّة، و هي أنّه ليس كلّ منكِر للنصّ يكون مرتدّاً، بل الجاحد للنصّ عن علم هو الذي يكون مرتدّاً، أمّا من وردت عليه شبهة أدّت به إلى إنكار النصّ فلا يكون مرتدّاً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الكفر درجات و أنواع، فيكون بعضه أعظم من بعض، و يعود سبب هذا الاختلاف في الدرجة إمّا إلى أنّ عقاب بعض أنواع الكفر أغلظ من غيره، أو إلى أنّ بعض أنواعه يؤدّي إلى إضعاف الإسلام و طمع الأعداء به، فمثلاً إنكار النصّ و إن كان يُعدّ كفراً و ارتداداً، إلّاأنّ الأشدّ منه هو إعلان ترك الإسلام و نزع شعاره و هو يؤدّي إلىٰ إضعاف الإسلام، فلو حارب أميرُ المؤمنين عليه السلامُ القوم لخاف أن يعلنوا ترك الإسلام، و يقعوا في كفر أعظم من كفر إنكار النصّ‌، و لذلك ترك محاربتهم، دفعاً لفساد أشدّ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أظهر الشريف المرتضى شخصيّته العلميّة النادرة، حيث أضاف إلى جواب علماء الشيعة جواباً آخر، و لم يكتفِ بتكرار ما قاله الآخرون، و هو ما يمكن تسميته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إنتاج المعرفة و توليدها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أنّه لم يترك الإشكال على جواب علماء الشيعة بلا جواب، بل حاول أن يجيب عليه بكلّ علميّة و احتراف</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كانت هذه الرسالة قد طبعت في ضمن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bookmarkStart w:id="669" w:name="pg16425_221839"/>
    </w:p>
    <w:p>
      <w:pPr>
        <w:pStyle w:val="Heading5"/>
        <w:numPr>
          <w:ilvl w:val="4"/>
          <w:numId w:val="1"/>
        </w:numPr>
        <w:rPr/>
      </w:pPr>
      <w:bookmarkStart w:id="670" w:name="__RefHeading___Toc7830339_1280447820"/>
      <w:bookmarkStart w:id="671" w:name="_Toc218"/>
      <w:bookmarkEnd w:id="669"/>
      <w:bookmarkEnd w:id="670"/>
      <w:r>
        <w:rPr>
          <w:rtl w:val="true"/>
        </w:rPr>
        <w:t>مخطوطات الرسالة</w:t>
      </w:r>
      <w:bookmarkEnd w:id="671"/>
    </w:p>
    <w:p>
      <w:pPr>
        <w:pStyle w:val="Heading6"/>
        <w:numPr>
          <w:ilvl w:val="5"/>
          <w:numId w:val="1"/>
        </w:numPr>
        <w:rPr/>
      </w:pPr>
      <w:bookmarkStart w:id="672" w:name="__RefHeading___Toc7830341_1280447820"/>
      <w:bookmarkStart w:id="673" w:name="_Toc219"/>
      <w:bookmarkEnd w:id="672"/>
      <w:r>
        <w:rPr>
          <w:rtl w:val="true"/>
        </w:rPr>
        <w:t>ألف</w:t>
      </w:r>
      <w:r>
        <w:rPr>
          <w:rtl w:val="true"/>
        </w:rPr>
        <w:t xml:space="preserve">) </w:t>
      </w:r>
      <w:r>
        <w:rPr>
          <w:rtl w:val="true"/>
        </w:rPr>
        <w:t>النسخ المعتمدة</w:t>
      </w:r>
      <w:r>
        <w:rPr>
          <w:rtl w:val="true"/>
        </w:rPr>
        <w:t>:</w:t>
      </w:r>
      <w:bookmarkEnd w:id="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مخطوطة مكتبة آية اللّٰه الگلپايگاني رحمه اللّٰه بقمّ‌، المرقّمة </w:t>
      </w:r>
      <w:r>
        <w:rPr>
          <w:rFonts w:eastAsia="IRNazanin" w:cs="IRNazanin"/>
          <w:color w:val="111111"/>
          <w:sz w:val="28"/>
          <w:szCs w:val="28"/>
          <w:lang w:bidi="fa-IR"/>
        </w:rPr>
        <w:t>5787</w:t>
      </w:r>
      <w:r>
        <w:rPr>
          <w:rFonts w:ascii="IRNazanin" w:hAnsi="IRNazanin" w:eastAsia="IRNazanin"/>
          <w:color w:val="111111"/>
          <w:sz w:val="28"/>
          <w:sz w:val="28"/>
          <w:szCs w:val="28"/>
          <w:rtl w:val="true"/>
          <w:lang w:bidi="fa-IR"/>
        </w:rPr>
        <w:t xml:space="preserve">؛ تقع في الصفحات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المجموعة، 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6616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903/3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Heading6"/>
        <w:numPr>
          <w:ilvl w:val="5"/>
          <w:numId w:val="1"/>
        </w:numPr>
        <w:rPr/>
      </w:pPr>
      <w:bookmarkStart w:id="674" w:name="__RefHeading___Toc7830343_1280447820"/>
      <w:bookmarkStart w:id="675" w:name="_Toc220"/>
      <w:bookmarkEnd w:id="674"/>
      <w:r>
        <w:rPr>
          <w:rtl w:val="true"/>
        </w:rPr>
        <w:t>ب</w:t>
      </w:r>
      <w:r>
        <w:rPr>
          <w:rtl w:val="true"/>
        </w:rPr>
        <w:t xml:space="preserve">) </w:t>
      </w:r>
      <w:r>
        <w:rPr>
          <w:rtl w:val="true"/>
        </w:rPr>
        <w:t>سائر النسخ</w:t>
      </w:r>
      <w:r>
        <w:rPr>
          <w:rtl w:val="true"/>
        </w:rPr>
        <w:t>:</w:t>
      </w:r>
      <w:bookmarkEnd w:id="6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7539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bookmarkStart w:id="676" w:name="pg16425_221840"/>
    </w:p>
    <w:p>
      <w:pPr>
        <w:pStyle w:val="BookText"/>
        <w:rPr/>
      </w:pPr>
      <w:bookmarkEnd w:id="67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7830345_1280447820"/>
      <w:bookmarkStart w:id="678" w:name="_Toc221"/>
      <w:bookmarkEnd w:id="677"/>
      <w:r>
        <w:rPr>
          <w:rtl w:val="true"/>
        </w:rPr>
        <w:t>مسألةٌ في عِلّةِ امتناعِ عليٍّ عليه السلام عن مُحارَبةِ الغاصبينَ لحَقِّه بَعدَ الرسولِ صلى الله عليه و آله</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الأجَلُّ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شُيوخُكم يَعتَمِدونَ قَديماً و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امتناعِ أميرِ المؤمنينَ عليه السلامُ عن</w:t>
      </w:r>
      <w:r>
        <w:rPr>
          <w:rStyle w:val="FootnoteAnchor"/>
          <w:rtl w:val="true"/>
        </w:rPr>
        <w:footnoteReference w:id="1311"/>
      </w:r>
      <w:r>
        <w:rPr>
          <w:rFonts w:ascii="Amiri" w:hAnsi="Amiri" w:eastAsia="Amiri" w:cs="Amiri"/>
          <w:color w:val="111111"/>
          <w:sz w:val="28"/>
          <w:sz w:val="28"/>
          <w:szCs w:val="28"/>
          <w:rtl w:val="true"/>
          <w:lang w:bidi="ar-SA"/>
        </w:rPr>
        <w:t>مُحارَبتِه بَعدَ الرسولِ صَلَّى اللّٰهُ عليه و آلِه القومَ الخارجينَ عن طاعتِه الغاصبينَ لرُتبتِه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النازِلينَ بغَيرِ حَقٍّ في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Style w:val="FootnoteAnchor"/>
          <w:rtl w:val="true"/>
        </w:rPr>
        <w:footnoteReference w:id="1312"/>
      </w:r>
      <w:r>
        <w:rPr>
          <w:rFonts w:ascii="Amiri" w:hAnsi="Amiri" w:eastAsia="Amiri" w:cs="Amiri"/>
          <w:color w:val="111111"/>
          <w:sz w:val="28"/>
          <w:sz w:val="28"/>
          <w:szCs w:val="28"/>
          <w:rtl w:val="true"/>
          <w:lang w:bidi="ar-SA"/>
        </w:rPr>
        <w:t>عليه السلامُ عَلِمَ أنّه لَو شَرَعَ في ذلكَ لَارتَدَّ الناسُ مع قُربِ عهدِهم بالكُفرِ، و أنّه عليه السلامُ إنّما كَظَمَ و صَبَرَ حَذَراً مِن الفَسادِ الأعظَمِ‌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w:t>
      </w:r>
      <w:r>
        <w:rPr>
          <w:rStyle w:val="FootnoteAnchor"/>
          <w:rtl w:val="true"/>
        </w:rPr>
        <w:footnoteReference w:id="1313"/>
      </w:r>
      <w:r>
        <w:rPr>
          <w:rFonts w:ascii="Amiri" w:hAnsi="Amiri" w:eastAsia="Amiri" w:cs="Amiri"/>
          <w:color w:val="111111"/>
          <w:sz w:val="28"/>
          <w:sz w:val="28"/>
          <w:szCs w:val="28"/>
          <w:rtl w:val="true"/>
          <w:lang w:bidi="ar-SA"/>
        </w:rPr>
        <w:t>هذه الطريقةِ سؤالٌ صَعبٌ‌؛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تَكونَ‌</w:t>
      </w:r>
      <w:r>
        <w:rPr>
          <w:rStyle w:val="FootnoteAnchor"/>
          <w:rtl w:val="true"/>
        </w:rPr>
        <w:footnoteReference w:id="1314"/>
      </w:r>
      <w:r>
        <w:rPr>
          <w:rFonts w:ascii="Amiri" w:hAnsi="Amiri" w:eastAsia="Amiri" w:cs="Amiri"/>
          <w:color w:val="111111"/>
          <w:sz w:val="28"/>
          <w:sz w:val="28"/>
          <w:szCs w:val="28"/>
          <w:rtl w:val="true"/>
          <w:lang w:bidi="ar-SA"/>
        </w:rPr>
        <w:t xml:space="preserve">إمامتُه و فَرضُ طاعتِه مِن المَصالِحِ الدينيّةِ التي لا عِوَضَ عنها، و يَتعلَّقَ بها بعَينِها الفَسادُ </w:t>
      </w:r>
    </w:p>
    <w:p>
      <w:pPr>
        <w:pStyle w:val="BookText"/>
        <w:rPr/>
      </w:pPr>
      <w:r>
        <w:rPr>
          <w:rFonts w:ascii="Amiri" w:hAnsi="Amiri" w:eastAsia="Amiri" w:cs="Amiri"/>
          <w:color w:val="111111"/>
          <w:sz w:val="28"/>
          <w:sz w:val="28"/>
          <w:szCs w:val="28"/>
          <w:rtl w:val="true"/>
          <w:lang w:bidi="ar-SA"/>
        </w:rPr>
        <w:t>و الرِّدّةُ؟ لأنّه عليه السلامُ إذا كانَ الغرضُ في إمامتِه أن يَتصرَّفَ في الأُمّةِ‌</w:t>
      </w:r>
      <w:r>
        <w:rPr>
          <w:rStyle w:val="FootnoteAnchor"/>
          <w:rtl w:val="true"/>
        </w:rPr>
        <w:footnoteReference w:id="1315"/>
      </w:r>
      <w:r>
        <w:rPr>
          <w:rFonts w:ascii="Amiri" w:hAnsi="Amiri" w:eastAsia="Amiri" w:cs="Amiri"/>
          <w:color w:val="111111"/>
          <w:sz w:val="28"/>
          <w:sz w:val="28"/>
          <w:szCs w:val="28"/>
          <w:rtl w:val="true"/>
          <w:lang w:bidi="ar-SA"/>
        </w:rPr>
        <w:t>و يُدبِّرَ أُمورَهم، و كانَ لا سَبيلَ له إلىٰ ذلكَ إلّابما هو مَفسَدةٌ لهم و مُؤدٍّ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إلىٰ رِدّتِهم، فقَد تَعلَّقَ الِاستفسادُ بإمامتِه، و خَرَجَت مِن أن تَكونَ واجبةً إلىٰ أن تَكونَ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فأيُّ رِدّةٍ كانَ يَخافُ منها، و جميعُ مَن خالَفَ النصَّ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بدَفعِهم له؛ فكأنّه خافَ ممّا هو واقعٌ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Style w:val="FootnoteAnchor"/>
          <w:rtl w:val="true"/>
        </w:rPr>
        <w:footnoteReference w:id="1316"/>
      </w:r>
      <w:r>
        <w:rPr>
          <w:rFonts w:ascii="Amiri" w:hAnsi="Amiri" w:eastAsia="Amiri" w:cs="Amiri"/>
          <w:color w:val="111111"/>
          <w:sz w:val="28"/>
          <w:sz w:val="28"/>
          <w:szCs w:val="28"/>
          <w:rtl w:val="true"/>
          <w:lang w:bidi="ar-SA"/>
        </w:rPr>
        <w:t>أنّه لا صُعوبةَ في الجوابِ عن هذا السؤالِ لِمَن تأمَّلَ الأمرَ حَقَّ تأمُّلهِ‌</w:t>
      </w:r>
      <w:r>
        <w:rPr>
          <w:rStyle w:val="FootnoteAnchor"/>
          <w:rtl w:val="true"/>
        </w:rPr>
        <w:footnoteReference w:id="1317"/>
      </w:r>
      <w:r>
        <w:rPr>
          <w:rFonts w:ascii="Amiri" w:hAnsi="Amiri" w:eastAsia="Amiri" w:cs="Amiri"/>
          <w:color w:val="111111"/>
          <w:sz w:val="28"/>
          <w:sz w:val="28"/>
          <w:szCs w:val="28"/>
          <w:rtl w:val="true"/>
          <w:lang w:bidi="ar-SA"/>
        </w:rPr>
        <w:t xml:space="preserve">لأنّ اللّٰهَ تَعالىٰ إذا عَلِمَ أنّ المَصلَحةَ الدينيّةَ بَعدَ وفاةِ الرسولِ صَلَّى اللّٰهُ عليه و آلِه في إمامةِ أميرِ المؤمنينَ عليه السلامُ 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الأُمّةِ‌، وَجَبَ عليه أن يَنُصَّ علىٰ‌</w:t>
      </w:r>
      <w:r>
        <w:rPr>
          <w:rStyle w:val="FootnoteAnchor"/>
          <w:rtl w:val="true"/>
        </w:rPr>
        <w:footnoteReference w:id="1318"/>
      </w:r>
      <w:r>
        <w:rPr>
          <w:rFonts w:ascii="Amiri" w:hAnsi="Amiri" w:eastAsia="Amiri" w:cs="Amiri"/>
          <w:color w:val="111111"/>
          <w:sz w:val="28"/>
          <w:sz w:val="28"/>
          <w:szCs w:val="28"/>
          <w:rtl w:val="true"/>
          <w:lang w:bidi="ar-SA"/>
        </w:rPr>
        <w:t>إمامتِه و فَرضِ طاعتِه، و قد فَعَلَ ذلكَ النبيُّ صَلَّى اللّٰهُ عليه و آلِه بأمرِه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المَصلَحةُ في تدبيرِه لأُمورِ الأُمّةِ‌، إنّما يَتِمُّ بتمكينِهم له مِن النظَرِ</w:t>
      </w:r>
      <w:r>
        <w:rPr>
          <w:rStyle w:val="FootnoteAnchor"/>
          <w:rtl w:val="true"/>
        </w:rPr>
        <w:footnoteReference w:id="1319"/>
      </w:r>
      <w:r>
        <w:rPr>
          <w:rFonts w:ascii="Amiri" w:hAnsi="Amiri" w:eastAsia="Amiri" w:cs="Amiri"/>
          <w:color w:val="111111"/>
          <w:sz w:val="28"/>
          <w:sz w:val="28"/>
          <w:szCs w:val="28"/>
          <w:rtl w:val="true"/>
          <w:lang w:bidi="ar-SA"/>
        </w:rPr>
        <w:t>و التدبيرِ و الأمرِ و النهيِ و الحَلِّ و العقدِ، وَجَبَ أن يأمُرَهم بتمكينِه و يوجِبَ عليهم التخليةَ بَينَه و بَينَ تدبيرِه، و قد فَعَلَ ذلكَ أيضاً</w:t>
      </w:r>
      <w:r>
        <w:rPr>
          <w:rStyle w:val="FootnoteAnchor"/>
          <w:rtl w:val="true"/>
        </w:rPr>
        <w:footnoteReference w:id="1320"/>
      </w:r>
      <w:r>
        <w:rPr>
          <w:rFonts w:ascii="Amiri" w:hAnsi="Amiri" w:eastAsia="Amiri" w:cs="Amiri"/>
          <w:color w:val="111111"/>
          <w:sz w:val="28"/>
          <w:sz w:val="28"/>
          <w:szCs w:val="28"/>
          <w:rtl w:val="true"/>
          <w:lang w:bidi="ar-SA"/>
        </w:rPr>
        <w:t>علىٰ أَوكَدِ</w:t>
      </w:r>
      <w:r>
        <w:rPr>
          <w:rStyle w:val="FootnoteAnchor"/>
          <w:rtl w:val="true"/>
        </w:rPr>
        <w:footnoteReference w:id="1321"/>
      </w:r>
      <w:r>
        <w:rPr>
          <w:rFonts w:ascii="Amiri" w:hAnsi="Amiri" w:eastAsia="Amiri" w:cs="Amiri"/>
          <w:color w:val="111111"/>
          <w:sz w:val="28"/>
          <w:sz w:val="28"/>
          <w:szCs w:val="28"/>
          <w:rtl w:val="true"/>
          <w:lang w:bidi="ar-SA"/>
        </w:rPr>
        <w:t>الوجوهِ‌، فخالَفوا و عَصَوا، و اتَّبَعوا الهَوَى المُردي، و عَدَلوا عن الحَقِّ المُنجي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الحُجّةُ عليهم؛ لأنّه أزاحَ عِلّتَهم فيما به تَتِمُّ‌ </w:t>
      </w:r>
    </w:p>
    <w:p>
      <w:pPr>
        <w:pStyle w:val="BookText"/>
        <w:rPr/>
      </w:pPr>
      <w:r>
        <w:rPr>
          <w:rFonts w:ascii="Amiri" w:hAnsi="Amiri" w:eastAsia="Amiri" w:cs="Amiri"/>
          <w:color w:val="111111"/>
          <w:sz w:val="28"/>
          <w:sz w:val="28"/>
          <w:szCs w:val="28"/>
          <w:rtl w:val="true"/>
          <w:lang w:bidi="ar-SA"/>
        </w:rPr>
        <w:t>مَصلَحتُهم، و فَعَلَ ما يَتِمُّ به ذلكَ مِن مقدورِه؛ و هو النَّصُّ‌، و الدَّلالةُ‌، و الحُجّةُ‌، و الأمرُ بالتمكينِ‌، و إيجابُ‌</w:t>
      </w:r>
      <w:r>
        <w:rPr>
          <w:rStyle w:val="FootnoteAnchor"/>
          <w:rtl w:val="true"/>
        </w:rPr>
        <w:footnoteReference w:id="1322"/>
      </w:r>
      <w:r>
        <w:rPr>
          <w:rFonts w:ascii="Amiri" w:hAnsi="Amiri" w:eastAsia="Amiri" w:cs="Amiri"/>
          <w:color w:val="111111"/>
          <w:sz w:val="28"/>
          <w:sz w:val="28"/>
          <w:szCs w:val="28"/>
          <w:rtl w:val="true"/>
          <w:lang w:bidi="ar-SA"/>
        </w:rPr>
        <w:t>التخليةِ‌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w:t>
      </w:r>
      <w:r>
        <w:rPr>
          <w:rStyle w:val="FootnoteAnchor"/>
          <w:rtl w:val="true"/>
        </w:rPr>
        <w:footnoteReference w:id="1323"/>
      </w:r>
      <w:r>
        <w:rPr>
          <w:rFonts w:ascii="Amiri" w:hAnsi="Amiri" w:eastAsia="Amiri" w:cs="Amiri"/>
          <w:color w:val="111111"/>
          <w:sz w:val="28"/>
          <w:sz w:val="28"/>
          <w:szCs w:val="28"/>
          <w:rtl w:val="true"/>
          <w:lang w:bidi="ar-SA"/>
        </w:rPr>
        <w:t>ما هو في مقدورِهم مِن التمكينِ و التخليةِ اللَّذَينِ لا يَتِمُّ التصرُّفُ إلّابهما، فهُم المَلومونَ المُعاتَبونَ علىٰ فَوتِ مَصلَحتِهم، و هو تَعالَى المَشكورُ علىٰ فِعلِه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يَجوزُ أن يُكرِهَهم و يُلجِئَهم إلَى التمكينِ‌؛ لأنّ ذلكَ يُبطِلُ التكليفَ‌، و يُسقِطُ استحقاقَ الثوابِ‌، و المُجرىٰ‌</w:t>
      </w:r>
      <w:r>
        <w:rPr>
          <w:rStyle w:val="FootnoteAnchor"/>
          <w:rtl w:val="true"/>
        </w:rPr>
        <w:footnoteReference w:id="1324"/>
      </w:r>
      <w:r>
        <w:rPr>
          <w:rFonts w:ascii="Amiri" w:hAnsi="Amiri" w:eastAsia="Amiri" w:cs="Amiri"/>
          <w:color w:val="111111"/>
          <w:sz w:val="28"/>
          <w:sz w:val="28"/>
          <w:szCs w:val="28"/>
          <w:rtl w:val="true"/>
          <w:lang w:bidi="ar-SA"/>
        </w:rPr>
        <w:t>بالتكليفِ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المُحارَبةُ‌، فإن كانَ الغرضُ في تكلُّفِها</w:t>
      </w:r>
      <w:r>
        <w:rPr>
          <w:rStyle w:val="FootnoteAnchor"/>
          <w:rtl w:val="true"/>
        </w:rPr>
        <w:footnoteReference w:id="1325"/>
      </w:r>
      <w:r>
        <w:rPr>
          <w:rFonts w:ascii="Amiri" w:hAnsi="Amiri" w:eastAsia="Amiri" w:cs="Amiri"/>
          <w:color w:val="111111"/>
          <w:sz w:val="28"/>
          <w:sz w:val="28"/>
          <w:szCs w:val="28"/>
          <w:rtl w:val="true"/>
          <w:lang w:bidi="ar-SA"/>
        </w:rPr>
        <w:t>أن يَرجِعَ القومُ عن</w:t>
      </w:r>
      <w:r>
        <w:rPr>
          <w:rStyle w:val="FootnoteAnchor"/>
          <w:rtl w:val="true"/>
        </w:rPr>
        <w:footnoteReference w:id="1326"/>
      </w:r>
      <w:r>
        <w:rPr>
          <w:rFonts w:ascii="Amiri" w:hAnsi="Amiri" w:eastAsia="Amiri" w:cs="Amiri"/>
          <w:color w:val="111111"/>
          <w:sz w:val="28"/>
          <w:sz w:val="28"/>
          <w:szCs w:val="28"/>
          <w:rtl w:val="true"/>
          <w:lang w:bidi="ar-SA"/>
        </w:rPr>
        <w:t>الباطلِ إلىٰ جهةِ الحَقِّ‌، فقَد يَجوزُ أن</w:t>
      </w:r>
      <w:r>
        <w:rPr>
          <w:rStyle w:val="FootnoteAnchor"/>
          <w:rtl w:val="true"/>
        </w:rPr>
        <w:footnoteReference w:id="1327"/>
      </w:r>
      <w:r>
        <w:rPr>
          <w:rFonts w:ascii="Amiri" w:hAnsi="Amiri" w:eastAsia="Amiri" w:cs="Amiri"/>
          <w:color w:val="111111"/>
          <w:sz w:val="28"/>
          <w:sz w:val="28"/>
          <w:szCs w:val="28"/>
          <w:rtl w:val="true"/>
          <w:lang w:bidi="ar-SA"/>
        </w:rPr>
        <w:t>يُعلَمَ أو يَغلِبَ في الظنِّ مِن</w:t>
      </w:r>
      <w:r>
        <w:rPr>
          <w:rStyle w:val="FootnoteAnchor"/>
          <w:rtl w:val="true"/>
        </w:rPr>
        <w:footnoteReference w:id="1328"/>
      </w:r>
      <w:r>
        <w:rPr>
          <w:rFonts w:ascii="Amiri" w:hAnsi="Amiri" w:eastAsia="Amiri" w:cs="Amiri"/>
          <w:color w:val="111111"/>
          <w:sz w:val="28"/>
          <w:sz w:val="28"/>
          <w:szCs w:val="28"/>
          <w:rtl w:val="true"/>
          <w:lang w:bidi="ar-SA"/>
        </w:rPr>
        <w:t>أحوالِهم أنّهم</w:t>
      </w:r>
      <w:r>
        <w:rPr>
          <w:rStyle w:val="FootnoteAnchor"/>
          <w:rtl w:val="true"/>
        </w:rPr>
        <w:footnoteReference w:id="1329"/>
      </w:r>
      <w:r>
        <w:rPr>
          <w:rFonts w:ascii="Amiri" w:hAnsi="Amiri" w:eastAsia="Amiri" w:cs="Amiri"/>
          <w:color w:val="111111"/>
          <w:sz w:val="28"/>
          <w:sz w:val="28"/>
          <w:szCs w:val="28"/>
          <w:rtl w:val="true"/>
          <w:lang w:bidi="ar-SA"/>
        </w:rPr>
        <w:t>بذلكَ لا يَرجِعونَ‌، فلا طائلَ إذَن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الغرضُ في المُحارَبةِ ما يَجِبُ في جهادِ الباغي علَى الإمامِ‌، الخارجِ عليه، العادِلِ عن طاعتِه، فإنّ ذلكَ كُلَّه إنّما يَجِبُ مع التمكينِ و القُدرةِ و الأنصارِ و الأعوانِ‌، و لَم يَكُن شَيءٌ مِن ذلكَ في تلكَ الأحوالِ‌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كافٍ في سُقوطِ فَرضِ المُحارَبةِ‌، إلّاأنّا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نُريدُ أن نَنصُرَ جوابَ الشُّيوخِ‌</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العِلّةَ في الكَفِّ عن المُحارَبةِ الخَوفُ مِن ارتدادِ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نَعدِلَ عن الجوابِ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غيرُ مُتمكِّنٍ مِن ذلكَ لِفَقدِ</w:t>
      </w:r>
      <w:r>
        <w:rPr>
          <w:rStyle w:val="FootnoteAnchor"/>
          <w:rtl w:val="true"/>
        </w:rPr>
        <w:footnoteReference w:id="1331"/>
      </w:r>
      <w:r>
        <w:rPr>
          <w:rFonts w:ascii="Amiri" w:hAnsi="Amiri" w:eastAsia="Amiri" w:cs="Amiri"/>
          <w:color w:val="111111"/>
          <w:sz w:val="28"/>
          <w:sz w:val="28"/>
          <w:szCs w:val="28"/>
          <w:rtl w:val="true"/>
          <w:lang w:bidi="ar-SA"/>
        </w:rPr>
        <w:t xml:space="preserve">الناصِرِ، و ما جَرىٰ مَجرىٰ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المُحارَبةُ إنّما تُتكلَّفُ‌</w:t>
      </w:r>
      <w:r>
        <w:rPr>
          <w:rStyle w:val="FootnoteAnchor"/>
          <w:rtl w:val="true"/>
        </w:rPr>
        <w:footnoteReference w:id="1332"/>
      </w:r>
      <w:r>
        <w:rPr>
          <w:rFonts w:ascii="Amiri" w:hAnsi="Amiri" w:eastAsia="Amiri" w:cs="Amiri"/>
          <w:color w:val="111111"/>
          <w:sz w:val="28"/>
          <w:sz w:val="28"/>
          <w:szCs w:val="28"/>
          <w:rtl w:val="true"/>
          <w:lang w:bidi="ar-SA"/>
        </w:rPr>
        <w:t>لوجوبِ جهادِ</w:t>
      </w:r>
      <w:r>
        <w:rPr>
          <w:rStyle w:val="FootnoteAnchor"/>
          <w:rtl w:val="true"/>
        </w:rPr>
        <w:footnoteReference w:id="1333"/>
      </w:r>
      <w:r>
        <w:rPr>
          <w:rFonts w:ascii="Amiri" w:hAnsi="Amiri" w:eastAsia="Amiri" w:cs="Amiri"/>
          <w:color w:val="111111"/>
          <w:sz w:val="28"/>
          <w:sz w:val="28"/>
          <w:szCs w:val="28"/>
          <w:rtl w:val="true"/>
          <w:lang w:bidi="ar-SA"/>
        </w:rPr>
        <w:t>الباغي الشاقِّ للعَصا، فقَد يَجوزُ أن يُعلَمَ‌</w:t>
      </w:r>
      <w:r>
        <w:rPr>
          <w:rStyle w:val="FootnoteAnchor"/>
          <w:rtl w:val="true"/>
        </w:rPr>
        <w:footnoteReference w:id="1334"/>
      </w:r>
      <w:r>
        <w:rPr>
          <w:rFonts w:ascii="Amiri" w:hAnsi="Amiri" w:eastAsia="Amiri" w:cs="Amiri"/>
          <w:color w:val="111111"/>
          <w:sz w:val="28"/>
          <w:sz w:val="28"/>
          <w:szCs w:val="28"/>
          <w:rtl w:val="true"/>
          <w:lang w:bidi="ar-SA"/>
        </w:rPr>
        <w:t>أنّها تؤَدّي إلىٰ فَسادٍ في الدينِ‌، مِن رِدّةٍ عنه، أو ما أشبَهَها، فيَقبُحَ استعمالُها؛ لأنّها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بموجِبٍ أن تَكونَ‌</w:t>
      </w:r>
      <w:r>
        <w:rPr>
          <w:rStyle w:val="FootnoteAnchor"/>
          <w:rtl w:val="true"/>
        </w:rPr>
        <w:footnoteReference w:id="1335"/>
      </w:r>
      <w:r>
        <w:rPr>
          <w:rFonts w:ascii="Amiri" w:hAnsi="Amiri" w:eastAsia="Amiri" w:cs="Amiri"/>
          <w:color w:val="111111"/>
          <w:sz w:val="28"/>
          <w:sz w:val="28"/>
          <w:szCs w:val="28"/>
          <w:rtl w:val="true"/>
          <w:lang w:bidi="ar-SA"/>
        </w:rPr>
        <w:t>نفسُ الإمامةِ هي المَفسَدةَ‌، أو تدبيرُ الإمامِ لأُمورِ</w:t>
      </w:r>
      <w:r>
        <w:rPr>
          <w:rStyle w:val="FootnoteAnchor"/>
          <w:rtl w:val="true"/>
        </w:rPr>
        <w:footnoteReference w:id="1336"/>
      </w:r>
      <w:r>
        <w:rPr>
          <w:rFonts w:ascii="Amiri" w:hAnsi="Amiri" w:eastAsia="Amiri" w:cs="Amiri"/>
          <w:color w:val="111111"/>
          <w:sz w:val="28"/>
          <w:sz w:val="28"/>
          <w:szCs w:val="28"/>
          <w:rtl w:val="true"/>
          <w:lang w:bidi="ar-SA"/>
        </w:rPr>
        <w:t>الأُمّةِ و تصريفُه</w:t>
      </w:r>
      <w:r>
        <w:rPr>
          <w:rStyle w:val="FootnoteAnchor"/>
          <w:rtl w:val="true"/>
        </w:rPr>
        <w:footnoteReference w:id="1337"/>
      </w:r>
      <w:r>
        <w:rPr>
          <w:rFonts w:ascii="Amiri" w:hAnsi="Amiri" w:eastAsia="Amiri" w:cs="Amiri"/>
          <w:color w:val="111111"/>
          <w:sz w:val="28"/>
          <w:sz w:val="28"/>
          <w:szCs w:val="28"/>
          <w:rtl w:val="true"/>
          <w:lang w:bidi="ar-SA"/>
        </w:rPr>
        <w:t>لهم؛ لأنّ المَفسَدةَ هاهُنا مُنفَصِلةٌ عن الإمامةِ نفسِها، و إن عَرَضَت في المُجاهَدةِ لِمَن خالَفَ‌</w:t>
      </w:r>
      <w:r>
        <w:rPr>
          <w:rStyle w:val="FootnoteAnchor"/>
          <w:rtl w:val="true"/>
        </w:rPr>
        <w:footnoteReference w:id="1338"/>
      </w:r>
      <w:r>
        <w:rPr>
          <w:rFonts w:ascii="Amiri" w:hAnsi="Amiri" w:eastAsia="Amiri" w:cs="Amiri"/>
          <w:color w:val="111111"/>
          <w:sz w:val="28"/>
          <w:sz w:val="28"/>
          <w:szCs w:val="28"/>
          <w:rtl w:val="true"/>
          <w:lang w:bidi="ar-SA"/>
        </w:rPr>
        <w:t>الإمامَ‌؛ لأنّ‌</w:t>
      </w:r>
      <w:r>
        <w:rPr>
          <w:rStyle w:val="FootnoteAnchor"/>
          <w:rtl w:val="true"/>
        </w:rPr>
        <w:footnoteReference w:id="1339"/>
      </w:r>
      <w:r>
        <w:rPr>
          <w:rFonts w:ascii="Amiri" w:hAnsi="Amiri" w:eastAsia="Amiri" w:cs="Amiri"/>
          <w:color w:val="111111"/>
          <w:sz w:val="28"/>
          <w:sz w:val="28"/>
          <w:szCs w:val="28"/>
          <w:rtl w:val="true"/>
          <w:lang w:bidi="ar-SA"/>
        </w:rPr>
        <w:t>الذي هو مَصلَحةُ الأُمّةِ إنّما هو</w:t>
      </w:r>
      <w:r>
        <w:rPr>
          <w:rStyle w:val="FootnoteAnchor"/>
          <w:rtl w:val="true"/>
        </w:rPr>
        <w:footnoteReference w:id="1340"/>
      </w:r>
      <w:r>
        <w:rPr>
          <w:rFonts w:ascii="Amiri" w:hAnsi="Amiri" w:eastAsia="Amiri" w:cs="Amiri"/>
          <w:color w:val="111111"/>
          <w:sz w:val="28"/>
          <w:sz w:val="28"/>
          <w:szCs w:val="28"/>
          <w:rtl w:val="true"/>
          <w:lang w:bidi="ar-SA"/>
        </w:rPr>
        <w:t>تدبيرُ الإمامِ لأُمورِهم</w:t>
      </w:r>
      <w:r>
        <w:rPr>
          <w:rStyle w:val="FootnoteAnchor"/>
          <w:rtl w:val="true"/>
        </w:rPr>
        <w:footnoteReference w:id="1341"/>
      </w:r>
      <w:r>
        <w:rPr>
          <w:rFonts w:ascii="Amiri" w:hAnsi="Amiri" w:eastAsia="Amiri" w:cs="Amiri"/>
          <w:color w:val="111111"/>
          <w:sz w:val="28"/>
          <w:sz w:val="28"/>
          <w:szCs w:val="28"/>
          <w:rtl w:val="true"/>
          <w:lang w:bidi="ar-SA"/>
        </w:rPr>
        <w:t>، و ذلكَ لا يَتِمُّ إلّا بالنَّصِّ عليه، و إيجابِ فَرضِ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الِاستفسادُ الذي ذَكرناه غيرُ راجعٍ إلىٰ شَيءٍ مِن ذلك؛ بَل هو راجعٌ إلىٰ مُحارَبةِ‌</w:t>
      </w:r>
      <w:r>
        <w:rPr>
          <w:rStyle w:val="FootnoteAnchor"/>
          <w:rtl w:val="true"/>
        </w:rPr>
        <w:footnoteReference w:id="1342"/>
      </w:r>
      <w:r>
        <w:rPr>
          <w:rFonts w:ascii="Amiri" w:hAnsi="Amiri" w:eastAsia="Amiri" w:cs="Amiri"/>
          <w:color w:val="111111"/>
          <w:sz w:val="28"/>
          <w:sz w:val="28"/>
          <w:szCs w:val="28"/>
          <w:rtl w:val="true"/>
          <w:lang w:bidi="ar-SA"/>
        </w:rPr>
        <w:t>مَن بَغىٰ علَى الإمامِ و خالَفَ‌</w:t>
      </w:r>
      <w:r>
        <w:rPr>
          <w:rStyle w:val="FootnoteAnchor"/>
          <w:rtl w:val="true"/>
        </w:rPr>
        <w:footnoteReference w:id="1343"/>
      </w:r>
      <w:r>
        <w:rPr>
          <w:rFonts w:ascii="Amiri" w:hAnsi="Amiri" w:eastAsia="Amiri" w:cs="Amiri"/>
          <w:color w:val="111111"/>
          <w:sz w:val="28"/>
          <w:sz w:val="28"/>
          <w:szCs w:val="28"/>
          <w:rtl w:val="true"/>
          <w:lang w:bidi="ar-SA"/>
        </w:rPr>
        <w:t>إمامتَه؛ و ذلكَ مُنفَصِلٌ عن نفسِ 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بيّنّا أنّ جهادَ</w:t>
      </w:r>
      <w:r>
        <w:rPr>
          <w:rStyle w:val="FootnoteAnchor"/>
          <w:rtl w:val="true"/>
        </w:rPr>
        <w:footnoteReference w:id="1344"/>
      </w:r>
      <w:r>
        <w:rPr>
          <w:rFonts w:ascii="Amiri" w:hAnsi="Amiri" w:eastAsia="Amiri" w:cs="Amiri"/>
          <w:color w:val="111111"/>
          <w:sz w:val="28"/>
          <w:sz w:val="28"/>
          <w:szCs w:val="28"/>
          <w:rtl w:val="true"/>
          <w:lang w:bidi="ar-SA"/>
        </w:rPr>
        <w:t>المارقِ عن الدينِ و مُحارَبةَ الباغي علىٰ أهلِه</w:t>
      </w:r>
      <w:r>
        <w:rPr>
          <w:rStyle w:val="FootnoteAnchor"/>
          <w:rtl w:val="true"/>
        </w:rPr>
        <w:footnoteReference w:id="1345"/>
      </w:r>
      <w:r>
        <w:rPr>
          <w:rFonts w:ascii="Amiri" w:hAnsi="Amiri" w:eastAsia="Amiri" w:cs="Amiri"/>
          <w:color w:val="111111"/>
          <w:sz w:val="28"/>
          <w:sz w:val="28"/>
          <w:szCs w:val="28"/>
          <w:rtl w:val="true"/>
          <w:lang w:bidi="ar-SA"/>
        </w:rPr>
        <w:t>إنّما يَجِبُ إذا لَم يَعرِضْ فيها استفسادٌ يُسقِطُ وجوبَها</w:t>
      </w:r>
      <w:r>
        <w:rPr>
          <w:rStyle w:val="FootnoteAnchor"/>
          <w:rtl w:val="true"/>
        </w:rPr>
        <w:footnoteReference w:id="1346"/>
      </w:r>
      <w:r>
        <w:rPr>
          <w:rFonts w:ascii="Amiri" w:hAnsi="Amiri" w:eastAsia="Amiri" w:cs="Amiri"/>
          <w:color w:val="111111"/>
          <w:sz w:val="28"/>
          <w:sz w:val="28"/>
          <w:szCs w:val="28"/>
          <w:rtl w:val="true"/>
          <w:lang w:bidi="ar-SA"/>
        </w:rPr>
        <w:t>، و لا شَيءَ مِن الواجباتِ إلّاو مَتىٰ عَرَضَ فيها وجهُ قُبحٍ سَقَطَ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تَقرَّرَت هذه الجُملةُ‌</w:t>
      </w:r>
      <w:r>
        <w:rPr>
          <w:rStyle w:val="FootnoteAnchor"/>
          <w:rtl w:val="true"/>
        </w:rPr>
        <w:footnoteReference w:id="1347"/>
      </w:r>
      <w:r>
        <w:rPr>
          <w:rFonts w:ascii="Amiri" w:hAnsi="Amiri" w:eastAsia="Amiri" w:cs="Amiri"/>
          <w:color w:val="111111"/>
          <w:sz w:val="28"/>
          <w:sz w:val="28"/>
          <w:szCs w:val="28"/>
          <w:rtl w:val="true"/>
          <w:lang w:bidi="ar-SA"/>
        </w:rPr>
        <w:t>و قيلَ لنا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حارَبَ أهلَ الجَمَلِ و صِفّينَ لمّا بَغَوا عليه و مَرَقوا عن طاعتِه‌؟</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تَمكَّنَ مِن ذلكَ لوجودِ الأعوانِ و الأنصارِ و المُشايِعينَ و المُتابِعينَ‌، و لَم يَحصُلْ في أوّلِ الأمرِ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أنّ جهادَهم يؤَدّي إلَى استفسادٍ، و عَلِمَ في الحالِ الأُولىٰ أنّ المُحارَبةَ تؤَدّي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1348"/>
      </w:r>
      <w:r>
        <w:rPr>
          <w:rFonts w:ascii="Amiri" w:hAnsi="Amiri" w:eastAsia="Amiri" w:cs="Amiri"/>
          <w:color w:val="111111"/>
          <w:sz w:val="28"/>
          <w:sz w:val="28"/>
          <w:szCs w:val="28"/>
          <w:rtl w:val="true"/>
          <w:lang w:bidi="ar-SA"/>
        </w:rPr>
        <w:t>ما مَضىٰ في السؤالِ‌</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الرِّدّةَ حاصلةٌ في كُلِّ دافعِ النَّصِّ‌</w:t>
      </w:r>
      <w:r>
        <w:rPr>
          <w:rStyle w:val="FootnoteAnchor"/>
          <w:rtl w:val="true"/>
        </w:rPr>
        <w:footnoteReference w:id="1350"/>
      </w:r>
      <w:r>
        <w:rPr>
          <w:rFonts w:ascii="Amiri" w:hAnsi="Amiri" w:eastAsia="Amiri" w:cs="Amiri"/>
          <w:color w:val="111111"/>
          <w:sz w:val="28"/>
          <w:sz w:val="28"/>
          <w:szCs w:val="28"/>
          <w:rtl w:val="true"/>
          <w:lang w:bidi="ar-SA"/>
        </w:rPr>
        <w:t>فمِن أيِّ شَيءٍ خافَ في المُجاهَدةِ؟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خافَ مِن</w:t>
      </w:r>
      <w:r>
        <w:rPr>
          <w:rStyle w:val="FootnoteAnchor"/>
          <w:rtl w:val="true"/>
        </w:rPr>
        <w:footnoteReference w:id="1351"/>
      </w:r>
      <w:r>
        <w:rPr>
          <w:rFonts w:ascii="Amiri" w:hAnsi="Amiri" w:eastAsia="Amiri" w:cs="Amiri"/>
          <w:color w:val="111111"/>
          <w:sz w:val="28"/>
          <w:sz w:val="28"/>
          <w:szCs w:val="28"/>
          <w:rtl w:val="true"/>
          <w:lang w:bidi="ar-SA"/>
        </w:rPr>
        <w:t xml:space="preserve">ارتدادِ مَن لَم يَكُن مُرتَدّاً قَبلَ الحَربِ‌، </w:t>
      </w:r>
    </w:p>
    <w:p>
      <w:pPr>
        <w:pStyle w:val="BookText"/>
        <w:rPr/>
      </w:pPr>
      <w:r>
        <w:rPr>
          <w:rFonts w:ascii="Amiri" w:hAnsi="Amiri" w:eastAsia="Amiri" w:cs="Amiri"/>
          <w:color w:val="111111"/>
          <w:sz w:val="28"/>
          <w:sz w:val="28"/>
          <w:szCs w:val="28"/>
          <w:rtl w:val="true"/>
          <w:lang w:bidi="ar-SA"/>
        </w:rPr>
        <w:t>مِن المُستَضعَفينَ‌، و الناقِصي</w:t>
      </w:r>
      <w:r>
        <w:rPr>
          <w:rStyle w:val="FootnoteAnchor"/>
          <w:rtl w:val="true"/>
        </w:rPr>
        <w:footnoteReference w:id="1352"/>
      </w:r>
      <w:r>
        <w:rPr>
          <w:rFonts w:ascii="Amiri" w:hAnsi="Amiri" w:eastAsia="Amiri" w:cs="Amiri"/>
          <w:color w:val="111111"/>
          <w:sz w:val="28"/>
          <w:sz w:val="28"/>
          <w:szCs w:val="28"/>
          <w:rtl w:val="true"/>
          <w:lang w:bidi="ar-SA"/>
        </w:rPr>
        <w:t>البَصيرةِ في الدينِ‌، الذينَ‌</w:t>
      </w:r>
      <w:r>
        <w:rPr>
          <w:rStyle w:val="FootnoteAnchor"/>
          <w:rtl w:val="true"/>
        </w:rPr>
        <w:footnoteReference w:id="1353"/>
      </w:r>
      <w:r>
        <w:rPr>
          <w:rFonts w:ascii="Amiri" w:hAnsi="Amiri" w:eastAsia="Amiri" w:cs="Amiri"/>
          <w:color w:val="111111"/>
          <w:sz w:val="28"/>
          <w:sz w:val="28"/>
          <w:szCs w:val="28"/>
          <w:rtl w:val="true"/>
          <w:lang w:bidi="ar-SA"/>
        </w:rPr>
        <w:t>ما كانوا ارتَدّوا قَبلَ المُحارَبةِ‌، و تَدخُلُ عليهم الشُّبُهاتُ فيها حتّىٰ يَرجِعوا عن الحَقِّ إلَى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دَخَلَت الشُّبهةُ علىٰ كَثيرٍ مِن الضعفاءِ في قِتالِه</w:t>
      </w:r>
      <w:r>
        <w:rPr>
          <w:rStyle w:val="FootnoteAnchor"/>
          <w:rtl w:val="true"/>
        </w:rPr>
        <w:footnoteReference w:id="1354"/>
      </w:r>
      <w:r>
        <w:rPr>
          <w:rFonts w:ascii="Amiri" w:hAnsi="Amiri" w:eastAsia="Amiri" w:cs="Amiri"/>
          <w:color w:val="111111"/>
          <w:sz w:val="28"/>
          <w:sz w:val="28"/>
          <w:szCs w:val="28"/>
          <w:rtl w:val="true"/>
          <w:lang w:bidi="ar-SA"/>
        </w:rPr>
        <w:t>عليه السلامُ لأهلِ الجَمَلِ و صِفّينَ‌، و شَكَّكَهم ذلكَ في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مَنزِلةُ مَن خالَفَه</w:t>
      </w:r>
      <w:r>
        <w:rPr>
          <w:rStyle w:val="FootnoteAnchor"/>
          <w:rtl w:val="true"/>
        </w:rPr>
        <w:footnoteReference w:id="1355"/>
      </w:r>
      <w:r>
        <w:rPr>
          <w:rFonts w:ascii="Amiri" w:hAnsi="Amiri" w:eastAsia="Amiri" w:cs="Amiri"/>
          <w:color w:val="111111"/>
          <w:sz w:val="28"/>
          <w:sz w:val="28"/>
          <w:szCs w:val="28"/>
          <w:rtl w:val="true"/>
          <w:lang w:bidi="ar-SA"/>
        </w:rPr>
        <w:t>مِن أهلِ الجَمَلِ و صِفّينَ في النُّفوسِ و مكانُهم مِن الصُّدورِ مكانَ مَن خالَفَ في النَّصِّ و عَمِلَ بخِلافِه بَعدَ وفاةِ الرسولِ صَلَّى اللّٰهُ عليه و آلِه</w:t>
      </w:r>
      <w:r>
        <w:rPr>
          <w:rStyle w:val="FootnoteAnchor"/>
          <w:rtl w:val="true"/>
        </w:rPr>
        <w:footnoteReference w:id="1356"/>
      </w:r>
      <w:r>
        <w:rPr>
          <w:rFonts w:ascii="Amiri" w:hAnsi="Amiri" w:eastAsia="Amiri" w:cs="Amiri"/>
          <w:color w:val="111111"/>
          <w:sz w:val="28"/>
          <w:sz w:val="28"/>
          <w:szCs w:val="28"/>
          <w:rtl w:val="true"/>
          <w:lang w:bidi="ar-SA"/>
        </w:rPr>
        <w:t>فمِنَ الجائزِ القَويِّ أن تَدخُلَ بمُحارَبتِهم الشُّبُهاتُ‌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آخَرُ، و هو أنّ الكُفرَ قد يَتَفاضَلُ‌، فيَكونُ بعضُه أعظَمَ مِن بعضٍ‌؛ إمّا لأنّ العِقابَ عليه أغلَظُ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 لا تَظهَرُ</w:t>
      </w:r>
      <w:r>
        <w:rPr>
          <w:rStyle w:val="FootnoteAnchor"/>
          <w:rtl w:val="true"/>
        </w:rPr>
        <w:footnoteReference w:id="1357"/>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لوقوعِه علىٰ وجهٍ يُطمِعُ في الإسلامِ‌</w:t>
      </w:r>
      <w:r>
        <w:rPr>
          <w:rStyle w:val="FootnoteAnchor"/>
          <w:rtl w:val="true"/>
        </w:rPr>
        <w:footnoteReference w:id="1358"/>
      </w:r>
      <w:r>
        <w:rPr>
          <w:rFonts w:ascii="Amiri" w:hAnsi="Amiri" w:eastAsia="Amiri" w:cs="Amiri"/>
          <w:color w:val="111111"/>
          <w:sz w:val="28"/>
          <w:sz w:val="28"/>
          <w:szCs w:val="28"/>
          <w:rtl w:val="true"/>
          <w:lang w:bidi="ar-SA"/>
        </w:rPr>
        <w:t>و أهلِه</w:t>
      </w:r>
      <w:r>
        <w:rPr>
          <w:rStyle w:val="FootnoteAnchor"/>
          <w:rtl w:val="true"/>
        </w:rPr>
        <w:footnoteReference w:id="1359"/>
      </w:r>
      <w:r>
        <w:rPr>
          <w:rFonts w:ascii="Amiri" w:hAnsi="Amiri" w:eastAsia="Amiri" w:cs="Amiri"/>
          <w:color w:val="111111"/>
          <w:sz w:val="28"/>
          <w:sz w:val="28"/>
          <w:szCs w:val="28"/>
          <w:rtl w:val="true"/>
          <w:lang w:bidi="ar-SA"/>
        </w:rPr>
        <w:t>أعداءَهما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w:t>
      </w:r>
      <w:r>
        <w:rPr>
          <w:rStyle w:val="FootnoteAnchor"/>
          <w:rtl w:val="true"/>
        </w:rPr>
        <w:footnoteReference w:id="1360"/>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الذي وَقَعَ‌</w:t>
      </w:r>
      <w:r>
        <w:rPr>
          <w:rStyle w:val="FootnoteAnchor"/>
          <w:rtl w:val="true"/>
        </w:rPr>
        <w:footnoteReference w:id="1361"/>
      </w:r>
      <w:r>
        <w:rPr>
          <w:rFonts w:ascii="Amiri" w:hAnsi="Amiri" w:eastAsia="Amiri" w:cs="Amiri"/>
          <w:color w:val="111111"/>
          <w:sz w:val="28"/>
          <w:sz w:val="28"/>
          <w:szCs w:val="28"/>
          <w:rtl w:val="true"/>
          <w:lang w:bidi="ar-SA"/>
        </w:rPr>
        <w:t xml:space="preserve">عليه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كُفراً و ارتداداً عندَ الشيعةِ الإماميّةِ‌، و أعظَمُ‌</w:t>
      </w:r>
      <w:r>
        <w:rPr>
          <w:rStyle w:val="FootnoteAnchor"/>
          <w:rtl w:val="true"/>
        </w:rPr>
        <w:footnoteReference w:id="1362"/>
      </w:r>
      <w:r>
        <w:rPr>
          <w:rFonts w:ascii="Amiri" w:hAnsi="Amiri" w:eastAsia="Amiri" w:cs="Amiri"/>
          <w:color w:val="111111"/>
          <w:sz w:val="28"/>
          <w:sz w:val="28"/>
          <w:szCs w:val="28"/>
          <w:rtl w:val="true"/>
          <w:lang w:bidi="ar-SA"/>
        </w:rPr>
        <w:t>منه و أفحَشُ و أشَدُّ إطماعاً في الإسلامِ و أهلِه أن يُخلَعَ معه</w:t>
      </w:r>
      <w:r>
        <w:rPr>
          <w:rStyle w:val="FootnoteAnchor"/>
          <w:rtl w:val="true"/>
        </w:rPr>
        <w:footnoteReference w:id="1363"/>
      </w:r>
      <w:r>
        <w:rPr>
          <w:rFonts w:ascii="Amiri" w:hAnsi="Amiri" w:eastAsia="Amiri" w:cs="Amiri"/>
          <w:color w:val="111111"/>
          <w:sz w:val="28"/>
          <w:sz w:val="28"/>
          <w:szCs w:val="28"/>
          <w:rtl w:val="true"/>
          <w:lang w:bidi="ar-SA"/>
        </w:rPr>
        <w:t xml:space="preserve">و يَفسُدَ الإسلامُ‌، و يُنزَعَ شِعارُه، و يَظهَرَ التكذيبُ‌ </w:t>
      </w:r>
    </w:p>
    <w:p>
      <w:pPr>
        <w:pStyle w:val="BookText"/>
        <w:rPr/>
      </w:pPr>
      <w:r>
        <w:rPr>
          <w:rFonts w:ascii="Amiri" w:hAnsi="Amiri" w:eastAsia="Amiri" w:cs="Amiri"/>
          <w:color w:val="111111"/>
          <w:sz w:val="28"/>
          <w:sz w:val="28"/>
          <w:szCs w:val="28"/>
          <w:rtl w:val="true"/>
          <w:lang w:bidi="ar-SA"/>
        </w:rPr>
        <w:t>بالنبيِّ صَلَّى اللّٰه عليه و آلِه و بما جاءَ به مِن الشرائعِ‌، و بحَيثُما</w:t>
      </w:r>
      <w:r>
        <w:rPr>
          <w:rStyle w:val="FootnoteAnchor"/>
          <w:rtl w:val="true"/>
        </w:rPr>
        <w:footnoteReference w:id="1364"/>
      </w:r>
      <w:r>
        <w:rPr>
          <w:rFonts w:ascii="Amiri" w:hAnsi="Amiri" w:eastAsia="Amiri" w:cs="Amiri"/>
          <w:color w:val="111111"/>
          <w:sz w:val="28"/>
          <w:sz w:val="28"/>
          <w:szCs w:val="28"/>
          <w:rtl w:val="true"/>
          <w:lang w:bidi="ar-SA"/>
        </w:rPr>
        <w:t>اقتَضىٰ قوّةَ الكُفرِ و تعاظُمَه</w:t>
      </w:r>
      <w:r>
        <w:rPr>
          <w:rStyle w:val="FootnoteAnchor"/>
          <w:rtl w:val="true"/>
        </w:rPr>
        <w:footnoteReference w:id="1365"/>
      </w:r>
      <w:r>
        <w:rPr>
          <w:rFonts w:ascii="Amiri" w:hAnsi="Amiri" w:eastAsia="Amiri" w:cs="Amiri"/>
          <w:color w:val="111111"/>
          <w:sz w:val="28"/>
          <w:sz w:val="28"/>
          <w:szCs w:val="28"/>
          <w:rtl w:val="true"/>
          <w:lang w:bidi="ar-SA"/>
        </w:rPr>
        <w:t>علَى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جوابٌ آخَرُ،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وقوعَ نوعٍ مِن</w:t>
      </w:r>
      <w:r>
        <w:rPr>
          <w:rStyle w:val="FootnoteAnchor"/>
          <w:rtl w:val="true"/>
        </w:rPr>
        <w:footnoteReference w:id="1366"/>
      </w:r>
      <w:r>
        <w:rPr>
          <w:rFonts w:ascii="Amiri" w:hAnsi="Amiri" w:eastAsia="Amiri" w:cs="Amiri"/>
          <w:color w:val="111111"/>
          <w:sz w:val="28"/>
          <w:sz w:val="28"/>
          <w:szCs w:val="28"/>
          <w:rtl w:val="true"/>
          <w:lang w:bidi="ar-SA"/>
        </w:rPr>
        <w:t>الكُفرِ عندَ فِعلٍ مِن الأفعالِ مع الشرائطِ المُراعاةِ يَكونُ‌</w:t>
      </w:r>
      <w:r>
        <w:rPr>
          <w:rStyle w:val="FootnoteAnchor"/>
          <w:rtl w:val="true"/>
        </w:rPr>
        <w:footnoteReference w:id="1367"/>
      </w:r>
      <w:r>
        <w:rPr>
          <w:rFonts w:ascii="Amiri" w:hAnsi="Amiri" w:eastAsia="Amiri" w:cs="Amiri"/>
          <w:color w:val="111111"/>
          <w:sz w:val="28"/>
          <w:sz w:val="28"/>
          <w:szCs w:val="28"/>
          <w:rtl w:val="true"/>
          <w:lang w:bidi="ar-SA"/>
        </w:rPr>
        <w:t>مَفسَدةً‌، كذلكَ وقوعُ زيادةٍ عليه مِن ضُروبِ الكُفرِ و مِن بعضِ الأفعالِ‌</w:t>
      </w:r>
      <w:r>
        <w:rPr>
          <w:rStyle w:val="FootnoteAnchor"/>
          <w:rtl w:val="true"/>
        </w:rPr>
        <w:footnoteReference w:id="1368"/>
      </w:r>
      <w:r>
        <w:rPr>
          <w:rFonts w:ascii="Amiri" w:hAnsi="Amiri" w:eastAsia="Amiri" w:cs="Amiri"/>
          <w:color w:val="111111"/>
          <w:sz w:val="28"/>
          <w:sz w:val="28"/>
          <w:szCs w:val="28"/>
          <w:rtl w:val="true"/>
          <w:lang w:bidi="ar-SA"/>
        </w:rPr>
        <w:t>لا يَجوزُ أن يُفعَلَ به ما يُعلَمُ أنّه يَفعَلُ عندَه ضَرباً آخَرَ مِن الكُفرِ؛ فمَن كَفَرَ بدَفعِ النَّصِّ و العملِ بخِلافِه، يَجوزُ أن يَكفُرَ بأن يُظهِرَ الطعنَ في النُّبوّةِ و الشرائعِ و التوحيدِ و العدلِ‌؛ فالمَنعُ ممّا يَقَعُ عندَه زيادةُ الكُفرِ في الوجوبِ كالمَنعِ ممّا يَقَعُ عندَه شَيءٌ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لا يَليقُ بمَذاهبِ الإماميّةِ‌؛ لأنّهم يَذهَبونَ إلىٰ أنّ دافعَ النَّصِّ و الكافرَ به لا طاعةَ معه</w:t>
      </w:r>
      <w:r>
        <w:rPr>
          <w:rStyle w:val="FootnoteAnchor"/>
          <w:rtl w:val="true"/>
        </w:rPr>
        <w:footnoteReference w:id="1369"/>
      </w:r>
      <w:r>
        <w:rPr>
          <w:rFonts w:ascii="Amiri" w:hAnsi="Amiri" w:eastAsia="Amiri" w:cs="Amiri"/>
          <w:color w:val="111111"/>
          <w:sz w:val="28"/>
          <w:sz w:val="28"/>
          <w:szCs w:val="28"/>
          <w:rtl w:val="true"/>
          <w:lang w:bidi="ar-SA"/>
        </w:rPr>
        <w:t>و لا مَعرِفةَ باللّٰهِ تَعالىٰ و أنبيائه و شرائعِه،</w:t>
      </w:r>
      <w:r>
        <w:rPr>
          <w:rStyle w:val="FootnoteAnchor"/>
          <w:rtl w:val="true"/>
        </w:rPr>
        <w:footnoteReference w:id="1370"/>
      </w:r>
      <w:r>
        <w:rPr>
          <w:rFonts w:ascii="Amiri" w:hAnsi="Amiri" w:eastAsia="Amiri" w:cs="Amiri"/>
          <w:color w:val="111111"/>
          <w:sz w:val="28"/>
          <w:sz w:val="28"/>
          <w:szCs w:val="28"/>
          <w:rtl w:val="true"/>
          <w:lang w:bidi="ar-SA"/>
        </w:rPr>
        <w:t>بَل هو في حُكمِ الدافعِ لذلكَ و الجاهلِ به؛ فلَيسَ يَزدادُ بالمُحارَبةِ عندَ المُجاهَدةِ إلّا ما كانَ حاصلاً عليه</w:t>
      </w:r>
      <w:r>
        <w:rPr>
          <w:rStyle w:val="FootnoteAnchor"/>
          <w:rtl w:val="true"/>
        </w:rPr>
        <w:footnoteReference w:id="1371"/>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صَفَحنا عن تلخيصِ‌</w:t>
      </w:r>
      <w:r>
        <w:rPr>
          <w:rStyle w:val="FootnoteAnchor"/>
          <w:rtl w:val="true"/>
        </w:rPr>
        <w:footnoteReference w:id="1372"/>
      </w:r>
      <w:r>
        <w:rPr>
          <w:rFonts w:ascii="Amiri" w:hAnsi="Amiri" w:eastAsia="Amiri" w:cs="Amiri"/>
          <w:color w:val="111111"/>
          <w:sz w:val="28"/>
          <w:sz w:val="28"/>
          <w:szCs w:val="28"/>
          <w:rtl w:val="true"/>
          <w:lang w:bidi="ar-SA"/>
        </w:rPr>
        <w:t>هذا المَوضِعِ و المُناقَشةِ‌</w:t>
      </w:r>
      <w:r>
        <w:rPr>
          <w:rStyle w:val="FootnoteAnchor"/>
          <w:rtl w:val="true"/>
        </w:rPr>
        <w:footnoteReference w:id="1373"/>
      </w:r>
      <w:r>
        <w:rPr>
          <w:rFonts w:ascii="Amiri" w:hAnsi="Amiri" w:eastAsia="Amiri" w:cs="Amiri"/>
          <w:color w:val="111111"/>
          <w:sz w:val="28"/>
          <w:sz w:val="28"/>
          <w:szCs w:val="28"/>
          <w:rtl w:val="true"/>
          <w:lang w:bidi="ar-SA"/>
        </w:rPr>
        <w:t xml:space="preserve">فيه و تحقيقِه، </w:t>
      </w:r>
    </w:p>
    <w:p>
      <w:pPr>
        <w:pStyle w:val="BookText"/>
        <w:rPr/>
      </w:pPr>
      <w:r>
        <w:rPr>
          <w:rFonts w:ascii="Amiri" w:hAnsi="Amiri" w:eastAsia="Amiri" w:cs="Amiri"/>
          <w:color w:val="111111"/>
          <w:sz w:val="28"/>
          <w:sz w:val="28"/>
          <w:szCs w:val="28"/>
          <w:rtl w:val="true"/>
          <w:lang w:bidi="ar-SA"/>
        </w:rPr>
        <w:t>جازَ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ضُروبِ الكُفرِ مُحارَبةُ الإمامِ و مُدافَعتُه و مُمانَعتُه، و ما كانوا بهذا الضربِ كافرينَ بدَفعِ النَّصِّ‌</w:t>
      </w:r>
      <w:r>
        <w:rPr>
          <w:rStyle w:val="FootnoteAnchor"/>
          <w:rtl w:val="true"/>
        </w:rPr>
        <w:footnoteReference w:id="1374"/>
      </w:r>
      <w:r>
        <w:rPr>
          <w:rFonts w:ascii="Amiri" w:hAnsi="Amiri" w:eastAsia="Amiri" w:cs="Amiri"/>
          <w:color w:val="111111"/>
          <w:sz w:val="28"/>
          <w:sz w:val="28"/>
          <w:szCs w:val="28"/>
          <w:rtl w:val="true"/>
          <w:lang w:bidi="ar-SA"/>
        </w:rPr>
        <w:t>، و لا مُستَحِقّينَ لعَذابِ المُحارَبةِ و المُدافَعةِ‌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بِهم إلَى الحَربِ فحارَبوا و مانَعوا، كَفَروا بذلكَ و استَحَقّوا</w:t>
      </w:r>
      <w:r>
        <w:rPr>
          <w:rStyle w:val="FootnoteAnchor"/>
          <w:rtl w:val="true"/>
        </w:rPr>
        <w:footnoteReference w:id="1375"/>
      </w:r>
      <w:r>
        <w:rPr>
          <w:rFonts w:ascii="Amiri" w:hAnsi="Amiri" w:eastAsia="Amiri" w:cs="Amiri"/>
          <w:color w:val="111111"/>
          <w:sz w:val="28"/>
          <w:sz w:val="28"/>
          <w:szCs w:val="28"/>
          <w:rtl w:val="true"/>
          <w:lang w:bidi="ar-SA"/>
        </w:rPr>
        <w:t>العَذابَ بَعدَ أن لَم يَكونوا عليه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Style w:val="FootnoteAnchor"/>
          <w:rtl w:val="true"/>
        </w:rPr>
        <w:footnoteReference w:id="1376"/>
      </w:r>
      <w:r>
        <w:rPr>
          <w:rFonts w:ascii="IRNazanin" w:hAnsi="IRNazanin" w:eastAsia="IRNazanin"/>
          <w:color w:val="111111"/>
          <w:sz w:val="28"/>
          <w:sz w:val="28"/>
          <w:szCs w:val="28"/>
          <w:rtl w:val="true"/>
          <w:lang w:bidi="fa-IR"/>
        </w:rPr>
        <w:t>إذا</w:t>
      </w:r>
      <w:r>
        <w:rPr>
          <w:rStyle w:val="FootnoteAnchor"/>
          <w:rtl w:val="true"/>
        </w:rPr>
        <w:footnoteReference w:id="1377"/>
      </w:r>
      <w:r>
        <w:rPr>
          <w:rFonts w:ascii="Amiri" w:hAnsi="Amiri" w:eastAsia="Amiri" w:cs="Amiri"/>
          <w:color w:val="111111"/>
          <w:sz w:val="28"/>
          <w:sz w:val="28"/>
          <w:szCs w:val="28"/>
          <w:rtl w:val="true"/>
          <w:lang w:bidi="ar-SA"/>
        </w:rPr>
        <w:t>نَطَقوا و أظهَروا و أعلَنوا جَحْدَ الإمامةِ و الشريعةِ‌، و طَعَنوا فيها طَعناً مسموعاً مُتحقِّقاً، فكُلُّ ذلكَ كُفرٌ ما كانوا عليه و لا مُستَحِقّينَ‌</w:t>
      </w:r>
      <w:r>
        <w:rPr>
          <w:rStyle w:val="FootnoteAnchor"/>
          <w:rtl w:val="true"/>
        </w:rPr>
        <w:footnoteReference w:id="1378"/>
      </w:r>
      <w:r>
        <w:rPr>
          <w:rFonts w:ascii="Amiri" w:hAnsi="Amiri" w:eastAsia="Amiri" w:cs="Amiri"/>
          <w:color w:val="111111"/>
          <w:sz w:val="28"/>
          <w:sz w:val="28"/>
          <w:szCs w:val="28"/>
          <w:rtl w:val="true"/>
          <w:lang w:bidi="ar-SA"/>
        </w:rPr>
        <w:t>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 صحّةُ هذا الجوابِ أيضاً، مُضافاً إلىٰ ما تَقدَّمَ عليه</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bookmarkStart w:id="679" w:name="pg16425_221848"/>
    </w:p>
    <w:p>
      <w:pPr>
        <w:pStyle w:val="Heading3"/>
        <w:numPr>
          <w:ilvl w:val="2"/>
          <w:numId w:val="1"/>
        </w:numPr>
        <w:rPr/>
      </w:pPr>
      <w:bookmarkStart w:id="680" w:name="__RefHeading___Toc7830347_1280447820"/>
      <w:bookmarkStart w:id="681" w:name="_Toc222"/>
      <w:bookmarkEnd w:id="679"/>
      <w:bookmarkEnd w:id="680"/>
      <w:r>
        <w:rPr>
          <w:rtl w:val="true"/>
        </w:rPr>
        <w:t>(</w:t>
      </w:r>
      <w:r>
        <w:rPr/>
        <w:t>64</w:t>
      </w:r>
      <w:r>
        <w:rPr>
          <w:rtl w:val="true"/>
        </w:rPr>
        <w:t xml:space="preserve">) </w:t>
      </w:r>
      <w:r>
        <w:rPr>
          <w:rtl w:val="true"/>
        </w:rPr>
        <w:t>إنكاحُ أميرِ المُؤمِنينَ عليه السلام ابنَتَه مِن عُمَرَ</w:t>
      </w:r>
      <w:bookmarkEnd w:id="68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2" w:name="__RefHeading___Toc7830349_1280447820"/>
      <w:bookmarkStart w:id="683" w:name="_Toc223"/>
      <w:bookmarkEnd w:id="682"/>
      <w:r>
        <w:rPr>
          <w:rtl w:val="true"/>
        </w:rPr>
        <w:t>اشارة</w:t>
      </w:r>
      <w:bookmarkEnd w:id="68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4" w:name="pg16425_221850"/>
      <w:bookmarkStart w:id="685" w:name="pg16425_221850"/>
      <w:bookmarkEnd w:id="685"/>
    </w:p>
    <w:p>
      <w:pPr>
        <w:pStyle w:val="Heading4"/>
        <w:numPr>
          <w:ilvl w:val="3"/>
          <w:numId w:val="1"/>
        </w:numPr>
        <w:rPr/>
      </w:pPr>
      <w:bookmarkStart w:id="686" w:name="pg16425_221850"/>
      <w:bookmarkStart w:id="687" w:name="__RefHeading___Toc7830351_1280447820"/>
      <w:bookmarkStart w:id="688" w:name="_Toc224"/>
      <w:bookmarkEnd w:id="686"/>
      <w:bookmarkEnd w:id="687"/>
      <w:r>
        <w:rPr>
          <w:rtl w:val="true"/>
        </w:rPr>
        <w:t>مقدّمة التحقيق</w:t>
      </w:r>
      <w:bookmarkEnd w:id="688"/>
    </w:p>
    <w:p>
      <w:pPr>
        <w:pStyle w:val="Heading5"/>
        <w:numPr>
          <w:ilvl w:val="4"/>
          <w:numId w:val="1"/>
        </w:numPr>
        <w:rPr/>
      </w:pPr>
      <w:bookmarkStart w:id="689" w:name="__RefHeading___Toc7830353_1280447820"/>
      <w:bookmarkStart w:id="690" w:name="_Toc225"/>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لقد دارت حول مسألة زواج الخليفة الثاني من بنت أمير المؤمنين عليه السلامُ بحوث و نزاعات كثيرة، بين مَن يحاول أن يستغلّ هذه الحادثة ليقول إنّه ما كان بين أمير المؤمنين عليه السلامُ و الخلفاء أيّ خلاف أو نزاع، بل كانت بينهم محبّة و توادّ و مصاهرة، و بين مَن أنكر القصّة من الأساس، و أخذ يناقش في سندها و الراوي لها</w:t>
      </w:r>
      <w:r>
        <w:rPr>
          <w:rStyle w:val="FootnoteAnchor"/>
          <w:rtl w:val="true"/>
        </w:rPr>
        <w:footnoteReference w:id="1381"/>
      </w:r>
      <w:r>
        <w:rPr>
          <w:rFonts w:ascii="Amiri" w:hAnsi="Amiri" w:eastAsia="Amiri" w:cs="Amiri"/>
          <w:color w:val="111111"/>
          <w:sz w:val="28"/>
          <w:sz w:val="28"/>
          <w:szCs w:val="28"/>
          <w:rtl w:val="true"/>
          <w:lang w:bidi="ar-SA"/>
        </w:rPr>
        <w:t>، و بين مَن قبلها و حاول أن يبحث عن أجوبة مقنعة للإشكالات الفقهيّة و الكلاميّة التي أخذت تثيرها هذه الحادثة</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7830355_1280447820"/>
      <w:bookmarkStart w:id="692" w:name="_Toc226"/>
      <w:bookmarkEnd w:id="691"/>
      <w:r>
        <w:rPr>
          <w:rtl w:val="true"/>
        </w:rPr>
        <w:t>محتوى الرسالة</w:t>
      </w:r>
      <w:bookmarkEnd w:id="692"/>
    </w:p>
    <w:p>
      <w:pPr>
        <w:pStyle w:val="BookText"/>
        <w:rPr/>
      </w:pPr>
      <w:r>
        <w:rPr>
          <w:rFonts w:ascii="Amiri" w:hAnsi="Amiri" w:eastAsia="Amiri" w:cs="Amiri"/>
          <w:color w:val="111111"/>
          <w:sz w:val="28"/>
          <w:sz w:val="28"/>
          <w:szCs w:val="28"/>
          <w:rtl w:val="true"/>
          <w:lang w:bidi="ar-SA"/>
        </w:rPr>
        <w:t>فإنّ لحادثة الزواج هذه جهتين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تاريخيّة، و هي هل حدث الزواج بالفعل أو لا؟</w:t>
      </w:r>
    </w:p>
    <w:p>
      <w:pPr>
        <w:pStyle w:val="BookText"/>
        <w:rPr/>
      </w:pPr>
      <w:r>
        <w:rPr>
          <w:rFonts w:ascii="Amiri" w:hAnsi="Amiri" w:eastAsia="Amiri" w:cs="Amiri"/>
          <w:color w:val="111111"/>
          <w:sz w:val="28"/>
          <w:sz w:val="28"/>
          <w:szCs w:val="28"/>
          <w:rtl w:val="true"/>
          <w:lang w:bidi="ar-SA"/>
        </w:rPr>
        <w:t>و الثانية فقهيّة و كلاميّة، و هي أنّ اعتقاد الإماميّة مبنيّ على كفر كلّ جاحد للنصّ على أمير المؤمنين عليه السلامُ‌، فكيف جاز لأمير المؤمنين عليه السلامُ أن يزوّج ابنته المؤمنة لشخص هذه حاله‌؟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وُجِّه للشريف المرتضى في مجلسِ مَن وصفه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الجهة الثانية، فقام بتأليف هذه الرسالة، و لم يكتف بالإجابة على الجهة الثانية فقط، بل أجاب على كلا الجهتين المتقدّمتين للبحث، و ذلك كما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الجهة الأُولى فقد جزم بوقوع الزواج، و اعتبره من الأُمور المعلومة تاريخيّاً و التي لا ينبغي الشكّ فيها، بل ينبغي البحث عن مَخلص للإجابة عن الإشكال الذي تثيره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 فقد قام بتوسعة مجال البحث ليشمل تزويج النبيّ صلّى اللّٰهُ عليه و آلِه ابنتيه من عثمان، و زواجه هو صلّى اللّٰهُ عليه و آلِه من عائشة و حفصة، فإنّ نفس الإشكال في هؤلاء وارد أيضاً؛ لأنّهم قد جحدوا النصّ على أمير المؤمنين عليه السلامُ‌، فكيف يمكن تزويج هؤلاء من بنات مؤمنات أو الزواج منهم‌؟</w:t>
      </w:r>
    </w:p>
    <w:p>
      <w:pPr>
        <w:pStyle w:val="BookText"/>
        <w:rPr/>
      </w:pPr>
      <w:r>
        <w:rPr>
          <w:rFonts w:ascii="Amiri" w:hAnsi="Amiri" w:eastAsia="Amiri" w:cs="Amiri"/>
          <w:color w:val="111111"/>
          <w:sz w:val="28"/>
          <w:sz w:val="28"/>
          <w:szCs w:val="28"/>
          <w:rtl w:val="true"/>
          <w:lang w:bidi="ar-SA"/>
        </w:rPr>
        <w:t>و لا ينفع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حالة هؤلاء مختلفة عن حالة الخليفة الثاني؛ لأنّ هؤلاء عند زواجهم ما كانوا قد جحدوا النصّ بعدُ، و إنّما جحدوه بعد وفاة النبيّ صلّى اللّٰهُ عليه و آلِه، فيكونون عند زواجهم من المؤمنين، و لا إشكال حينئذ في زواجهم، بينما كان الخليفة الثاني عند زواجه جاحداً للنصّ‌، فيكون الإشكال خاصّاً بزواج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الكلام لا يُجدي؛ لأنّه وفقاً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يؤمن بها الشريف المرتضى و غيره من متكلّمي الإماميّة، أنّ المؤمن لا يمكن أن يكفر أبداً، فلو وجدنا شخصاً قد فعل ما يوجب الكفر في فترة متأخّرة من حياته، فسوف نعلم أنّه ما كان مؤمناً طيلة حياته، و أنّه كان منذ البداية مُظهراً للإيمان و مُبطناً للكفر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إذا جحد شخصٌ النصّ بعد وفاة النبيّ صلّى اللّٰهُ عليه و آلِه، نعلم أنّه ما كان مؤمناً منذ البداية، و حتّى في حياة النبيّ صلّى اللّٰهُ عليه و آلِه، و بذلك يرد على زواج الخليفة الثالث و عائشة و حفصة نفسُ الإشكال الوارد على تزويج الخليفة الثاني، من دون فرق بينهم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قام الشريف المرتضى بالإجابة على كلا الإشكالين،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زواج الخليفة الثالث من بنات النبيّ صلّى اللّٰهُ عليه و آلِه، و زواج النبيّ صلّى اللّٰهُ عليه و آلِه من عائشة و حفصة، و إشكال زواج الخليفة الثاني من بنت أمير المؤمنين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البداية جواباً عامّاً و مختصراً، و هو أنّه يمكن مبدئياً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من الناحية العقليّة في تزويج الكافر، و هو ليس أمراً مستقبحاً ذاتيّاً، فإذا رأينا النبيّ صلّى اللّٰهُ عليه و آلِه أو أمير المؤمنين عليه السلامُ قد فعلوا ذلك، فسوف نجزم بصحّة فعلهما؛ لأنّ الأحكام تؤخذ من أفعالهما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بعد ذلك عن زواج الخليفة الثالث و عائشة و حفصة بعدّة إجابات،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 عند زواجهم كانوا يظهرون الإيمان، و لم يكونوا جاحدين للنصّ‌، بينما كان الخليفة الثاني حين زواجه جاحداً للنصّ علناً، و هذا يعني أنّ حال أولئك أفضل من حاله، و أنّ الإشكال فيهم أضعف، و لعلّ اللّٰه تعالى لم يُطلع رسوله صلّى اللّٰهُ عليه و آلِه على حالهم بعد وفاته، فزوّجهم بناء على ظاهر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النبيّ صلّى اللّٰهُ عليه و آلِه ما علم من حال عائشة و حفصة إلّاقتال أمير المؤمنين عليه السلامُ و التحريض عليه، من دون أن يكون ذلك على سبيل الاستحلال له و جحد إمامته، و مجرّدُ القتال ليس كفراً بل فسق، و لا إشكال في الزواج من الشخص الذي سوف يفسق في المستقبل، و خاصّة أنّه يمكن أن يتقدّم الإيمان على الفسق، على خلاف الكفر الذي لا يمكن أن يتقدّم الإيمان عليه، كما تقدّم عند الإشارة إلى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يمكن أن يقال بجواز نكاح المنافق، و أنّه لا يجري مجرى نكاح المُظهر للكفر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يكون النبيّ صلّى اللّٰهُ عليه و آلِه قد فعل هذا الأمر تدبيراً و سياسة و تألّفاً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النقطة تعرّض الشريف المرتضى للإجابة على إشكال زواج الخليفة الثاني من بنت أمير المؤمنين عليه السلامُ‌، حيث أجاب عن ذلك بأنّ أمير </w:t>
      </w:r>
      <w:bookmarkStart w:id="693" w:name="pg16425_221853"/>
    </w:p>
    <w:p>
      <w:pPr>
        <w:pStyle w:val="BookText"/>
        <w:rPr/>
      </w:pPr>
      <w:bookmarkEnd w:id="693"/>
      <w:r>
        <w:rPr>
          <w:rFonts w:ascii="Amiri" w:hAnsi="Amiri" w:eastAsia="Amiri" w:cs="Amiri"/>
          <w:color w:val="111111"/>
          <w:sz w:val="28"/>
          <w:sz w:val="28"/>
          <w:szCs w:val="28"/>
          <w:rtl w:val="true"/>
          <w:lang w:bidi="ar-SA"/>
        </w:rPr>
        <w:t>المؤمنين عليه السلامُ لم يزوّج بنته اختياراً و عن رضى، بل كان مُكرهاً على ذلك، و ما فعله إلّاتقيّة، و ذلك بعد التهديد و الوعيد، و ليس النكاح بأشدّ خطراً من البيعة لهم، و إظهار طاعتهم، فإنّ أمير المؤمنين عليه السلامُ قد فعل كلّ ذلك تقيّة، فيمكن أن يكون قد رضي بالزواج تقيّة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الإجابات التي أجاب بها الشريف المرتضى في هذه الرسالة عن الإشكالات المتقدمة</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7830357_1280447820"/>
      <w:bookmarkStart w:id="695" w:name="_Toc227"/>
      <w:bookmarkEnd w:id="694"/>
      <w:r>
        <w:rPr>
          <w:rtl w:val="true"/>
        </w:rPr>
        <w:t>نسبتها إلى المؤلّف</w:t>
      </w:r>
      <w:bookmarkEnd w:id="695"/>
    </w:p>
    <w:p>
      <w:pPr>
        <w:pStyle w:val="BookText"/>
        <w:rPr/>
      </w:pPr>
      <w:r>
        <w:rPr>
          <w:rFonts w:ascii="Amiri" w:hAnsi="Amiri" w:eastAsia="Amiri" w:cs="Amiri"/>
          <w:color w:val="111111"/>
          <w:sz w:val="28"/>
          <w:sz w:val="28"/>
          <w:szCs w:val="28"/>
          <w:rtl w:val="true"/>
          <w:lang w:bidi="ar-SA"/>
        </w:rPr>
        <w:t>يدلّ على صحّة نسبة الرسالة إلى الشريف المرتضى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الإجابات الواردة فيها موافق لمَا هو موجود في كتبه و رسائله الأُخرى؛ فقد أجاب هناك بنفس الإجابات مع شيء من الاختلاف بالإجمال و التفصيل</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النظريّات الكلاميّة المطروحة فيها موافقة لنظريّات الشريف المرتضى المعروفة، مثل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الموافاة</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أشار في رسالته الأُخرىٰ حول نكاح أمّ كلثوم إلى تأليفه رسالة مستقلّة حول الموضوع،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أزلنا الشبهة المعترضة بها، و أفردنا كلاماً استقصيناه و استوفيناه في نكاح أُمّ كلثوم و إنكاح النبيّ بنتَيه من عثمان بن عفّان، و نكاحه هو عليه السلامُ أيضاً عائشة و حفصة، و شرحنا ذلك و بسطناه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ينطبق على الرسالة التي بين أيدينا انطباقاً تامّاً، فإنّها رسالة مستقلّة، و تعرّضت إلى زواج المذكورين</w:t>
      </w:r>
      <w:r>
        <w:rPr>
          <w:rFonts w:eastAsia="Amiri" w:cs="Amiri" w:ascii="Amiri" w:hAnsi="Amiri"/>
          <w:color w:val="111111"/>
          <w:sz w:val="28"/>
          <w:szCs w:val="28"/>
          <w:rtl w:val="true"/>
          <w:lang w:bidi="ar-SA"/>
        </w:rPr>
        <w:t xml:space="preserve">. </w:t>
      </w:r>
      <w:bookmarkStart w:id="696" w:name="pg16425_221854"/>
    </w:p>
    <w:p>
      <w:pPr>
        <w:pStyle w:val="BookText"/>
        <w:rPr/>
      </w:pPr>
      <w:bookmarkEnd w:id="69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هذه الرسالة بأكملها في كتابه المنتظم، و نسبها إلى الشريف المرتضى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ناصر الحافظ، أخبرنا أبو الفضل أحمد بن الحسين بن خيرون المعدّل أنّه نَسَخَ من نسخةٍ ذَكَرَ ناسخُها أنّه كتبها عن المرتضى، من تأليفه و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نصّ الرسالة</w:t>
      </w:r>
      <w:r>
        <w:rPr>
          <w:rStyle w:val="FootnoteAnchor"/>
          <w:rtl w:val="true"/>
        </w:rPr>
        <w:footnoteReference w:id="1384"/>
      </w:r>
      <w:r>
        <w:rPr>
          <w:rFonts w:ascii="Amiri" w:hAnsi="Amiri" w:eastAsia="Amiri" w:cs="Amiri"/>
          <w:color w:val="111111"/>
          <w:sz w:val="28"/>
          <w:sz w:val="28"/>
          <w:szCs w:val="28"/>
          <w:rtl w:val="true"/>
          <w:lang w:bidi="ar-SA"/>
        </w:rPr>
        <w:t>و هذا يدلّ على تصحيح النسبة بصورة كبيرة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كلّ هذه القرائن تدلّ علىٰ تصحيح نسبة الرسالة</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7830359_1280447820"/>
      <w:bookmarkStart w:id="698" w:name="_Toc228"/>
      <w:bookmarkEnd w:id="697"/>
      <w:r>
        <w:rPr>
          <w:rtl w:val="true"/>
        </w:rPr>
        <w:t>من فوائد المخطوطات</w:t>
      </w:r>
      <w:bookmarkEnd w:id="698"/>
    </w:p>
    <w:p>
      <w:pPr>
        <w:pStyle w:val="BookText"/>
        <w:rPr/>
      </w:pPr>
      <w:r>
        <w:rPr>
          <w:rFonts w:ascii="Amiri" w:hAnsi="Amiri" w:eastAsia="Amiri" w:cs="Amiri"/>
          <w:color w:val="111111"/>
          <w:sz w:val="28"/>
          <w:sz w:val="28"/>
          <w:szCs w:val="28"/>
          <w:rtl w:val="true"/>
          <w:lang w:bidi="ar-SA"/>
        </w:rPr>
        <w:t xml:space="preserve">جاء في هامش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 هذه الرسالة فائدة من الناصر جدّ الشريف المرتضى لأُمّه، فضّلنا نقلها هنا و إن كانت تختلف في الرؤية مع ما ذكره الشريف المرتضى في هذه الرسالة، و الفائدة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للحقّ جدُّ المرتضى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عندنا أنّ عليّاً عليه السلام لم يزوّج ابنته من عمر، و أنّ عمر جاء إلى عليّ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خاطباً على أمّ كلثوم، و قد بذلتُ لها من المهر أربعين ألف درهم، 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سبب و نسب منقطع يوم القيامة إلّاسببي و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فأحببتُ أن يكون لي برسول اللّٰه صلّى اللّٰه عليه و آله سبب و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يمنعنا إلّاالصغر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 و انصرف عنه، و بعث إلى العبّاس و دعاه،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أبي بأس‌؟</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أمير المؤمنين‌؟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إلى ابن أخيك فردّني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لم يفعل لأردمنّ زمزم فأضيّق على </w:t>
      </w:r>
    </w:p>
    <w:p>
      <w:pPr>
        <w:pStyle w:val="BookText"/>
        <w:rPr/>
      </w:pPr>
      <w:r>
        <w:rPr>
          <w:rFonts w:ascii="Amiri" w:hAnsi="Amiri" w:eastAsia="Amiri" w:cs="Amiri"/>
          <w:color w:val="111111"/>
          <w:sz w:val="28"/>
          <w:sz w:val="28"/>
          <w:szCs w:val="28"/>
          <w:rtl w:val="true"/>
          <w:lang w:bidi="ar-SA"/>
        </w:rPr>
        <w:t>الطائفين، و لأرفعنّ السقاية، و لأمحونّ أسماءَكم من ديوان الأعطية، و لا أدع لكم مكرمة إلّاطمستُها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حتّى ألقاه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يقول كذا و كذا، و أوعد كذلك، و اللّٰه لا آمنه أن يفعل شرّاً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صغيرة، و مثلها لا 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حتّى أردّ عنك بأمر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تطمعه في التزويج، و اعمل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ما جرى بينهم في خطبتها، فلم يبالِ عليٌّ بتهديده و إيعاده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غلط الناس في ذلك؛ لأنّ عمر كانت عنده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بنت الجرو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الخزاعيّة، فوافق اسمها اسمها، فغلطوا و ظنّوا أنّ تلك أُمّ كلثوم بنت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هو إمامي المذهب أم زيدي المذهب‌؟ فالإمامية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إمامي، و الزيدية تقول بأنّه زيدي،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كتبتُ هذا النقل مِن خطّ مَن نَقَلَ مِن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كانت هذه الرسالة قد طبعت من قبل مؤتمر ألفيّة الشيخ المفيد رحمه اللّٰه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ذيل رسالة منسوبة للشيخ المفيد حول نفس الموضوع، عنوانها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عليّ عليه السلام بنته من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حَملت هذه الرسالة الرقم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رسائل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الطبعة هي التي أشير إليها في هذا التحقيق بكلمة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طبعت في ضمن كتاب المنتظم لابن الجوزي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نصّ الرسالة من كتاب المنتظم في مجلّة كتاب الشيعة، العدد المزدوج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699" w:name="pg16425_221856"/>
    </w:p>
    <w:p>
      <w:pPr>
        <w:pStyle w:val="Heading5"/>
        <w:numPr>
          <w:ilvl w:val="4"/>
          <w:numId w:val="1"/>
        </w:numPr>
        <w:rPr/>
      </w:pPr>
      <w:bookmarkStart w:id="700" w:name="__RefHeading___Toc7830361_1280447820"/>
      <w:bookmarkStart w:id="701" w:name="_Toc229"/>
      <w:bookmarkEnd w:id="699"/>
      <w:bookmarkEnd w:id="700"/>
      <w:r>
        <w:rPr>
          <w:rtl w:val="true"/>
        </w:rPr>
        <w:t>مخطوطات الرسالة</w:t>
      </w:r>
      <w:bookmarkEnd w:id="701"/>
    </w:p>
    <w:p>
      <w:pPr>
        <w:pStyle w:val="Heading6"/>
        <w:numPr>
          <w:ilvl w:val="5"/>
          <w:numId w:val="1"/>
        </w:numPr>
        <w:rPr/>
      </w:pPr>
      <w:bookmarkStart w:id="702" w:name="__RefHeading___Toc7830363_1280447820"/>
      <w:bookmarkStart w:id="703" w:name="_Toc230"/>
      <w:bookmarkEnd w:id="702"/>
      <w:r>
        <w:rPr>
          <w:rtl w:val="true"/>
        </w:rPr>
        <w:t>ألف</w:t>
      </w:r>
      <w:r>
        <w:rPr>
          <w:rtl w:val="true"/>
        </w:rPr>
        <w:t xml:space="preserve">) </w:t>
      </w:r>
      <w:r>
        <w:rPr>
          <w:rtl w:val="true"/>
        </w:rPr>
        <w:t>النسخ المعتمدة</w:t>
      </w:r>
      <w:r>
        <w:rPr>
          <w:rtl w:val="true"/>
        </w:rPr>
        <w:t>:</w:t>
      </w:r>
      <w:bookmarkEnd w:id="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السلطاني بكاشان، المرقّمة </w:t>
      </w:r>
      <w:r>
        <w:rPr>
          <w:rFonts w:eastAsia="Amiri" w:cs="Amiri" w:ascii="Amiri" w:hAnsi="Amiri"/>
          <w:color w:val="111111"/>
          <w:sz w:val="28"/>
          <w:szCs w:val="28"/>
          <w:lang w:bidi="ar-SA"/>
        </w:rPr>
        <w:t>300/5</w:t>
      </w:r>
      <w:r>
        <w:rPr>
          <w:rFonts w:ascii="Amiri" w:hAnsi="Amiri" w:eastAsia="Amiri" w:cs="Amiri"/>
          <w:color w:val="111111"/>
          <w:sz w:val="28"/>
          <w:sz w:val="28"/>
          <w:szCs w:val="28"/>
          <w:rtl w:val="true"/>
          <w:lang w:bidi="ar-SA"/>
        </w:rPr>
        <w:t xml:space="preserve">؛ نُسخت في أوائل 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النسخ، و لم يُعلم اسم ناسخها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مجموعة تحتوي على سبع رسالات مختلفة، لا تتعلّق بالشريف المرتضى إلّا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هوامشها علامات للتصحيح و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تشاهد في الورقة الأُولىٰ منها علامات للتّملّك و الوقف، منها ما تتعلّق بسيف الدين قاضي حسن مع خاتمه البيضوي المكتوب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سيف الدين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ما كُتب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 الراجي محمّد بن محمّد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ما كُتب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 مؤمن بن محمّد</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الملك بطهران، المرقّمة </w:t>
      </w:r>
      <w:r>
        <w:rPr>
          <w:rFonts w:eastAsia="Amiri" w:cs="Amiri" w:ascii="Amiri" w:hAnsi="Amiri"/>
          <w:color w:val="111111"/>
          <w:sz w:val="28"/>
          <w:szCs w:val="28"/>
          <w:lang w:bidi="ar-SA"/>
        </w:rPr>
        <w:t>1838/5</w:t>
      </w:r>
      <w:r>
        <w:rPr>
          <w:rFonts w:ascii="Amiri" w:hAnsi="Amiri" w:eastAsia="Amiri" w:cs="Amiri"/>
          <w:color w:val="111111"/>
          <w:sz w:val="28"/>
          <w:sz w:val="28"/>
          <w:szCs w:val="28"/>
          <w:rtl w:val="true"/>
          <w:lang w:bidi="ar-SA"/>
        </w:rPr>
        <w:t xml:space="preserve">؛ نسخت بخطّ النستعليق، و لم يُعلم اسم ناسخها، و الظاهر أنّها تتعلّق بالقرن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تشاهد علامة وقف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خاتمه، و علامة أُخرى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 عليّ 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مجموعة تحتوي على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متعدّدة، لا تتعلّق بالشريف المرتضى إلّا هذه الرسالة</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 xml:space="preserve">و رمزنا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3694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 و كان الفراغ من نسخها في ربيع الأوّل سنة</w:t>
      </w:r>
      <w:bookmarkStart w:id="704" w:name="pg16425_221857"/>
    </w:p>
    <w:p>
      <w:pPr>
        <w:pStyle w:val="BookText"/>
        <w:rPr/>
      </w:pPr>
      <w:bookmarkEnd w:id="704"/>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قد تقرأ السنة، و قد تقرأ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903/3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نسخها حمزة بن محمود الحلّي متولّي مسجد الشمس في الحلّة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مخطوطة مكتبة آية اللّٰه الگلپايگاني رحمه اللّٰه بقمّ‌، المرقّمة </w:t>
      </w:r>
      <w:r>
        <w:rPr>
          <w:rFonts w:eastAsia="IRNazanin" w:cs="IRNazanin"/>
          <w:color w:val="111111"/>
          <w:sz w:val="28"/>
          <w:szCs w:val="28"/>
          <w:lang w:bidi="fa-IR"/>
        </w:rPr>
        <w:t>6853</w:t>
      </w:r>
      <w:r>
        <w:rPr>
          <w:rFonts w:eastAsia="IRNazanin" w:cs="IRNazanin"/>
          <w:color w:val="111111"/>
          <w:sz w:val="28"/>
          <w:szCs w:val="28"/>
          <w:rtl w:val="true"/>
          <w:lang w:bidi="fa-IR"/>
        </w:rPr>
        <w:t xml:space="preserve"> (</w:t>
      </w:r>
      <w:r>
        <w:rPr>
          <w:rFonts w:eastAsia="IRNazanin" w:cs="IRNazanin"/>
          <w:color w:val="111111"/>
          <w:sz w:val="28"/>
          <w:szCs w:val="28"/>
          <w:lang w:bidi="fa-IR"/>
        </w:rPr>
        <w:t>12507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رحيم الكاتب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شفيع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الأعوام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النستعليق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مجموعة تحتوي على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لا تتعلّق بالشريف المرتضى إلّاهذه الرسالة، و هي الرسالة الثالثة من المجموعة، و نسبت في فهرس المكتبة سهواً إلى الشيخ البهائي</w:t>
      </w:r>
      <w:r>
        <w:rPr>
          <w:rFonts w:eastAsia="Amiri" w:cs="Amiri" w:ascii="Amiri" w:hAnsi="Amiri"/>
          <w:color w:val="111111"/>
          <w:sz w:val="28"/>
          <w:szCs w:val="28"/>
          <w:rtl w:val="true"/>
          <w:lang w:bidi="ar-SA"/>
        </w:rPr>
        <w:t>.</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و تشاهد في الورقة الأُولى من النسخة علامة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بن محمّد تلقي الطسوجي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خاتمه بتاريخ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 الرسالة في ثلاث صفحات،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7830365_1280447820"/>
      <w:bookmarkStart w:id="706" w:name="_Toc231"/>
      <w:bookmarkEnd w:id="705"/>
      <w:r>
        <w:rPr>
          <w:rtl w:val="true"/>
        </w:rPr>
        <w:t>ب</w:t>
      </w:r>
      <w:r>
        <w:rPr>
          <w:rtl w:val="true"/>
        </w:rPr>
        <w:t xml:space="preserve">) </w:t>
      </w:r>
      <w:r>
        <w:rPr>
          <w:rtl w:val="true"/>
        </w:rPr>
        <w:t>سائر النسخ</w:t>
      </w:r>
      <w:r>
        <w:rPr>
          <w:rtl w:val="true"/>
        </w:rPr>
        <w:t>:</w:t>
      </w:r>
      <w:bookmarkEnd w:id="7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الفيضيّة بقمّ‌، المرقّمة </w:t>
      </w:r>
      <w:r>
        <w:rPr>
          <w:rFonts w:eastAsia="Amiri" w:cs="Amiri" w:ascii="Amiri" w:hAnsi="Amiri"/>
          <w:color w:val="111111"/>
          <w:sz w:val="28"/>
          <w:szCs w:val="28"/>
          <w:lang w:bidi="ar-SA"/>
        </w:rPr>
        <w:t>1879/6</w:t>
      </w:r>
      <w:r>
        <w:rPr>
          <w:rFonts w:ascii="Amiri" w:hAnsi="Amiri" w:eastAsia="Amiri" w:cs="Amiri"/>
          <w:color w:val="111111"/>
          <w:sz w:val="28"/>
          <w:sz w:val="28"/>
          <w:szCs w:val="28"/>
          <w:rtl w:val="true"/>
          <w:lang w:bidi="ar-SA"/>
        </w:rPr>
        <w:t xml:space="preserve">؛ 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تراب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النستعليق، و فرغ منها يوم الخميس، الرابع من جمادى الثانية،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المشهد الغروي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تشاهد فيها صورة 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جمادى الثاني من شهور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 مجموعة تحتوي على ست رسائل، لا تتعلّق بالشريف المرتضى إلّاهذه الرسالة، و هي الرسالة السادسة منها</w:t>
      </w:r>
      <w:r>
        <w:rPr>
          <w:rFonts w:eastAsia="Amiri" w:cs="Amiri" w:ascii="Amiri" w:hAnsi="Amiri"/>
          <w:color w:val="111111"/>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 xml:space="preserve">و تقع في صفحة واحدة،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أمير المؤمنين عليه السلامُ بالنجف الأشرف، المرقّمة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بن أحمد الأمينيّ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الرسالة تقع في خمس صفحات،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7539</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البروجردي رحمه اللّٰه بقمّ‌، المرقّمة </w:t>
      </w:r>
      <w:r>
        <w:rPr>
          <w:rFonts w:eastAsia="Amiri" w:cs="Amiri" w:ascii="Amiri" w:hAnsi="Amiri"/>
          <w:color w:val="111111"/>
          <w:sz w:val="28"/>
          <w:szCs w:val="28"/>
          <w:lang w:bidi="ar-SA"/>
        </w:rPr>
        <w:t>224/8</w:t>
      </w:r>
      <w:r>
        <w:rPr>
          <w:rFonts w:ascii="Amiri" w:hAnsi="Amiri" w:eastAsia="Amiri" w:cs="Amiri"/>
          <w:color w:val="111111"/>
          <w:sz w:val="28"/>
          <w:sz w:val="28"/>
          <w:szCs w:val="28"/>
          <w:rtl w:val="true"/>
          <w:lang w:bidi="ar-SA"/>
        </w:rPr>
        <w:t xml:space="preserve">؛ 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أحمد بن عليّ أكبر الخادمي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العاشر من رجب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بأمر آية اللّٰه البروجردي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مجموعة تحتوي على ثمان رسائل، لا تتعلّق بالشريف المرتضى إلّاهذه الرسالة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مؤسّسة كاشف الغطاء بالنجف؛ نسخها السيّد أحمد بن السيّد حبيب زوين الحسيني الأعرجي النجفي في المشهد الغروي،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7" w:name="pg16425_221860"/>
      <w:bookmarkStart w:id="708" w:name="pg16425_221860"/>
      <w:bookmarkEnd w:id="708"/>
    </w:p>
    <w:p>
      <w:pPr>
        <w:pStyle w:val="Heading4"/>
        <w:numPr>
          <w:ilvl w:val="3"/>
          <w:numId w:val="1"/>
        </w:numPr>
        <w:rPr/>
      </w:pPr>
      <w:bookmarkStart w:id="709" w:name="pg16425_221860"/>
      <w:bookmarkStart w:id="710" w:name="__RefHeading___Toc7830367_1280447820"/>
      <w:bookmarkStart w:id="711" w:name="_Toc232"/>
      <w:bookmarkEnd w:id="709"/>
      <w:bookmarkEnd w:id="710"/>
      <w:r>
        <w:rPr>
          <w:rtl w:val="true"/>
        </w:rPr>
        <w:t>إنكاحُ أميرِ المُؤمِنينَ عليه السلام ابنَتَه مِن عُمَرَ</w:t>
      </w:r>
      <w:bookmarkEnd w:id="711"/>
    </w:p>
    <w:p>
      <w:pPr>
        <w:pStyle w:val="Heading5"/>
        <w:numPr>
          <w:ilvl w:val="4"/>
          <w:numId w:val="1"/>
        </w:numPr>
        <w:rPr/>
      </w:pPr>
      <w:bookmarkStart w:id="712" w:name="__RefHeading___Toc7830369_1280447820"/>
      <w:bookmarkStart w:id="713" w:name="_Toc233"/>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مَسألةٌ‌</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1392"/>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تَمكينَه</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السببِ في إنكاحِ‌</w:t>
      </w:r>
      <w:r>
        <w:rPr>
          <w:rStyle w:val="FootnoteAnchor"/>
          <w:rtl w:val="true"/>
        </w:rPr>
        <w:footnoteReference w:id="1394"/>
      </w:r>
      <w:r>
        <w:rPr>
          <w:rFonts w:ascii="Amiri" w:hAnsi="Amiri" w:eastAsia="Amiri" w:cs="Amiri"/>
          <w:color w:val="111111"/>
          <w:sz w:val="28"/>
          <w:sz w:val="28"/>
          <w:szCs w:val="28"/>
          <w:rtl w:val="true"/>
          <w:lang w:bidi="ar-SA"/>
        </w:rPr>
        <w:t>أميرِ المُؤمنينَ عليه السلامُ بِنتَه عُمَرَ بنَ الخَطّابِ‌، و كَيفَ يَصِحُّ ذلكَ معَ اعتقادِ الشيعةِ الإماميَّةِ في عُمَرَ أنَّهُ علىٰ حالٍ لا يَجوزُ مَعَها إنكاحُه‌؟</w:t>
      </w:r>
      <w:r>
        <w:rPr>
          <w:rStyle w:val="FootnoteAnchor"/>
          <w:rtl w:val="true"/>
        </w:rPr>
        <w:footnoteReference w:id="1395"/>
      </w:r>
      <w:r>
        <w:rPr>
          <w:rFonts w:ascii="Amiri" w:hAnsi="Amiri" w:eastAsia="Amiri" w:cs="Amiri"/>
          <w:color w:val="111111"/>
          <w:sz w:val="28"/>
          <w:sz w:val="28"/>
          <w:szCs w:val="28"/>
          <w:rtl w:val="true"/>
          <w:lang w:bidi="ar-SA"/>
        </w:rPr>
        <w:t>و أنَا أذكُرُ</w:t>
      </w:r>
      <w:r>
        <w:rPr>
          <w:rStyle w:val="FootnoteAnchor"/>
          <w:rtl w:val="true"/>
        </w:rPr>
        <w:footnoteReference w:id="1396"/>
      </w:r>
      <w:r>
        <w:rPr>
          <w:rFonts w:ascii="Amiri" w:hAnsi="Amiri" w:eastAsia="Amiri" w:cs="Amiri"/>
          <w:color w:val="111111"/>
          <w:sz w:val="28"/>
          <w:sz w:val="28"/>
          <w:szCs w:val="28"/>
          <w:rtl w:val="true"/>
          <w:lang w:bidi="ar-SA"/>
        </w:rPr>
        <w:t>مِنَ الكلامِ في ذلكَ جُملَةً كافيَةً يُنتَفَعُ‌</w:t>
      </w:r>
      <w:r>
        <w:rPr>
          <w:rStyle w:val="FootnoteAnchor"/>
          <w:rtl w:val="true"/>
        </w:rPr>
        <w:footnoteReference w:id="1397"/>
      </w:r>
      <w:r>
        <w:rPr>
          <w:rFonts w:ascii="Amiri" w:hAnsi="Amiri" w:eastAsia="Amiri" w:cs="Amiri"/>
          <w:color w:val="111111"/>
          <w:sz w:val="28"/>
          <w:sz w:val="28"/>
          <w:szCs w:val="28"/>
          <w:rtl w:val="true"/>
          <w:lang w:bidi="ar-SA"/>
        </w:rPr>
        <w:t>بالِاطِّلاعِ علَيها</w:t>
      </w:r>
      <w:r>
        <w:rPr>
          <w:rFonts w:eastAsia="Amiri" w:cs="Amiri" w:ascii="Amiri" w:hAnsi="Amiri"/>
          <w:color w:val="111111"/>
          <w:sz w:val="28"/>
          <w:szCs w:val="28"/>
          <w:rtl w:val="true"/>
          <w:lang w:bidi="ar-SA"/>
        </w:rPr>
        <w:t>.</w:t>
      </w:r>
      <w:r>
        <w:rPr>
          <w:rStyle w:val="FootnoteAnchor"/>
          <w:rtl w:val="true"/>
        </w:rPr>
        <w:footnoteReference w:id="139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Style w:val="FootnoteAnchor"/>
          <w:rtl w:val="true"/>
        </w:rPr>
        <w:footnoteReference w:id="1399"/>
      </w:r>
      <w:r>
        <w:rPr>
          <w:rFonts w:ascii="Amiri" w:hAnsi="Amiri" w:eastAsia="Amiri" w:cs="Amiri"/>
          <w:color w:val="111111"/>
          <w:sz w:val="28"/>
          <w:sz w:val="28"/>
          <w:szCs w:val="28"/>
          <w:rtl w:val="true"/>
          <w:lang w:bidi="ar-SA"/>
        </w:rPr>
        <w:t>أنَّ الزَّيديَّةَ‌</w:t>
      </w:r>
      <w:r>
        <w:rPr>
          <w:rStyle w:val="FootnoteAnchor"/>
          <w:rtl w:val="true"/>
        </w:rPr>
        <w:footnoteReference w:id="1400"/>
      </w:r>
      <w:r>
        <w:rPr>
          <w:rFonts w:ascii="Amiri" w:hAnsi="Amiri" w:eastAsia="Amiri" w:cs="Amiri"/>
          <w:color w:val="111111"/>
          <w:sz w:val="28"/>
          <w:sz w:val="28"/>
          <w:szCs w:val="28"/>
          <w:rtl w:val="true"/>
          <w:lang w:bidi="ar-SA"/>
        </w:rPr>
        <w:t xml:space="preserve">القائِلينَ بالنَّصِّ علىٰ‌ </w:t>
      </w:r>
    </w:p>
    <w:p>
      <w:pPr>
        <w:pStyle w:val="BookText"/>
        <w:rPr/>
      </w:pPr>
      <w:r>
        <w:rPr>
          <w:rFonts w:ascii="Amiri" w:hAnsi="Amiri" w:eastAsia="Amiri" w:cs="Amiri"/>
          <w:color w:val="111111"/>
          <w:sz w:val="28"/>
          <w:sz w:val="28"/>
          <w:szCs w:val="28"/>
          <w:rtl w:val="true"/>
          <w:lang w:bidi="ar-SA"/>
        </w:rPr>
        <w:t>أميرِ المُؤمنينَ عليه السلامُ‌</w:t>
      </w:r>
      <w:r>
        <w:rPr>
          <w:rStyle w:val="FootnoteAnchor"/>
          <w:rtl w:val="true"/>
        </w:rPr>
        <w:footnoteReference w:id="1401"/>
      </w:r>
      <w:r>
        <w:rPr>
          <w:rFonts w:ascii="Amiri" w:hAnsi="Amiri" w:eastAsia="Amiri" w:cs="Amiri"/>
          <w:color w:val="111111"/>
          <w:sz w:val="28"/>
          <w:sz w:val="28"/>
          <w:szCs w:val="28"/>
          <w:rtl w:val="true"/>
          <w:lang w:bidi="ar-SA"/>
        </w:rPr>
        <w:t>بَعدَ الرسولِ صلّى اللّٰهُ عليه و آلِه بغَيرِ فَصلٍ قَد</w:t>
      </w:r>
      <w:r>
        <w:rPr>
          <w:rStyle w:val="FootnoteAnchor"/>
          <w:rtl w:val="true"/>
        </w:rPr>
        <w:footnoteReference w:id="1402"/>
      </w:r>
      <w:r>
        <w:rPr>
          <w:rFonts w:ascii="Amiri" w:hAnsi="Amiri" w:eastAsia="Amiri" w:cs="Amiri"/>
          <w:color w:val="111111"/>
          <w:sz w:val="28"/>
          <w:sz w:val="28"/>
          <w:szCs w:val="28"/>
          <w:rtl w:val="true"/>
          <w:lang w:bidi="ar-SA"/>
        </w:rPr>
        <w:t>سَلِموا مِن هذِه المَسألةِ و أمثالِها؛ لأنَّهُم يَذهَبونَ إلىٰ‌</w:t>
      </w:r>
      <w:r>
        <w:rPr>
          <w:rStyle w:val="FootnoteAnchor"/>
          <w:rtl w:val="true"/>
        </w:rPr>
        <w:footnoteReference w:id="1403"/>
      </w:r>
      <w:r>
        <w:rPr>
          <w:rFonts w:ascii="Amiri" w:hAnsi="Amiri" w:eastAsia="Amiri" w:cs="Amiri"/>
          <w:color w:val="111111"/>
          <w:sz w:val="28"/>
          <w:sz w:val="28"/>
          <w:szCs w:val="28"/>
          <w:rtl w:val="true"/>
          <w:lang w:bidi="ar-SA"/>
        </w:rPr>
        <w:t xml:space="preserve">أنَّ دَفعَ النَّصِّ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ذَنباً كَبيراً يُستَحَقُّ بِه الخُلودُ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بِكُفرٍ، و الفاسِقُ يَجوزُ نِكاحُه و إنكاحُه</w:t>
      </w:r>
      <w:r>
        <w:rPr>
          <w:rStyle w:val="FootnoteAnchor"/>
          <w:rtl w:val="true"/>
        </w:rPr>
        <w:footnoteReference w:id="1404"/>
      </w:r>
      <w:r>
        <w:rPr>
          <w:rFonts w:ascii="Amiri" w:hAnsi="Amiri" w:eastAsia="Amiri" w:cs="Amiri"/>
          <w:color w:val="111111"/>
          <w:sz w:val="28"/>
          <w:sz w:val="28"/>
          <w:szCs w:val="28"/>
          <w:rtl w:val="true"/>
          <w:lang w:bidi="ar-SA"/>
        </w:rPr>
        <w:t>، و لَيسَ كذلكَ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الكلامُ معَ الإماميّةِ الذينَ يَذهَبونُ إلىٰ أنَّ دفعَ النَّصِّ كُفرٌ، و يُسأَلونَ‌</w:t>
      </w:r>
      <w:r>
        <w:rPr>
          <w:rStyle w:val="FootnoteAnchor"/>
          <w:rtl w:val="true"/>
        </w:rPr>
        <w:footnoteReference w:id="1405"/>
      </w:r>
      <w:r>
        <w:rPr>
          <w:rFonts w:ascii="Amiri" w:hAnsi="Amiri" w:eastAsia="Amiri" w:cs="Amiri"/>
          <w:color w:val="111111"/>
          <w:sz w:val="28"/>
          <w:sz w:val="28"/>
          <w:szCs w:val="28"/>
          <w:rtl w:val="true"/>
          <w:lang w:bidi="ar-SA"/>
        </w:rPr>
        <w:t>علىٰ ذلكَ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إنكاحُ النبيِّ صَلَّى اللّٰهُ علَيه و آلِه عُثمانَ بنَ عَفّانَ ابنَتَيهِ واحِدةً بَعدَ أُخرىٰ‌، و أنَّ ذلكَ يَمنَعُ‌</w:t>
      </w:r>
      <w:r>
        <w:rPr>
          <w:rStyle w:val="FootnoteAnchor"/>
          <w:rtl w:val="true"/>
        </w:rPr>
        <w:footnoteReference w:id="1406"/>
      </w:r>
      <w:r>
        <w:rPr>
          <w:rFonts w:ascii="Amiri" w:hAnsi="Amiri" w:eastAsia="Amiri" w:cs="Amiri"/>
          <w:color w:val="111111"/>
          <w:sz w:val="28"/>
          <w:sz w:val="28"/>
          <w:szCs w:val="28"/>
          <w:rtl w:val="true"/>
          <w:lang w:bidi="ar-SA"/>
        </w:rPr>
        <w:t>القَولَ بِكُفرِه بِجَحدِه النَّصَّ علىٰ أميرِ المُؤمِنينَ‌</w:t>
      </w:r>
      <w:r>
        <w:rPr>
          <w:rStyle w:val="FootnoteAnchor"/>
          <w:rtl w:val="true"/>
        </w:rPr>
        <w:footnoteReference w:id="140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و لَيسَ لَكُم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 النَّصِّ إنَّما كانَ بعَدَ وَفاةِ النبيِّ صلّى اللّٰهُ عليه و آلِه، فَهوَ غَيرُ مُؤَثِّرٍ</w:t>
      </w:r>
      <w:r>
        <w:rPr>
          <w:rStyle w:val="FootnoteAnchor"/>
          <w:rtl w:val="true"/>
        </w:rPr>
        <w:footnoteReference w:id="1409"/>
      </w:r>
      <w:r>
        <w:rPr>
          <w:rFonts w:ascii="Amiri" w:hAnsi="Amiri" w:eastAsia="Amiri" w:cs="Amiri"/>
          <w:color w:val="111111"/>
          <w:sz w:val="28"/>
          <w:sz w:val="28"/>
          <w:szCs w:val="28"/>
          <w:rtl w:val="true"/>
          <w:lang w:bidi="ar-SA"/>
        </w:rPr>
        <w:t>، و إنَّما</w:t>
      </w:r>
      <w:r>
        <w:rPr>
          <w:rStyle w:val="FootnoteAnchor"/>
          <w:rtl w:val="true"/>
        </w:rPr>
        <w:footnoteReference w:id="1410"/>
      </w:r>
      <w:r>
        <w:rPr>
          <w:rFonts w:ascii="Amiri" w:hAnsi="Amiri" w:eastAsia="Amiri" w:cs="Amiri"/>
          <w:color w:val="111111"/>
          <w:sz w:val="28"/>
          <w:sz w:val="28"/>
          <w:szCs w:val="28"/>
          <w:rtl w:val="true"/>
          <w:lang w:bidi="ar-SA"/>
        </w:rPr>
        <w:t>يَقدَحُ‌</w:t>
      </w:r>
      <w:r>
        <w:rPr>
          <w:rStyle w:val="FootnoteAnchor"/>
          <w:rtl w:val="true"/>
        </w:rPr>
        <w:footnoteReference w:id="1411"/>
      </w:r>
      <w:r>
        <w:rPr>
          <w:rFonts w:ascii="Amiri" w:hAnsi="Amiri" w:eastAsia="Amiri" w:cs="Amiri"/>
          <w:color w:val="111111"/>
          <w:sz w:val="28"/>
          <w:sz w:val="28"/>
          <w:szCs w:val="28"/>
          <w:rtl w:val="true"/>
          <w:lang w:bidi="ar-SA"/>
        </w:rPr>
        <w:t>فِيما يَكونُ في حَياتِه صلّى اللّٰهُ عليه و آلِه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دَفعَ النَّصِّ عندَكُم كُفرٌ</w:t>
      </w:r>
      <w:r>
        <w:rPr>
          <w:rStyle w:val="FootnoteAnchor"/>
          <w:rtl w:val="true"/>
        </w:rPr>
        <w:footnoteReference w:id="1412"/>
      </w:r>
      <w:r>
        <w:rPr>
          <w:rFonts w:ascii="Amiri" w:hAnsi="Amiri" w:eastAsia="Amiri" w:cs="Amiri"/>
          <w:color w:val="111111"/>
          <w:sz w:val="28"/>
          <w:sz w:val="28"/>
          <w:szCs w:val="28"/>
          <w:rtl w:val="true"/>
          <w:lang w:bidi="ar-SA"/>
        </w:rPr>
        <w:t>، و الكافِرُ</w:t>
      </w:r>
      <w:r>
        <w:rPr>
          <w:rStyle w:val="FootnoteAnchor"/>
          <w:rtl w:val="true"/>
        </w:rPr>
        <w:footnoteReference w:id="1413"/>
      </w:r>
      <w:r>
        <w:rPr>
          <w:rFonts w:ascii="Amiri" w:hAnsi="Amiri" w:eastAsia="Amiri" w:cs="Amiri"/>
          <w:color w:val="111111"/>
          <w:sz w:val="28"/>
          <w:sz w:val="28"/>
          <w:szCs w:val="28"/>
          <w:rtl w:val="true"/>
          <w:lang w:bidi="ar-SA"/>
        </w:rPr>
        <w:t xml:space="preserve">لا يَجوزُ أن يَقَعَ مِنه إيمانٌ مُتَقدِّمٌ‌؛ بَلِ‌ </w:t>
      </w:r>
    </w:p>
    <w:p>
      <w:pPr>
        <w:pStyle w:val="BookText"/>
        <w:rPr/>
      </w:pPr>
      <w:r>
        <w:rPr>
          <w:rFonts w:ascii="Amiri" w:hAnsi="Amiri" w:eastAsia="Amiri" w:cs="Amiri"/>
          <w:color w:val="111111"/>
          <w:sz w:val="28"/>
          <w:sz w:val="28"/>
          <w:szCs w:val="28"/>
          <w:rtl w:val="true"/>
          <w:lang w:bidi="ar-SA"/>
        </w:rPr>
        <w:t>المُستَقِرُّ عندَكُم</w:t>
      </w:r>
      <w:r>
        <w:rPr>
          <w:rStyle w:val="FootnoteAnchor"/>
          <w:rtl w:val="true"/>
        </w:rPr>
        <w:footnoteReference w:id="1414"/>
      </w:r>
      <w:r>
        <w:rPr>
          <w:rFonts w:ascii="Amiri" w:hAnsi="Amiri" w:eastAsia="Amiri" w:cs="Amiri"/>
          <w:color w:val="111111"/>
          <w:sz w:val="28"/>
          <w:sz w:val="28"/>
          <w:szCs w:val="28"/>
          <w:rtl w:val="true"/>
          <w:lang w:bidi="ar-SA"/>
        </w:rPr>
        <w:t>أنَّ مَن آمَنَ باللّٰهِ طَرفةَ عَينٍ لا يَجوزُ أن يَكفُرَ بَعدَ إيمانِه</w:t>
      </w:r>
      <w:r>
        <w:rPr>
          <w:rFonts w:eastAsia="Amiri" w:cs="Amiri" w:ascii="Amiri" w:hAnsi="Amiri"/>
          <w:color w:val="111111"/>
          <w:sz w:val="28"/>
          <w:szCs w:val="28"/>
          <w:rtl w:val="true"/>
          <w:lang w:bidi="ar-SA"/>
        </w:rPr>
        <w:t>.</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فعَلىٰ هذَا المَذهَبِ أنَّ كُلَّ مَن كفَرَ بدَفعِ‌</w:t>
      </w:r>
      <w:r>
        <w:rPr>
          <w:rStyle w:val="FootnoteAnchor"/>
          <w:rtl w:val="true"/>
        </w:rPr>
        <w:footnoteReference w:id="1416"/>
      </w:r>
      <w:r>
        <w:rPr>
          <w:rFonts w:ascii="Amiri" w:hAnsi="Amiri" w:eastAsia="Amiri" w:cs="Amiri"/>
          <w:color w:val="111111"/>
          <w:sz w:val="28"/>
          <w:sz w:val="28"/>
          <w:szCs w:val="28"/>
          <w:rtl w:val="true"/>
          <w:lang w:bidi="ar-SA"/>
        </w:rPr>
        <w:t>النَّصِّ لا يَجوزُ</w:t>
      </w:r>
      <w:r>
        <w:rPr>
          <w:rStyle w:val="FootnoteAnchor"/>
          <w:rtl w:val="true"/>
        </w:rPr>
        <w:footnoteReference w:id="1417"/>
      </w:r>
      <w:r>
        <w:rPr>
          <w:rFonts w:ascii="Amiri" w:hAnsi="Amiri" w:eastAsia="Amiri" w:cs="Amiri"/>
          <w:color w:val="111111"/>
          <w:sz w:val="28"/>
          <w:sz w:val="28"/>
          <w:szCs w:val="28"/>
          <w:rtl w:val="true"/>
          <w:lang w:bidi="ar-SA"/>
        </w:rPr>
        <w:t>أن يَكونَ لَه حالُ‌</w:t>
      </w:r>
      <w:r>
        <w:rPr>
          <w:rStyle w:val="FootnoteAnchor"/>
          <w:rtl w:val="true"/>
        </w:rPr>
        <w:footnoteReference w:id="1418"/>
      </w:r>
      <w:r>
        <w:rPr>
          <w:rFonts w:ascii="Amiri" w:hAnsi="Amiri" w:eastAsia="Amiri" w:cs="Amiri"/>
          <w:color w:val="111111"/>
          <w:sz w:val="28"/>
          <w:sz w:val="28"/>
          <w:szCs w:val="28"/>
          <w:rtl w:val="true"/>
          <w:lang w:bidi="ar-SA"/>
        </w:rPr>
        <w:t>إيمانٍ مُتَقدِّمةٌ‌</w:t>
      </w:r>
      <w:r>
        <w:rPr>
          <w:rStyle w:val="FootnoteAnchor"/>
          <w:rtl w:val="true"/>
        </w:rPr>
        <w:footnoteReference w:id="1419"/>
      </w:r>
      <w:r>
        <w:rPr>
          <w:rFonts w:ascii="Amiri" w:hAnsi="Amiri" w:eastAsia="Amiri" w:cs="Amiri"/>
          <w:color w:val="111111"/>
          <w:sz w:val="28"/>
          <w:sz w:val="28"/>
          <w:szCs w:val="28"/>
          <w:rtl w:val="true"/>
          <w:lang w:bidi="ar-SA"/>
        </w:rPr>
        <w:t>و إن أظهَرَ الإيمانَ فهوَ مُبطِنٌ لخِلافِه</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لازمةٌ‌</w:t>
      </w:r>
      <w:r>
        <w:rPr>
          <w:rStyle w:val="FootnoteAnchor"/>
          <w:rtl w:val="true"/>
        </w:rPr>
        <w:footnoteReference w:id="1421"/>
      </w:r>
      <w:r>
        <w:rPr>
          <w:rFonts w:ascii="Amiri" w:hAnsi="Amiri" w:eastAsia="Amiri" w:cs="Amiri"/>
          <w:color w:val="111111"/>
          <w:sz w:val="28"/>
          <w:sz w:val="28"/>
          <w:szCs w:val="28"/>
          <w:rtl w:val="true"/>
          <w:lang w:bidi="ar-SA"/>
        </w:rPr>
        <w:t>معَ هذَا التحقيقِ‌</w:t>
      </w:r>
      <w:r>
        <w:rPr>
          <w:rFonts w:eastAsia="Amiri" w:cs="Amiri" w:ascii="Amiri" w:hAnsi="Amiri"/>
          <w:color w:val="111111"/>
          <w:sz w:val="28"/>
          <w:szCs w:val="28"/>
          <w:rtl w:val="true"/>
          <w:lang w:bidi="ar-SA"/>
        </w:rPr>
        <w:t>.</w:t>
      </w:r>
      <w:r>
        <w:rPr>
          <w:rStyle w:val="FootnoteAnchor"/>
          <w:rtl w:val="true"/>
        </w:rPr>
        <w:footnoteReference w:id="142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مَسائِلِهم أيضاً علىٰ هذَا المَذهَبِ‌</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إذا كانَت بقِتالِها لأميرِ</w:t>
      </w:r>
      <w:r>
        <w:rPr>
          <w:rStyle w:val="FootnoteAnchor"/>
          <w:rtl w:val="true"/>
        </w:rPr>
        <w:footnoteReference w:id="1424"/>
      </w:r>
      <w:r>
        <w:rPr>
          <w:rFonts w:ascii="Amiri" w:hAnsi="Amiri" w:eastAsia="Amiri" w:cs="Amiri"/>
          <w:color w:val="111111"/>
          <w:sz w:val="28"/>
          <w:sz w:val="28"/>
          <w:szCs w:val="28"/>
          <w:rtl w:val="true"/>
          <w:lang w:bidi="ar-SA"/>
        </w:rPr>
        <w:t>المُؤمِنينَ عليه السلامُ قَد كفَرَت</w:t>
      </w:r>
      <w:r>
        <w:rPr>
          <w:rStyle w:val="FootnoteAnchor"/>
          <w:rtl w:val="true"/>
        </w:rPr>
        <w:footnoteReference w:id="1425"/>
      </w:r>
      <w:r>
        <w:rPr>
          <w:rFonts w:ascii="Amiri" w:hAnsi="Amiri" w:eastAsia="Amiri" w:cs="Amiri"/>
          <w:color w:val="111111"/>
          <w:sz w:val="28"/>
          <w:sz w:val="28"/>
          <w:szCs w:val="28"/>
          <w:rtl w:val="true"/>
          <w:lang w:bidi="ar-SA"/>
        </w:rPr>
        <w:t>، و بدَفعِها أيضاً إمامَتَه؛ و كانَت حَفصَةُ‌</w:t>
      </w:r>
      <w:r>
        <w:rPr>
          <w:rStyle w:val="FootnoteAnchor"/>
          <w:rtl w:val="true"/>
        </w:rPr>
        <w:footnoteReference w:id="1426"/>
      </w:r>
      <w:r>
        <w:rPr>
          <w:rFonts w:ascii="Amiri" w:hAnsi="Amiri" w:eastAsia="Amiri" w:cs="Amiri"/>
          <w:color w:val="111111"/>
          <w:sz w:val="28"/>
          <w:sz w:val="28"/>
          <w:szCs w:val="28"/>
          <w:rtl w:val="true"/>
          <w:lang w:bidi="ar-SA"/>
        </w:rPr>
        <w:t>شَريكَةً لَها في إنكارِ إمامَتِه و الإجلابِ‌</w:t>
      </w:r>
      <w:r>
        <w:rPr>
          <w:rStyle w:val="FootnoteAnchor"/>
          <w:rtl w:val="true"/>
        </w:rPr>
        <w:footnoteReference w:id="1427"/>
      </w:r>
      <w:r>
        <w:rPr>
          <w:rFonts w:ascii="Amiri" w:hAnsi="Amiri" w:eastAsia="Amiri" w:cs="Amiri"/>
          <w:color w:val="111111"/>
          <w:sz w:val="28"/>
          <w:sz w:val="28"/>
          <w:szCs w:val="28"/>
          <w:rtl w:val="true"/>
          <w:lang w:bidi="ar-SA"/>
        </w:rPr>
        <w:t>علَيه، فقَدِ اشتَرَكَتا في الكُفرِ؛ و علىٰ مَذهَبِكُم</w:t>
      </w:r>
      <w:r>
        <w:rPr>
          <w:rStyle w:val="FootnoteAnchor"/>
          <w:rtl w:val="true"/>
        </w:rPr>
        <w:footnoteReference w:id="1428"/>
      </w:r>
      <w:r>
        <w:rPr>
          <w:rFonts w:ascii="Amiri" w:hAnsi="Amiri" w:eastAsia="Amiri" w:cs="Amiri"/>
          <w:color w:val="111111"/>
          <w:sz w:val="28"/>
          <w:sz w:val="28"/>
          <w:szCs w:val="28"/>
          <w:rtl w:val="true"/>
          <w:lang w:bidi="ar-SA"/>
        </w:rPr>
        <w:t>لا يَجوزُ أن يَكونَ الإيمانُ واقعاً في حالٍ مُتَقَدِّمٍ مِمّن كفَرَ و ماتَ علىٰ كُفرِه، فكَيفَ ساغَ للنبيِّ صلّى اللّٰهُ عليه و آلِه أن يَنكِحَهُما، و هُما في تِلكَ الحالِ غَيرُ مُؤمِناتٍ‌</w:t>
      </w:r>
      <w:r>
        <w:rPr>
          <w:rStyle w:val="FootnoteAnchor"/>
          <w:rtl w:val="true"/>
        </w:rPr>
        <w:footnoteReference w:id="14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714" w:name="pg16425_221863"/>
    </w:p>
    <w:p>
      <w:pPr>
        <w:pStyle w:val="BookText"/>
        <w:rPr/>
      </w:pPr>
      <w:bookmarkEnd w:id="714"/>
      <w:r>
        <w:rPr>
          <w:rFonts w:ascii="Amiri" w:hAnsi="Amiri" w:eastAsia="Amiri" w:cs="Amiri"/>
          <w:color w:val="111111"/>
          <w:sz w:val="28"/>
          <w:sz w:val="28"/>
          <w:szCs w:val="28"/>
          <w:rtl w:val="true"/>
          <w:lang w:bidi="ar-SA"/>
        </w:rPr>
        <w:t>و مِنَ المَسائلِ أيضاً</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أميرِ المُؤمِنينَ عليه السلامُ بِنتَه عُمَرَ</w:t>
      </w:r>
      <w:r>
        <w:rPr>
          <w:rStyle w:val="FootnoteAnchor"/>
          <w:rtl w:val="true"/>
        </w:rPr>
        <w:footnoteReference w:id="1431"/>
      </w:r>
      <w:r>
        <w:rPr>
          <w:rFonts w:ascii="Amiri" w:hAnsi="Amiri" w:eastAsia="Amiri" w:cs="Amiri"/>
          <w:color w:val="111111"/>
          <w:sz w:val="28"/>
          <w:sz w:val="28"/>
          <w:szCs w:val="28"/>
          <w:rtl w:val="true"/>
          <w:lang w:bidi="ar-SA"/>
        </w:rPr>
        <w:t>بنَ الخَطّابِ‌، و تَحقيقُ الكَلامِ في ذلكَ كتَحقيقِه في عُثمانَ‌، و قَد تَقدَّمَ مِنهُ‌</w:t>
      </w:r>
      <w:r>
        <w:rPr>
          <w:rStyle w:val="FootnoteAnchor"/>
          <w:rtl w:val="true"/>
        </w:rPr>
        <w:footnoteReference w:id="1432"/>
      </w:r>
      <w:r>
        <w:rPr>
          <w:rFonts w:ascii="Amiri" w:hAnsi="Amiri" w:eastAsia="Amiri" w:cs="Amiri"/>
          <w:color w:val="111111"/>
          <w:sz w:val="28"/>
          <w:sz w:val="28"/>
          <w:szCs w:val="28"/>
          <w:rtl w:val="true"/>
          <w:lang w:bidi="ar-SA"/>
        </w:rPr>
        <w:t>ما فِيه كِفايةٌ‌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7830371_1280447820"/>
      <w:bookmarkStart w:id="716" w:name="_Toc234"/>
      <w:bookmarkEnd w:id="715"/>
      <w:r>
        <w:rPr>
          <w:rtl w:val="true"/>
        </w:rPr>
        <w:t>إنكاحُ النبيِّ صلى الله عليه و آله ابنَتَيهِ عُثمانَ و نكاحُه عائشةَ و حفصةَ‌</w:t>
      </w:r>
      <w:bookmarkEnd w:id="716"/>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إنكاحَ الكافِرِ أو نِكاحَ الكافِرَةِ‌</w:t>
      </w:r>
      <w:r>
        <w:rPr>
          <w:rStyle w:val="FootnoteAnchor"/>
          <w:rtl w:val="true"/>
        </w:rPr>
        <w:footnoteReference w:id="1433"/>
      </w:r>
      <w:r>
        <w:rPr>
          <w:rFonts w:ascii="Amiri" w:hAnsi="Amiri" w:eastAsia="Amiri" w:cs="Amiri"/>
          <w:color w:val="111111"/>
          <w:sz w:val="28"/>
          <w:sz w:val="28"/>
          <w:szCs w:val="28"/>
          <w:rtl w:val="true"/>
          <w:lang w:bidi="ar-SA"/>
        </w:rPr>
        <w:t>أمرٌ لا يَدفَعُه العَقلُ‌، و لَيسَ في مُجَرَّدِهِ‌</w:t>
      </w:r>
      <w:r>
        <w:rPr>
          <w:rStyle w:val="FootnoteAnchor"/>
          <w:rtl w:val="true"/>
        </w:rPr>
        <w:footnoteReference w:id="1434"/>
      </w:r>
      <w:r>
        <w:rPr>
          <w:rFonts w:ascii="Amiri" w:hAnsi="Amiri" w:eastAsia="Amiri" w:cs="Amiri"/>
          <w:color w:val="111111"/>
          <w:sz w:val="28"/>
          <w:sz w:val="28"/>
          <w:szCs w:val="28"/>
          <w:rtl w:val="true"/>
          <w:lang w:bidi="ar-SA"/>
        </w:rPr>
        <w:t>ما يَقتَضي قُبحَه، و إنَّما يُرجَعُ في قُبحِه و حُسنِه</w:t>
      </w:r>
      <w:r>
        <w:rPr>
          <w:rStyle w:val="FootnoteAnchor"/>
          <w:rtl w:val="true"/>
        </w:rPr>
        <w:footnoteReference w:id="1435"/>
      </w:r>
      <w:r>
        <w:rPr>
          <w:rFonts w:ascii="Amiri" w:hAnsi="Amiri" w:eastAsia="Amiri" w:cs="Amiri"/>
          <w:color w:val="111111"/>
          <w:sz w:val="28"/>
          <w:sz w:val="28"/>
          <w:szCs w:val="28"/>
          <w:rtl w:val="true"/>
          <w:lang w:bidi="ar-SA"/>
        </w:rPr>
        <w:t>إلىٰ أدِلَّةِ‌</w:t>
      </w:r>
      <w:r>
        <w:rPr>
          <w:rStyle w:val="FootnoteAnchor"/>
          <w:rtl w:val="true"/>
        </w:rPr>
        <w:footnoteReference w:id="1436"/>
      </w:r>
      <w:r>
        <w:rPr>
          <w:rFonts w:ascii="Amiri" w:hAnsi="Amiri" w:eastAsia="Amiri" w:cs="Amiri"/>
          <w:color w:val="111111"/>
          <w:sz w:val="28"/>
          <w:sz w:val="28"/>
          <w:szCs w:val="28"/>
          <w:rtl w:val="true"/>
          <w:lang w:bidi="ar-SA"/>
        </w:rPr>
        <w:t>السَّمعِ‌، و لا شَيءَ أَوضَحُ و أَدَلُّ علَى الأحكامِ مِن فِعلِ النبيِّ صلّى اللّٰهُ عليه و آلِه و</w:t>
      </w:r>
      <w:r>
        <w:rPr>
          <w:rStyle w:val="FootnoteAnchor"/>
          <w:rtl w:val="true"/>
        </w:rPr>
        <w:footnoteReference w:id="1437"/>
      </w:r>
      <w:r>
        <w:rPr>
          <w:rFonts w:ascii="Amiri" w:hAnsi="Amiri" w:eastAsia="Amiri" w:cs="Amiri"/>
          <w:color w:val="111111"/>
          <w:sz w:val="28"/>
          <w:sz w:val="28"/>
          <w:szCs w:val="28"/>
          <w:rtl w:val="true"/>
          <w:lang w:bidi="ar-SA"/>
        </w:rPr>
        <w:t>فِعلِ أميرِ المُؤمِنينَ عليه السلامُ‌؛ و إذا رَأَيناهُما قَد نَكَحا و أَنكَحا إلىٰ مَن ذُكِرَت حالُه، و فِعلُهما عليهما السلامُ حُجَّةٌ و مِمّا لا يَقَعُ إلّاصَحيحاً و صَواباً، قَطَعنا علىٰ جَوازِ</w:t>
      </w:r>
      <w:r>
        <w:rPr>
          <w:rStyle w:val="FootnoteAnchor"/>
          <w:rtl w:val="true"/>
        </w:rPr>
        <w:footnoteReference w:id="1438"/>
      </w:r>
      <w:r>
        <w:rPr>
          <w:rFonts w:ascii="Amiri" w:hAnsi="Amiri" w:eastAsia="Amiri" w:cs="Amiri"/>
          <w:color w:val="111111"/>
          <w:sz w:val="28"/>
          <w:sz w:val="28"/>
          <w:szCs w:val="28"/>
          <w:rtl w:val="true"/>
          <w:lang w:bidi="ar-SA"/>
        </w:rPr>
        <w:t>ذلكَ‌، و أنَّهُ غَيرُ قَبيحٍ‌، و لا مَحظورٍ</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فلَيسَت</w:t>
      </w:r>
      <w:r>
        <w:rPr>
          <w:rStyle w:val="FootnoteAnchor"/>
          <w:rtl w:val="true"/>
        </w:rPr>
        <w:footnoteReference w:id="1440"/>
      </w:r>
      <w:r>
        <w:rPr>
          <w:rFonts w:ascii="Amiri" w:hAnsi="Amiri" w:eastAsia="Amiri" w:cs="Amiri"/>
          <w:color w:val="111111"/>
          <w:sz w:val="28"/>
          <w:sz w:val="28"/>
          <w:szCs w:val="28"/>
          <w:rtl w:val="true"/>
          <w:lang w:bidi="ar-SA"/>
        </w:rPr>
        <w:t>حالُ عُثمانَ في نِكاحِه</w:t>
      </w:r>
      <w:r>
        <w:rPr>
          <w:rStyle w:val="FootnoteAnchor"/>
          <w:rtl w:val="true"/>
        </w:rPr>
        <w:footnoteReference w:id="1441"/>
      </w:r>
      <w:r>
        <w:rPr>
          <w:rFonts w:ascii="Amiri" w:hAnsi="Amiri" w:eastAsia="Amiri" w:cs="Amiri"/>
          <w:color w:val="111111"/>
          <w:sz w:val="28"/>
          <w:sz w:val="28"/>
          <w:szCs w:val="28"/>
          <w:rtl w:val="true"/>
          <w:lang w:bidi="ar-SA"/>
        </w:rPr>
        <w:t xml:space="preserve">بِنتَي رَسولِ اللّٰهِ صلّى اللّٰهُ عليه و آلِه </w:t>
      </w:r>
    </w:p>
    <w:p>
      <w:pPr>
        <w:pStyle w:val="BookText"/>
        <w:rPr/>
      </w:pPr>
      <w:r>
        <w:rPr>
          <w:rFonts w:ascii="Amiri" w:hAnsi="Amiri" w:eastAsia="Amiri" w:cs="Amiri"/>
          <w:color w:val="111111"/>
          <w:sz w:val="28"/>
          <w:sz w:val="28"/>
          <w:szCs w:val="28"/>
          <w:rtl w:val="true"/>
          <w:lang w:bidi="ar-SA"/>
        </w:rPr>
        <w:t>و حالُ‌</w:t>
      </w:r>
      <w:r>
        <w:rPr>
          <w:rStyle w:val="FootnoteAnchor"/>
          <w:rtl w:val="true"/>
        </w:rPr>
        <w:footnoteReference w:id="1442"/>
      </w:r>
      <w:r>
        <w:rPr>
          <w:rFonts w:ascii="Amiri" w:hAnsi="Amiri" w:eastAsia="Amiri" w:cs="Amiri"/>
          <w:color w:val="111111"/>
          <w:sz w:val="28"/>
          <w:sz w:val="28"/>
          <w:szCs w:val="28"/>
          <w:rtl w:val="true"/>
          <w:lang w:bidi="ar-SA"/>
        </w:rPr>
        <w:t>عائِشةَ و حَفصةَ كحالِ عُمَرَ بنِ الخَطّابِ في نِكاحِه بِنتَ أميرِ المُؤمِنينَ عليه السلامُ‌؛ لأنَّ عُثمانَ كانَ في حَياةِ النبيِّ صلّى اللّٰهُ عليه و آلِه لَم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يَظهَر مِنهُ ما يُنافي الإيمانَ‌، و إنَّما كانَ مُظهِراً بغَيرِ شَكٍّ الإيمانَ‌</w:t>
      </w:r>
      <w:r>
        <w:rPr>
          <w:rStyle w:val="FootnoteAnchor"/>
          <w:rtl w:val="true"/>
        </w:rPr>
        <w:footnoteReference w:id="1443"/>
      </w:r>
      <w:r>
        <w:rPr>
          <w:rFonts w:ascii="Amiri" w:hAnsi="Amiri" w:eastAsia="Amiri" w:cs="Amiri"/>
          <w:color w:val="111111"/>
          <w:sz w:val="28"/>
          <w:sz w:val="28"/>
          <w:szCs w:val="28"/>
          <w:rtl w:val="true"/>
          <w:lang w:bidi="ar-SA"/>
        </w:rPr>
        <w:t>، و كذلكَ عائِشةُ و حَفصَةُ‌، و عُمَرُ بنُ الخَطّابِ في حالِ نِكاحِ‌</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بِنتِ أميرِ المُؤمِنينَ عليه السلامُ كانَ مُظهِراً مِن جَحدِ النَّصِّ ما هوَ كُفرٌ؛ فَالحالُ‌</w:t>
      </w:r>
      <w:r>
        <w:rPr>
          <w:rStyle w:val="FootnoteAnchor"/>
          <w:rtl w:val="true"/>
        </w:rPr>
        <w:footnoteReference w:id="1444"/>
      </w:r>
      <w:r>
        <w:rPr>
          <w:rFonts w:ascii="Amiri" w:hAnsi="Amiri" w:eastAsia="Amiri" w:cs="Amiri"/>
          <w:color w:val="111111"/>
          <w:sz w:val="28"/>
          <w:sz w:val="28"/>
          <w:szCs w:val="28"/>
          <w:rtl w:val="true"/>
          <w:lang w:bidi="ar-SA"/>
        </w:rPr>
        <w:t>مُفتَرِقَةٌ‌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انتفاعٍ‌</w:t>
      </w:r>
      <w:r>
        <w:rPr>
          <w:rStyle w:val="FootnoteAnchor"/>
          <w:rtl w:val="true"/>
        </w:rPr>
        <w:footnoteReference w:id="1446"/>
      </w:r>
      <w:r>
        <w:rPr>
          <w:rFonts w:ascii="Amiri" w:hAnsi="Amiri" w:eastAsia="Amiri" w:cs="Amiri"/>
          <w:color w:val="111111"/>
          <w:sz w:val="28"/>
          <w:sz w:val="28"/>
          <w:szCs w:val="28"/>
          <w:rtl w:val="true"/>
          <w:lang w:bidi="ar-SA"/>
        </w:rPr>
        <w:t>بإظهارِ الإيمانِ و النبيُّ صَلَّى اللّٰهُ علَيه و آلِه يَقطَعُ علىٰ كُفرِ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مُظهِرِه في الباطِنِ‌</w:t>
      </w:r>
      <w:r>
        <w:rPr>
          <w:rStyle w:val="FootnoteAnchor"/>
          <w:rtl w:val="true"/>
        </w:rPr>
        <w:footnoteReference w:id="1447"/>
      </w:r>
      <w:r>
        <w:rPr>
          <w:rFonts w:ascii="Amiri" w:hAnsi="Amiri" w:eastAsia="Amiri" w:cs="Amiri"/>
          <w:color w:val="111111"/>
          <w:sz w:val="28"/>
          <w:sz w:val="28"/>
          <w:szCs w:val="28"/>
          <w:rtl w:val="true"/>
          <w:lang w:bidi="ar-SA"/>
        </w:rPr>
        <w:t>؟ لأنَّهُ إذَا عَلِمَ أنَّه سيَظهَرُ مِمَّن أَظهَرَ الإيمانَ في تلكَ الأحوالِ كُفرٌ و يَموتُ علَيه، فلا بُدَّ مِن</w:t>
      </w:r>
      <w:r>
        <w:rPr>
          <w:rStyle w:val="FootnoteAnchor"/>
          <w:rtl w:val="true"/>
        </w:rPr>
        <w:footnoteReference w:id="1448"/>
      </w:r>
      <w:r>
        <w:rPr>
          <w:rFonts w:ascii="Amiri" w:hAnsi="Amiri" w:eastAsia="Amiri" w:cs="Amiri"/>
          <w:color w:val="111111"/>
          <w:sz w:val="28"/>
          <w:sz w:val="28"/>
          <w:szCs w:val="28"/>
          <w:rtl w:val="true"/>
          <w:lang w:bidi="ar-SA"/>
        </w:rPr>
        <w:t>أن يَكونَ في الحالِ‌</w:t>
      </w:r>
      <w:r>
        <w:rPr>
          <w:rStyle w:val="FootnoteAnchor"/>
          <w:rtl w:val="true"/>
        </w:rPr>
        <w:footnoteReference w:id="1449"/>
      </w:r>
      <w:r>
        <w:rPr>
          <w:rFonts w:ascii="Amiri" w:hAnsi="Amiri" w:eastAsia="Amiri" w:cs="Amiri"/>
          <w:color w:val="111111"/>
          <w:sz w:val="28"/>
          <w:sz w:val="28"/>
          <w:szCs w:val="28"/>
          <w:rtl w:val="true"/>
          <w:lang w:bidi="ar-SA"/>
        </w:rPr>
        <w:t>قاطِعاً علىٰ أنَّ الإيمانَ المُظهَرَ</w:t>
      </w:r>
      <w:r>
        <w:rPr>
          <w:rStyle w:val="FootnoteAnchor"/>
          <w:rtl w:val="true"/>
        </w:rPr>
        <w:footnoteReference w:id="1450"/>
      </w:r>
      <w:r>
        <w:rPr>
          <w:rFonts w:ascii="Amiri" w:hAnsi="Amiri" w:eastAsia="Amiri" w:cs="Amiri"/>
          <w:color w:val="111111"/>
          <w:sz w:val="28"/>
          <w:sz w:val="28"/>
          <w:szCs w:val="28"/>
          <w:rtl w:val="true"/>
          <w:lang w:bidi="ar-SA"/>
        </w:rPr>
        <w:t>هوَ نِفاقٌ‌، و أنَّ الباطِنَ بخِلافِه؛ فقَد عُدنا إلىٰ أنَّهُ نَكَحَ و أَنكَحَ‌</w:t>
      </w:r>
      <w:r>
        <w:rPr>
          <w:rStyle w:val="FootnoteAnchor"/>
          <w:rtl w:val="true"/>
        </w:rPr>
        <w:footnoteReference w:id="1451"/>
      </w:r>
      <w:r>
        <w:rPr>
          <w:rFonts w:ascii="Amiri" w:hAnsi="Amiri" w:eastAsia="Amiri" w:cs="Amiri"/>
          <w:color w:val="111111"/>
          <w:sz w:val="28"/>
          <w:sz w:val="28"/>
          <w:szCs w:val="28"/>
          <w:rtl w:val="true"/>
          <w:lang w:bidi="ar-SA"/>
        </w:rPr>
        <w:t>معَ القَطعِ علَى الكُفرِ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مُمتَنِعٍ أن يَكونَ صلّى اللّٰهُ عليه و آلِه في حالِ إنكاحِ عُثمانَ‌</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لَم يَكُنِ اللّٰهُ تَعالىٰ أَطلَعَه علىٰ أنَّهُ سيَجحَدُ النَّصَّ بَعدَهُ‌؛ فإنَّ ذلكَ مِمّا لا يَجِبُ الاطِّلاعُ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ظَهَرَ مِن مَذهَبِ الإماميّةِ أنَّهُ صلّى اللّٰهُ عليه و آلِه كانَ مُطَّلِعاً علىٰ ذلكَ‌، فلَيسَ مَعَنا تاريخٌ لِوَقتِ‌</w:t>
      </w:r>
      <w:r>
        <w:rPr>
          <w:rStyle w:val="FootnoteAnchor"/>
          <w:rtl w:val="true"/>
        </w:rPr>
        <w:footnoteReference w:id="1454"/>
      </w:r>
      <w:r>
        <w:rPr>
          <w:rFonts w:ascii="Amiri" w:hAnsi="Amiri" w:eastAsia="Amiri" w:cs="Amiri"/>
          <w:color w:val="111111"/>
          <w:sz w:val="28"/>
          <w:sz w:val="28"/>
          <w:szCs w:val="28"/>
          <w:rtl w:val="true"/>
          <w:lang w:bidi="ar-SA"/>
        </w:rPr>
        <w:t>اطّلاعِه علَيه</w:t>
      </w:r>
      <w:r>
        <w:rPr>
          <w:rStyle w:val="FootnoteAnchor"/>
          <w:rtl w:val="true"/>
        </w:rPr>
        <w:footnoteReference w:id="1455"/>
      </w:r>
      <w:r>
        <w:rPr>
          <w:rFonts w:ascii="Amiri" w:hAnsi="Amiri" w:eastAsia="Amiri" w:cs="Amiri"/>
          <w:color w:val="111111"/>
          <w:sz w:val="28"/>
          <w:sz w:val="28"/>
          <w:szCs w:val="28"/>
          <w:rtl w:val="true"/>
          <w:lang w:bidi="ar-SA"/>
        </w:rPr>
        <w:t>، و يَجوزُ أن يَكونَ علَيه السَّلامُ إنَّما عَلِمَ بذلكَ بَعدَ الإنكاحِ أو بَعدَ مَوتِ المَرأتَينِ المَنكوحَتَينِ‌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القَولُ في عائِشةَ و حَفصَةَ‌؛ لِجَوازِ أن</w:t>
      </w:r>
      <w:r>
        <w:rPr>
          <w:rStyle w:val="FootnoteAnchor"/>
          <w:rtl w:val="true"/>
        </w:rPr>
        <w:footnoteReference w:id="1456"/>
      </w:r>
      <w:r>
        <w:rPr>
          <w:rFonts w:ascii="Amiri" w:hAnsi="Amiri" w:eastAsia="Amiri" w:cs="Amiri"/>
          <w:color w:val="111111"/>
          <w:sz w:val="28"/>
          <w:sz w:val="28"/>
          <w:szCs w:val="28"/>
          <w:rtl w:val="true"/>
          <w:lang w:bidi="ar-SA"/>
        </w:rPr>
        <w:t>يَكونَ ما عَلِمَ بأحوالِهِما إلّابَعدَ النِّكاحِ‌</w:t>
      </w:r>
      <w:r>
        <w:rPr>
          <w:rStyle w:val="FootnoteAnchor"/>
          <w:rtl w:val="true"/>
        </w:rPr>
        <w:footnoteReference w:id="1457"/>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w:t>
      </w:r>
      <w:r>
        <w:rPr>
          <w:rStyle w:val="FootnoteAnchor"/>
          <w:rtl w:val="true"/>
        </w:rPr>
        <w:footnoteReference w:id="145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يَجِبُ علَيه أن يُفارِقَهُما بَعدَ العِلمِ بِما لا يَجوزُ استِمرارُ</w:t>
      </w:r>
      <w:r>
        <w:rPr>
          <w:rStyle w:val="FootnoteAnchor"/>
          <w:rtl w:val="true"/>
        </w:rPr>
        <w:footnoteReference w:id="1459"/>
      </w:r>
      <w:r>
        <w:rPr>
          <w:rFonts w:ascii="Amiri" w:hAnsi="Amiri" w:eastAsia="Amiri" w:cs="Amiri"/>
          <w:color w:val="111111"/>
          <w:sz w:val="28"/>
          <w:sz w:val="28"/>
          <w:szCs w:val="28"/>
          <w:rtl w:val="true"/>
          <w:lang w:bidi="ar-SA"/>
        </w:rPr>
        <w:t>الزَّوجيَّةِ مَعَه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w:t>
      </w:r>
      <w:r>
        <w:rPr>
          <w:rStyle w:val="FootnoteAnchor"/>
          <w:rtl w:val="true"/>
        </w:rPr>
        <w:footnoteReference w:id="1460"/>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 قَطعٌ علىٰ أنَّه صلّى اللّٰهُ عليه و آلِه عَلِمَ‌</w:t>
      </w:r>
      <w:r>
        <w:rPr>
          <w:rStyle w:val="FootnoteAnchor"/>
          <w:rtl w:val="true"/>
        </w:rPr>
        <w:footnoteReference w:id="1461"/>
      </w:r>
      <w:r>
        <w:rPr>
          <w:rFonts w:ascii="Amiri" w:hAnsi="Amiri" w:eastAsia="Amiri" w:cs="Amiri"/>
          <w:color w:val="111111"/>
          <w:sz w:val="28"/>
          <w:sz w:val="28"/>
          <w:szCs w:val="28"/>
          <w:rtl w:val="true"/>
          <w:lang w:bidi="ar-SA"/>
        </w:rPr>
        <w:t>أنَّ المَرأتَينِ‌</w:t>
      </w:r>
      <w:r>
        <w:rPr>
          <w:rStyle w:val="FootnoteAnchor"/>
          <w:rtl w:val="true"/>
        </w:rPr>
        <w:footnoteReference w:id="1462"/>
      </w:r>
      <w:r>
        <w:rPr>
          <w:rFonts w:ascii="Amiri" w:hAnsi="Amiri" w:eastAsia="Amiri" w:cs="Amiri"/>
          <w:color w:val="111111"/>
          <w:sz w:val="28"/>
          <w:sz w:val="28"/>
          <w:szCs w:val="28"/>
          <w:rtl w:val="true"/>
          <w:lang w:bidi="ar-SA"/>
        </w:rPr>
        <w:t>تَجحَدانِ‌</w:t>
      </w:r>
      <w:r>
        <w:rPr>
          <w:rStyle w:val="FootnoteAnchor"/>
          <w:rtl w:val="true"/>
        </w:rPr>
        <w:footnoteReference w:id="1463"/>
      </w:r>
      <w:r>
        <w:rPr>
          <w:rFonts w:ascii="Amiri" w:hAnsi="Amiri" w:eastAsia="Amiri" w:cs="Amiri"/>
          <w:color w:val="111111"/>
          <w:sz w:val="28"/>
          <w:sz w:val="28"/>
          <w:szCs w:val="28"/>
          <w:rtl w:val="true"/>
          <w:lang w:bidi="ar-SA"/>
        </w:rPr>
        <w:t>النَّصَّ‌؛ فإنَّ ذلكَ‌</w:t>
      </w:r>
      <w:r>
        <w:rPr>
          <w:rStyle w:val="FootnoteAnchor"/>
          <w:rtl w:val="true"/>
        </w:rPr>
        <w:footnoteReference w:id="1464"/>
      </w:r>
      <w:r>
        <w:rPr>
          <w:rFonts w:ascii="Amiri" w:hAnsi="Amiri" w:eastAsia="Amiri" w:cs="Amiri"/>
          <w:color w:val="111111"/>
          <w:sz w:val="28"/>
          <w:sz w:val="28"/>
          <w:szCs w:val="28"/>
          <w:rtl w:val="true"/>
          <w:lang w:bidi="ar-SA"/>
        </w:rPr>
        <w:t>لَم تَرِد</w:t>
      </w:r>
      <w:r>
        <w:rPr>
          <w:rStyle w:val="FootnoteAnchor"/>
          <w:rtl w:val="true"/>
        </w:rPr>
        <w:footnoteReference w:id="1465"/>
      </w:r>
      <w:r>
        <w:rPr>
          <w:rFonts w:ascii="Amiri" w:hAnsi="Amiri" w:eastAsia="Amiri" w:cs="Amiri"/>
          <w:color w:val="111111"/>
          <w:sz w:val="28"/>
          <w:sz w:val="28"/>
          <w:szCs w:val="28"/>
          <w:rtl w:val="true"/>
          <w:lang w:bidi="ar-SA"/>
        </w:rPr>
        <w:t xml:space="preserve">به رِوايةٌ مُعتبَرَةٌ‌، و </w:t>
      </w:r>
    </w:p>
    <w:p>
      <w:pPr>
        <w:pStyle w:val="BookText"/>
        <w:rPr/>
      </w:pPr>
      <w:r>
        <w:rPr>
          <w:rFonts w:ascii="Amiri" w:hAnsi="Amiri" w:eastAsia="Amiri" w:cs="Amiri"/>
          <w:color w:val="111111"/>
          <w:sz w:val="28"/>
          <w:sz w:val="28"/>
          <w:szCs w:val="28"/>
          <w:rtl w:val="true"/>
          <w:lang w:bidi="ar-SA"/>
        </w:rPr>
        <w:t xml:space="preserve">أكثَرُ ما وَرَدَت بِه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Style w:val="FootnoteAnchor"/>
          <w:rtl w:val="true"/>
        </w:rPr>
        <w:footnoteReference w:id="1466"/>
      </w:r>
      <w:r>
        <w:rPr>
          <w:rFonts w:ascii="Amiri" w:hAnsi="Amiri" w:eastAsia="Amiri" w:cs="Amiri"/>
          <w:color w:val="111111"/>
          <w:sz w:val="28"/>
          <w:sz w:val="28"/>
          <w:szCs w:val="28"/>
          <w:rtl w:val="true"/>
          <w:lang w:bidi="ar-SA"/>
        </w:rPr>
        <w:t xml:space="preserve">كانَت مِن جِهَةِ الآحادِ و مِمّا لا يُقطَعُ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صلّى اللّٰهُ عليه و آلِه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ستُقاتِلينَهُ‌</w:t>
      </w:r>
      <w:r>
        <w:rPr>
          <w:rStyle w:val="FootnoteAnchor"/>
          <w:rtl w:val="true"/>
        </w:rPr>
        <w:footnoteReference w:id="1467"/>
      </w:r>
      <w:r>
        <w:rPr>
          <w:rFonts w:ascii="Amiri" w:hAnsi="Amiri" w:eastAsia="Amiri" w:cs="Amiri"/>
          <w:color w:val="111111"/>
          <w:sz w:val="28"/>
          <w:sz w:val="28"/>
          <w:szCs w:val="28"/>
          <w:rtl w:val="true"/>
          <w:lang w:bidi="ar-SA"/>
        </w:rPr>
        <w:t>و أنتِ ظالمةٌ لَه</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إذا صَحَّ و قُطِعَ علَيه أمكَنَ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القِتالِ لَيسَ بكُفرٍ، و إنَّما يَكونُ كُفراً إذا وَقَعَ على سَبيلِ الاستِحلالِ‌</w:t>
      </w:r>
      <w:r>
        <w:rPr>
          <w:rStyle w:val="FootnoteAnchor"/>
          <w:rtl w:val="true"/>
        </w:rPr>
        <w:footnoteReference w:id="1469"/>
      </w:r>
      <w:r>
        <w:rPr>
          <w:rFonts w:ascii="Amiri" w:hAnsi="Amiri" w:eastAsia="Amiri" w:cs="Amiri"/>
          <w:color w:val="111111"/>
          <w:sz w:val="28"/>
          <w:sz w:val="28"/>
          <w:szCs w:val="28"/>
          <w:rtl w:val="true"/>
          <w:lang w:bidi="ar-SA"/>
        </w:rPr>
        <w:t>و الجُحودِ لإمامَتِه و نَفيِ فَرضِ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 أن يَكونَ صلّى اللّٰهُ عليه و آلِه لَم يَعلَم بأكثَرَ</w:t>
      </w:r>
      <w:r>
        <w:rPr>
          <w:rStyle w:val="FootnoteAnchor"/>
          <w:rtl w:val="true"/>
        </w:rPr>
        <w:footnoteReference w:id="1470"/>
      </w:r>
      <w:r>
        <w:rPr>
          <w:rFonts w:ascii="Amiri" w:hAnsi="Amiri" w:eastAsia="Amiri" w:cs="Amiri"/>
          <w:color w:val="111111"/>
          <w:sz w:val="28"/>
          <w:sz w:val="28"/>
          <w:szCs w:val="28"/>
          <w:rtl w:val="true"/>
          <w:lang w:bidi="ar-SA"/>
        </w:rPr>
        <w:t>مِن مُجَرَّدِ</w:t>
      </w:r>
      <w:r>
        <w:rPr>
          <w:rStyle w:val="FootnoteAnchor"/>
          <w:rtl w:val="true"/>
        </w:rPr>
        <w:footnoteReference w:id="1471"/>
      </w:r>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يَجوزُ أن يَكونَ فِسقاً، و</w:t>
      </w:r>
      <w:r>
        <w:rPr>
          <w:rStyle w:val="FootnoteAnchor"/>
          <w:rtl w:val="true"/>
        </w:rPr>
        <w:footnoteReference w:id="1472"/>
      </w:r>
      <w:r>
        <w:rPr>
          <w:rFonts w:ascii="Amiri" w:hAnsi="Amiri" w:eastAsia="Amiri" w:cs="Amiri"/>
          <w:color w:val="111111"/>
          <w:sz w:val="28"/>
          <w:sz w:val="28"/>
          <w:szCs w:val="28"/>
          <w:rtl w:val="true"/>
          <w:lang w:bidi="ar-SA"/>
        </w:rPr>
        <w:t xml:space="preserve">يَجوزُ أن يَكونَ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أن يَكونَ قاطِعاً</w:t>
      </w:r>
      <w:r>
        <w:rPr>
          <w:rStyle w:val="FootnoteAnchor"/>
          <w:rtl w:val="true"/>
        </w:rPr>
        <w:footnoteReference w:id="1473"/>
      </w:r>
      <w:r>
        <w:rPr>
          <w:rFonts w:ascii="Amiri" w:hAnsi="Amiri" w:eastAsia="Amiri" w:cs="Amiri"/>
          <w:color w:val="111111"/>
          <w:sz w:val="28"/>
          <w:sz w:val="28"/>
          <w:szCs w:val="28"/>
          <w:rtl w:val="true"/>
          <w:lang w:bidi="ar-SA"/>
        </w:rPr>
        <w:t>على نِفاقِ‌</w:t>
      </w:r>
      <w:r>
        <w:rPr>
          <w:rStyle w:val="FootnoteAnchor"/>
          <w:rtl w:val="true"/>
        </w:rPr>
        <w:footnoteReference w:id="1474"/>
      </w:r>
      <w:r>
        <w:rPr>
          <w:rFonts w:ascii="Amiri" w:hAnsi="Amiri" w:eastAsia="Amiri" w:cs="Amiri"/>
          <w:color w:val="111111"/>
          <w:sz w:val="28"/>
          <w:sz w:val="28"/>
          <w:szCs w:val="28"/>
          <w:rtl w:val="true"/>
          <w:lang w:bidi="ar-SA"/>
        </w:rPr>
        <w:t>المَرأتَينِ في الحالِ‌؛ لأنَّ الفاسِقَ في المُستَقبَلِ لا</w:t>
      </w:r>
      <w:r>
        <w:rPr>
          <w:rStyle w:val="FootnoteAnchor"/>
          <w:rtl w:val="true"/>
        </w:rPr>
        <w:footnoteReference w:id="1475"/>
      </w:r>
      <w:r>
        <w:rPr>
          <w:rFonts w:ascii="Amiri" w:hAnsi="Amiri" w:eastAsia="Amiri" w:cs="Amiri"/>
          <w:color w:val="111111"/>
          <w:sz w:val="28"/>
          <w:sz w:val="28"/>
          <w:szCs w:val="28"/>
          <w:rtl w:val="true"/>
          <w:lang w:bidi="ar-SA"/>
        </w:rPr>
        <w:t>يَمتَنعُ أن يَتَقَدَّمَهُ‌</w:t>
      </w:r>
      <w:r>
        <w:rPr>
          <w:rStyle w:val="FootnoteAnchor"/>
          <w:rtl w:val="true"/>
        </w:rPr>
        <w:footnoteReference w:id="1476"/>
      </w:r>
      <w:r>
        <w:rPr>
          <w:rFonts w:ascii="Amiri" w:hAnsi="Amiri" w:eastAsia="Amiri" w:cs="Amiri"/>
          <w:color w:val="111111"/>
          <w:sz w:val="28"/>
          <w:sz w:val="28"/>
          <w:szCs w:val="28"/>
          <w:rtl w:val="true"/>
          <w:lang w:bidi="ar-SA"/>
        </w:rPr>
        <w:t>الإيمانُ‌، بَل لا يَمتَنِعُ أن يَكونَ في حالِ فِسقِه علَى الإيمانِ‌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المُحاسَبَةُ و المُناقَشَةُ‌</w:t>
      </w:r>
      <w:r>
        <w:rPr>
          <w:rStyle w:val="FootnoteAnchor"/>
          <w:rtl w:val="true"/>
        </w:rPr>
        <w:footnoteReference w:id="1477"/>
      </w:r>
      <w:r>
        <w:rPr>
          <w:rFonts w:ascii="Amiri" w:hAnsi="Amiri" w:eastAsia="Amiri" w:cs="Amiri"/>
          <w:color w:val="111111"/>
          <w:sz w:val="28"/>
          <w:sz w:val="28"/>
          <w:szCs w:val="28"/>
          <w:rtl w:val="true"/>
          <w:lang w:bidi="ar-SA"/>
        </w:rPr>
        <w:t>لَم تَمضِ‌</w:t>
      </w:r>
      <w:r>
        <w:rPr>
          <w:rStyle w:val="FootnoteAnchor"/>
          <w:rtl w:val="true"/>
        </w:rPr>
        <w:footnoteReference w:id="1478"/>
      </w:r>
      <w:r>
        <w:rPr>
          <w:rFonts w:ascii="Amiri" w:hAnsi="Amiri" w:eastAsia="Amiri" w:cs="Amiri"/>
          <w:color w:val="111111"/>
          <w:sz w:val="28"/>
          <w:sz w:val="28"/>
          <w:szCs w:val="28"/>
          <w:rtl w:val="true"/>
          <w:lang w:bidi="ar-SA"/>
        </w:rPr>
        <w:t>في كُتُبِ أحَدٍ مِن أصحابِنا</w:t>
      </w:r>
      <w:r>
        <w:rPr>
          <w:rStyle w:val="FootnoteAnchor"/>
          <w:rtl w:val="true"/>
        </w:rPr>
        <w:footnoteReference w:id="1479"/>
      </w:r>
      <w:r>
        <w:rPr>
          <w:rFonts w:ascii="Amiri" w:hAnsi="Amiri" w:eastAsia="Amiri" w:cs="Amiri"/>
          <w:color w:val="111111"/>
          <w:sz w:val="28"/>
          <w:sz w:val="28"/>
          <w:szCs w:val="28"/>
          <w:rtl w:val="true"/>
          <w:lang w:bidi="ar-SA"/>
        </w:rPr>
        <w:t>، و فيها سُقوطُ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أنَّنا</w:t>
      </w:r>
      <w:r>
        <w:rPr>
          <w:rStyle w:val="FootnoteAnchor"/>
          <w:rtl w:val="true"/>
        </w:rPr>
        <w:footnoteReference w:id="1480"/>
      </w:r>
      <w:r>
        <w:rPr>
          <w:rFonts w:ascii="Amiri" w:hAnsi="Amiri" w:eastAsia="Amiri" w:cs="Amiri"/>
          <w:color w:val="111111"/>
          <w:sz w:val="28"/>
          <w:sz w:val="28"/>
          <w:szCs w:val="28"/>
          <w:rtl w:val="true"/>
          <w:lang w:bidi="ar-SA"/>
        </w:rPr>
        <w:t>إذا سَلَّمنا علىٰ أشَدِّ الوُجوهِ أنَّه صلّى اللّٰهُ عليه و آلِه عَلِمَ أنَّهُما</w:t>
      </w:r>
      <w:r>
        <w:rPr>
          <w:rStyle w:val="FootnoteAnchor"/>
          <w:rtl w:val="true"/>
        </w:rPr>
        <w:footnoteReference w:id="1481"/>
      </w:r>
      <w:r>
        <w:rPr>
          <w:rFonts w:ascii="Amiri" w:hAnsi="Amiri" w:eastAsia="Amiri" w:cs="Amiri"/>
          <w:color w:val="111111"/>
          <w:sz w:val="28"/>
          <w:sz w:val="28"/>
          <w:szCs w:val="28"/>
          <w:rtl w:val="true"/>
          <w:lang w:bidi="ar-SA"/>
        </w:rPr>
        <w:t>في الحالِ علىٰ نِفاقٍ‌، و عَلِمَ في عُثمانَ أيضاً</w:t>
      </w:r>
      <w:r>
        <w:rPr>
          <w:rStyle w:val="FootnoteAnchor"/>
          <w:rtl w:val="true"/>
        </w:rPr>
        <w:footnoteReference w:id="1482"/>
      </w:r>
      <w:r>
        <w:rPr>
          <w:rFonts w:ascii="Amiri" w:hAnsi="Amiri" w:eastAsia="Amiri" w:cs="Amiri"/>
          <w:color w:val="111111"/>
          <w:sz w:val="28"/>
          <w:sz w:val="28"/>
          <w:szCs w:val="28"/>
          <w:rtl w:val="true"/>
          <w:lang w:bidi="ar-SA"/>
        </w:rPr>
        <w:t xml:space="preserve">مِثلَ ذلكَ في حالِ إنكاحِه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نِكاحَ المُنافِقِ و إنكاحَهُ جائزٌ في الشريعَةِ‌، و لا يَجِبُ أن يُجرَى المُنافِقُ مُجرىٰ مُظهِرِ الكُفرِ و مُعلِنِه</w:t>
      </w: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 أن تُفَرِّقَ‌</w:t>
      </w:r>
      <w:r>
        <w:rPr>
          <w:rStyle w:val="FootnoteAnchor"/>
          <w:rtl w:val="true"/>
        </w:rPr>
        <w:footnoteReference w:id="1484"/>
      </w:r>
      <w:r>
        <w:rPr>
          <w:rFonts w:ascii="Amiri" w:hAnsi="Amiri" w:eastAsia="Amiri" w:cs="Amiri"/>
          <w:color w:val="111111"/>
          <w:sz w:val="28"/>
          <w:sz w:val="28"/>
          <w:szCs w:val="28"/>
          <w:rtl w:val="true"/>
          <w:lang w:bidi="ar-SA"/>
        </w:rPr>
        <w:t>الشريعَةُ بَينَ الكافِرِ الحَربيِّ و المُرتَدِّ و بَينَ‌</w:t>
      </w:r>
      <w:r>
        <w:rPr>
          <w:rStyle w:val="FootnoteAnchor"/>
          <w:rtl w:val="true"/>
        </w:rPr>
        <w:footnoteReference w:id="1485"/>
      </w:r>
      <w:r>
        <w:rPr>
          <w:rFonts w:ascii="Amiri" w:hAnsi="Amiri" w:eastAsia="Amiri" w:cs="Amiri"/>
          <w:color w:val="111111"/>
          <w:sz w:val="28"/>
          <w:sz w:val="28"/>
          <w:szCs w:val="28"/>
          <w:rtl w:val="true"/>
          <w:lang w:bidi="ar-SA"/>
        </w:rPr>
        <w:t xml:space="preserve">الذِّمِّيِّ في جَوازِ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w:t>
      </w:r>
      <w:r>
        <w:rPr>
          <w:rStyle w:val="FootnoteAnchor"/>
          <w:rtl w:val="true"/>
        </w:rPr>
        <w:footnoteReference w:id="1486"/>
      </w:r>
      <w:r>
        <w:rPr>
          <w:rFonts w:ascii="Amiri" w:hAnsi="Amiri" w:eastAsia="Amiri" w:cs="Amiri"/>
          <w:color w:val="111111"/>
          <w:sz w:val="28"/>
          <w:sz w:val="28"/>
          <w:szCs w:val="28"/>
          <w:rtl w:val="true"/>
          <w:lang w:bidi="ar-SA"/>
        </w:rPr>
        <w:t>نِكاحُ الذِّمِّيَّةِ عندَ مُخالفِينا كُلِّهِم معَ الِاختيارِ، و عِندَنا معَ الضَّرورَةِ و فَقدِ المُؤمِناتِ‌، و لا يَصِحَّ‌</w:t>
      </w:r>
      <w:r>
        <w:rPr>
          <w:rStyle w:val="FootnoteAnchor"/>
          <w:rtl w:val="true"/>
        </w:rPr>
        <w:footnoteReference w:id="1487"/>
      </w:r>
      <w:r>
        <w:rPr>
          <w:rFonts w:ascii="Amiri" w:hAnsi="Amiri" w:eastAsia="Amiri" w:cs="Amiri"/>
          <w:color w:val="111111"/>
          <w:sz w:val="28"/>
          <w:sz w:val="28"/>
          <w:szCs w:val="28"/>
          <w:rtl w:val="true"/>
          <w:lang w:bidi="ar-SA"/>
        </w:rPr>
        <w:t xml:space="preserve">نِكاحُ الحَربيَّةِ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تُفَرِّقَ‌</w:t>
      </w:r>
      <w:r>
        <w:rPr>
          <w:rStyle w:val="FootnoteAnchor"/>
          <w:rtl w:val="true"/>
        </w:rPr>
        <w:footnoteReference w:id="1488"/>
      </w:r>
      <w:r>
        <w:rPr>
          <w:rFonts w:ascii="Amiri" w:hAnsi="Amiri" w:eastAsia="Amiri" w:cs="Amiri"/>
          <w:color w:val="111111"/>
          <w:sz w:val="28"/>
          <w:sz w:val="28"/>
          <w:szCs w:val="28"/>
          <w:rtl w:val="true"/>
          <w:lang w:bidi="ar-SA"/>
        </w:rPr>
        <w:t>بَينَ مُظهِرِ الكُفرِ</w:t>
      </w:r>
      <w:r>
        <w:rPr>
          <w:rStyle w:val="FootnoteAnchor"/>
          <w:rtl w:val="true"/>
        </w:rPr>
        <w:footnoteReference w:id="1489"/>
      </w:r>
      <w:r>
        <w:rPr>
          <w:rFonts w:ascii="Amiri" w:hAnsi="Amiri" w:eastAsia="Amiri" w:cs="Amiri"/>
          <w:color w:val="111111"/>
          <w:sz w:val="28"/>
          <w:sz w:val="28"/>
          <w:szCs w:val="28"/>
          <w:rtl w:val="true"/>
          <w:lang w:bidi="ar-SA"/>
        </w:rPr>
        <w:t>و المُنافِقِ‌</w:t>
      </w:r>
      <w:r>
        <w:rPr>
          <w:rStyle w:val="FootnoteAnchor"/>
          <w:rtl w:val="true"/>
        </w:rPr>
        <w:footnoteReference w:id="1490"/>
      </w:r>
      <w:r>
        <w:rPr>
          <w:rFonts w:ascii="Amiri" w:hAnsi="Amiri" w:eastAsia="Amiri" w:cs="Amiri"/>
          <w:color w:val="111111"/>
          <w:sz w:val="28"/>
          <w:sz w:val="28"/>
          <w:szCs w:val="28"/>
          <w:rtl w:val="true"/>
          <w:lang w:bidi="ar-SA"/>
        </w:rPr>
        <w:t>في جَوازِ إنكاحِه و نِكاحِه</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الشيعَةُ الإماميَّةُ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يَعرِفُ جَماعةً مِنَ المُنافِقينَ بأعيانِهِم، و يَقطَعُ علىٰ أنَّ‌</w:t>
      </w:r>
      <w:r>
        <w:rPr>
          <w:rStyle w:val="FootnoteAnchor"/>
          <w:rtl w:val="true"/>
        </w:rPr>
        <w:footnoteReference w:id="1492"/>
      </w:r>
      <w:r>
        <w:rPr>
          <w:rFonts w:ascii="Amiri" w:hAnsi="Amiri" w:eastAsia="Amiri" w:cs="Amiri"/>
          <w:color w:val="111111"/>
          <w:sz w:val="28"/>
          <w:sz w:val="28"/>
          <w:szCs w:val="28"/>
          <w:rtl w:val="true"/>
          <w:lang w:bidi="ar-SA"/>
        </w:rPr>
        <w:t>في بَواطِنِهمُ‌</w:t>
      </w:r>
      <w:r>
        <w:rPr>
          <w:rStyle w:val="FootnoteAnchor"/>
          <w:rtl w:val="true"/>
        </w:rPr>
        <w:footnoteReference w:id="1493"/>
      </w:r>
      <w:r>
        <w:rPr>
          <w:rFonts w:ascii="Amiri" w:hAnsi="Amiri" w:eastAsia="Amiri" w:cs="Amiri"/>
          <w:color w:val="111111"/>
          <w:sz w:val="28"/>
          <w:sz w:val="28"/>
          <w:szCs w:val="28"/>
          <w:rtl w:val="true"/>
          <w:lang w:bidi="ar-SA"/>
        </w:rPr>
        <w:t>الكُفرَ؛ بِدَلالَةِ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عَلىٰ أَحَدٍ مِنْهُمْ مٰاتَ أَبَداً وَ لاٰ تَقُمْ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 و مُحالٌ أن يَتَعبَّدَهُ بتَركِ الصلاةِ علَيه و القيامِ علىٰ قَبرِه إلّاو قَد عَيَّنَه تَعالىٰ لَه</w:t>
      </w:r>
      <w:r>
        <w:rPr>
          <w:rStyle w:val="FootnoteAnchor"/>
          <w:rtl w:val="true"/>
        </w:rPr>
        <w:footnoteReference w:id="1496"/>
      </w:r>
      <w:r>
        <w:rPr>
          <w:rFonts w:ascii="Amiri" w:hAnsi="Amiri" w:eastAsia="Amiri" w:cs="Amiri"/>
          <w:color w:val="111111"/>
          <w:sz w:val="28"/>
          <w:sz w:val="28"/>
          <w:szCs w:val="28"/>
          <w:rtl w:val="true"/>
          <w:lang w:bidi="ar-SA"/>
        </w:rPr>
        <w:t>صلّى اللّٰهُ عليه و آلِه؛ و بدَلالةِ قَولِه</w:t>
      </w:r>
      <w:r>
        <w:rPr>
          <w:rStyle w:val="FootnoteAnchor"/>
          <w:rtl w:val="true"/>
        </w:rPr>
        <w:footnoteReference w:id="1497"/>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نَشٰاءُ لَأَرَيْنٰاكَهُمْ فَلَعَرَفْتَهُمْ بِسِيمٰاهُمْ وَ لَتَعْرِفَنَّهُمْ فِي لَحْنِ اَلْقَوْلِ‌</w:t>
      </w:r>
      <w:r>
        <w:rPr>
          <w:rFonts w:eastAsia="Amiri" w:cs="Amiri" w:ascii="Amiri" w:hAnsi="Amiri"/>
          <w:color w:val="111111"/>
          <w:sz w:val="28"/>
          <w:szCs w:val="28"/>
          <w:rtl w:val="true"/>
          <w:lang w:bidi="ar-SA"/>
        </w:rPr>
        <w:t>»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و إذا كانَ صلّى اللّٰهُ عليه و آلِه</w:t>
      </w:r>
      <w:r>
        <w:rPr>
          <w:rStyle w:val="FootnoteAnchor"/>
          <w:rtl w:val="true"/>
        </w:rPr>
        <w:footnoteReference w:id="1499"/>
      </w:r>
      <w:r>
        <w:rPr>
          <w:rFonts w:ascii="Amiri" w:hAnsi="Amiri" w:eastAsia="Amiri" w:cs="Amiri"/>
          <w:color w:val="111111"/>
          <w:sz w:val="28"/>
          <w:sz w:val="28"/>
          <w:szCs w:val="28"/>
          <w:rtl w:val="true"/>
          <w:lang w:bidi="ar-SA"/>
        </w:rPr>
        <w:t>عارِفاً بأحوالِ المُنافِقينَ‌</w:t>
      </w:r>
      <w:r>
        <w:rPr>
          <w:rStyle w:val="FootnoteAnchor"/>
          <w:rtl w:val="true"/>
        </w:rPr>
        <w:footnoteReference w:id="1500"/>
      </w:r>
      <w:r>
        <w:rPr>
          <w:rFonts w:ascii="Amiri" w:hAnsi="Amiri" w:eastAsia="Amiri" w:cs="Amiri"/>
          <w:color w:val="111111"/>
          <w:sz w:val="28"/>
          <w:sz w:val="28"/>
          <w:szCs w:val="28"/>
          <w:rtl w:val="true"/>
          <w:lang w:bidi="ar-SA"/>
        </w:rPr>
        <w:t>، و مُمَيِّزاً لَهُم مِن</w:t>
      </w:r>
      <w:r>
        <w:rPr>
          <w:rStyle w:val="FootnoteAnchor"/>
          <w:rtl w:val="true"/>
        </w:rPr>
        <w:footnoteReference w:id="1501"/>
      </w:r>
      <w:r>
        <w:rPr>
          <w:rFonts w:ascii="Amiri" w:hAnsi="Amiri" w:eastAsia="Amiri" w:cs="Amiri"/>
          <w:color w:val="111111"/>
          <w:sz w:val="28"/>
          <w:sz w:val="28"/>
          <w:szCs w:val="28"/>
          <w:rtl w:val="true"/>
          <w:lang w:bidi="ar-SA"/>
        </w:rPr>
        <w:t>غَيرِهِم، و معَ هذا فَما رَأَيناهُ صلّى اللّٰهُ عليه و آلِه فَرَّقَ بَينَ أحدٍ مِنهُم و بَينَ زَوجَتِه، و لا خَالَفَ بَينَ أحكامِه</w:t>
      </w:r>
      <w:r>
        <w:rPr>
          <w:rStyle w:val="FootnoteAnchor"/>
          <w:rtl w:val="true"/>
        </w:rPr>
        <w:footnoteReference w:id="1502"/>
      </w:r>
      <w:r>
        <w:rPr>
          <w:rFonts w:ascii="Amiri" w:hAnsi="Amiri" w:eastAsia="Amiri" w:cs="Amiri"/>
          <w:color w:val="111111"/>
          <w:sz w:val="28"/>
          <w:sz w:val="28"/>
          <w:szCs w:val="28"/>
          <w:rtl w:val="true"/>
          <w:lang w:bidi="ar-SA"/>
        </w:rPr>
        <w:t>و أحكامِ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علَى الظاهِرِ يُعَظِّمُهُم كما يُعَظِّمُ الذي لا قَطعَ علىٰ‌</w:t>
      </w:r>
      <w:r>
        <w:rPr>
          <w:rStyle w:val="FootnoteAnchor"/>
          <w:rtl w:val="true"/>
        </w:rPr>
        <w:footnoteReference w:id="1503"/>
      </w:r>
      <w:r>
        <w:rPr>
          <w:rFonts w:ascii="Amiri" w:hAnsi="Amiri" w:eastAsia="Amiri" w:cs="Amiri"/>
          <w:color w:val="111111"/>
          <w:sz w:val="28"/>
          <w:sz w:val="28"/>
          <w:szCs w:val="28"/>
          <w:rtl w:val="true"/>
          <w:lang w:bidi="ar-SA"/>
        </w:rPr>
        <w:t>نِفاقِه؛ فَقَد بانَ أنَّ الشريعةَ قَد فَرَّقَت بَينَ مُظهِرِ الكُفرِ و مُبطِنِه في هذِه الأحكامِ‌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w:t>
      </w:r>
      <w:r>
        <w:rPr>
          <w:rStyle w:val="FootnoteAnchor"/>
          <w:rtl w:val="true"/>
        </w:rPr>
        <w:footnoteReference w:id="1504"/>
      </w:r>
      <w:r>
        <w:rPr>
          <w:rFonts w:ascii="Amiri" w:hAnsi="Amiri" w:eastAsia="Amiri" w:cs="Amiri"/>
          <w:color w:val="111111"/>
          <w:sz w:val="28"/>
          <w:sz w:val="28"/>
          <w:szCs w:val="28"/>
          <w:rtl w:val="true"/>
          <w:lang w:bidi="ar-SA"/>
        </w:rPr>
        <w:t>أن يَكونَ صلّى اللّٰهُ عليه و آلِه نَكَحَ و أَنكَحَ مَن يَعلَمُ خُبثَ باطِنِه</w:t>
      </w:r>
      <w:r>
        <w:rPr>
          <w:rStyle w:val="FootnoteAnchor"/>
          <w:rtl w:val="true"/>
        </w:rPr>
        <w:footnoteReference w:id="1505"/>
      </w:r>
      <w:r>
        <w:rPr>
          <w:rFonts w:ascii="Amiri" w:hAnsi="Amiri" w:eastAsia="Amiri" w:cs="Amiri"/>
          <w:color w:val="111111"/>
          <w:sz w:val="28"/>
          <w:sz w:val="28"/>
          <w:szCs w:val="28"/>
          <w:rtl w:val="true"/>
          <w:lang w:bidi="ar-SA"/>
        </w:rPr>
        <w:t xml:space="preserve">مُختاراً؟ </w:t>
      </w:r>
    </w:p>
    <w:p>
      <w:pPr>
        <w:pStyle w:val="BookText"/>
        <w:rPr/>
      </w:pPr>
      <w:r>
        <w:rPr>
          <w:rFonts w:ascii="Amiri" w:hAnsi="Amiri" w:eastAsia="Amiri" w:cs="Amiri"/>
          <w:color w:val="111111"/>
          <w:sz w:val="28"/>
          <w:sz w:val="28"/>
          <w:szCs w:val="28"/>
          <w:rtl w:val="true"/>
          <w:lang w:bidi="ar-SA"/>
        </w:rPr>
        <w:t>قُلنا</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صلّى اللّٰهُ عليه و آلِه لذلكَ‌</w:t>
      </w:r>
      <w:r>
        <w:rPr>
          <w:rStyle w:val="FootnoteAnchor"/>
          <w:rtl w:val="true"/>
        </w:rPr>
        <w:footnoteReference w:id="1507"/>
      </w:r>
      <w:r>
        <w:rPr>
          <w:rFonts w:ascii="Amiri" w:hAnsi="Amiri" w:eastAsia="Amiri" w:cs="Amiri"/>
          <w:color w:val="111111"/>
          <w:sz w:val="28"/>
          <w:sz w:val="28"/>
          <w:szCs w:val="28"/>
          <w:rtl w:val="true"/>
          <w:lang w:bidi="ar-SA"/>
        </w:rPr>
        <w:t>يَقتَضي أنَّهُ مُباحٌ‌، غَيرَ أنَّهُ يَبعُدُ أن يُنكِحَ أحَدُنا غَيرَهُ معَ قَطعِه علىٰ أنَّهُ عَدُوٌّ في الدِّينِ‌، و إن جازَ أن تُبيحَ الشريعَةُ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فالأَشبَهُ‌</w:t>
      </w:r>
      <w:r>
        <w:rPr>
          <w:rStyle w:val="FootnoteAnchor"/>
          <w:rtl w:val="true"/>
        </w:rPr>
        <w:footnoteReference w:id="1508"/>
      </w:r>
      <w:r>
        <w:rPr>
          <w:rFonts w:ascii="Amiri" w:hAnsi="Amiri" w:eastAsia="Amiri" w:cs="Amiri"/>
          <w:color w:val="111111"/>
          <w:sz w:val="28"/>
          <w:sz w:val="28"/>
          <w:szCs w:val="28"/>
          <w:rtl w:val="true"/>
          <w:lang w:bidi="ar-SA"/>
        </w:rPr>
        <w:t>أن يَكونَ صلّى اللّٰهُ عليه و آلِه إذا فَرَضنا أنَّهُ عالِمٌ بخُبثِ باطنِ مَن أَنكَحَه و نَكَحَه</w:t>
      </w:r>
      <w:r>
        <w:rPr>
          <w:rStyle w:val="FootnoteAnchor"/>
          <w:rtl w:val="true"/>
        </w:rPr>
        <w:footnoteReference w:id="1509"/>
      </w:r>
      <w:r>
        <w:rPr>
          <w:rFonts w:ascii="Amiri" w:hAnsi="Amiri" w:eastAsia="Amiri" w:cs="Amiri"/>
          <w:color w:val="111111"/>
          <w:sz w:val="28"/>
          <w:sz w:val="28"/>
          <w:szCs w:val="28"/>
          <w:rtl w:val="true"/>
          <w:lang w:bidi="ar-SA"/>
        </w:rPr>
        <w:t>في الحالِ‌</w:t>
      </w:r>
      <w:r>
        <w:rPr>
          <w:rStyle w:val="FootnoteAnchor"/>
          <w:rtl w:val="true"/>
        </w:rPr>
        <w:footnoteReference w:id="1510"/>
      </w:r>
      <w:r>
        <w:rPr>
          <w:rFonts w:ascii="Amiri" w:hAnsi="Amiri" w:eastAsia="Amiri" w:cs="Amiri"/>
          <w:color w:val="111111"/>
          <w:sz w:val="28"/>
          <w:sz w:val="28"/>
          <w:szCs w:val="28"/>
          <w:rtl w:val="true"/>
          <w:lang w:bidi="ar-SA"/>
        </w:rPr>
        <w:t>، أن يَكونَ فَعَلَ ذلكَ لتَدبيرٍ</w:t>
      </w:r>
      <w:r>
        <w:rPr>
          <w:rStyle w:val="FootnoteAnchor"/>
          <w:rtl w:val="true"/>
        </w:rPr>
        <w:footnoteReference w:id="1511"/>
      </w:r>
      <w:r>
        <w:rPr>
          <w:rFonts w:ascii="Amiri" w:hAnsi="Amiri" w:eastAsia="Amiri" w:cs="Amiri"/>
          <w:color w:val="111111"/>
          <w:sz w:val="28"/>
          <w:sz w:val="28"/>
          <w:szCs w:val="28"/>
          <w:rtl w:val="true"/>
          <w:lang w:bidi="ar-SA"/>
        </w:rPr>
        <w:t>و سياسَةٍ و تَألُّفٍ‌</w:t>
      </w:r>
      <w:r>
        <w:rPr>
          <w:rStyle w:val="FootnoteAnchor"/>
          <w:rtl w:val="true"/>
        </w:rPr>
        <w:footnoteReference w:id="1512"/>
      </w:r>
      <w:r>
        <w:rPr>
          <w:rFonts w:ascii="Amiri" w:hAnsi="Amiri" w:eastAsia="Amiri" w:cs="Amiri"/>
          <w:color w:val="111111"/>
          <w:sz w:val="28"/>
          <w:sz w:val="28"/>
          <w:szCs w:val="28"/>
          <w:rtl w:val="true"/>
          <w:lang w:bidi="ar-SA"/>
        </w:rPr>
        <w:t>، و إلّا فمع الإيثارِ و ارتفاعِ‌</w:t>
      </w:r>
      <w:r>
        <w:rPr>
          <w:rStyle w:val="FootnoteAnchor"/>
          <w:rtl w:val="true"/>
        </w:rPr>
        <w:footnoteReference w:id="1513"/>
      </w:r>
      <w:r>
        <w:rPr>
          <w:rFonts w:ascii="Amiri" w:hAnsi="Amiri" w:eastAsia="Amiri" w:cs="Amiri"/>
          <w:color w:val="111111"/>
          <w:sz w:val="28"/>
          <w:sz w:val="28"/>
          <w:szCs w:val="28"/>
          <w:rtl w:val="true"/>
          <w:lang w:bidi="ar-SA"/>
        </w:rPr>
        <w:t>الأسبابِ لا يَجوزُ أن يَفعَلَ 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حَمَلَتهُ نَفسُه مِن</w:t>
      </w:r>
      <w:r>
        <w:rPr>
          <w:rStyle w:val="FootnoteAnchor"/>
          <w:rtl w:val="true"/>
        </w:rPr>
        <w:footnoteReference w:id="1514"/>
      </w:r>
      <w:r>
        <w:rPr>
          <w:rFonts w:ascii="Amiri" w:hAnsi="Amiri" w:eastAsia="Amiri" w:cs="Amiri"/>
          <w:color w:val="111111"/>
          <w:sz w:val="28"/>
          <w:sz w:val="28"/>
          <w:szCs w:val="28"/>
          <w:rtl w:val="true"/>
          <w:lang w:bidi="ar-SA"/>
        </w:rPr>
        <w:t>غَفَلَةِ أصحابِنا علىٰ أن دَفَعَ كَونَ رُقَيَّةَ و زينَبَ‌</w:t>
      </w:r>
      <w:r>
        <w:rPr>
          <w:rStyle w:val="FootnoteAnchor"/>
          <w:rtl w:val="true"/>
        </w:rPr>
        <w:footnoteReference w:id="1515"/>
      </w:r>
      <w:r>
        <w:rPr>
          <w:rFonts w:ascii="Amiri" w:hAnsi="Amiri" w:eastAsia="Amiri" w:cs="Amiri"/>
          <w:color w:val="111111"/>
          <w:sz w:val="28"/>
          <w:sz w:val="28"/>
          <w:szCs w:val="28"/>
          <w:rtl w:val="true"/>
          <w:lang w:bidi="ar-SA"/>
        </w:rPr>
        <w:t xml:space="preserve">بِنتَي رَسولِ اللّٰهِ صلّى اللّٰهُ عليه و آلِه علَى الحَقيقَةِ‌، و زَعَمَ أنَّهُما بِنتا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516"/>
      </w:r>
      <w:r>
        <w:rPr>
          <w:rFonts w:ascii="Amiri" w:hAnsi="Amiri" w:eastAsia="Amiri" w:cs="Amiri"/>
          <w:color w:val="111111"/>
          <w:sz w:val="28"/>
          <w:sz w:val="28"/>
          <w:szCs w:val="28"/>
          <w:rtl w:val="true"/>
          <w:lang w:bidi="ar-SA"/>
        </w:rPr>
        <w:t>أبي هالَةَ‌</w:t>
      </w:r>
      <w:r>
        <w:rPr>
          <w:rStyle w:val="FootnoteAnchor"/>
          <w:rtl w:val="true"/>
        </w:rPr>
        <w:footnoteReference w:id="1517"/>
      </w:r>
      <w:r>
        <w:rPr>
          <w:rFonts w:ascii="Amiri" w:hAnsi="Amiri" w:eastAsia="Amiri" w:cs="Amiri"/>
          <w:color w:val="111111"/>
          <w:sz w:val="28"/>
          <w:sz w:val="28"/>
          <w:szCs w:val="28"/>
          <w:rtl w:val="true"/>
          <w:lang w:bidi="ar-SA"/>
        </w:rPr>
        <w:t>، دافِعٌ لِما</w:t>
      </w:r>
      <w:r>
        <w:rPr>
          <w:rStyle w:val="FootnoteAnchor"/>
          <w:rtl w:val="true"/>
        </w:rPr>
        <w:footnoteReference w:id="1518"/>
      </w:r>
      <w:r>
        <w:rPr>
          <w:rFonts w:ascii="Amiri" w:hAnsi="Amiri" w:eastAsia="Amiri" w:cs="Amiri"/>
          <w:color w:val="111111"/>
          <w:sz w:val="28"/>
          <w:sz w:val="28"/>
          <w:szCs w:val="28"/>
          <w:rtl w:val="true"/>
          <w:lang w:bidi="ar-SA"/>
        </w:rPr>
        <w:t>هوَ مَعلومٌ ضَرورةً‌؛ لأنَّ العِلمَ بذلكَ ممَّن</w:t>
      </w:r>
      <w:r>
        <w:rPr>
          <w:rStyle w:val="FootnoteAnchor"/>
          <w:rtl w:val="true"/>
        </w:rPr>
        <w:footnoteReference w:id="1519"/>
      </w:r>
      <w:bookmarkStart w:id="717" w:name="pg16425_221870"/>
    </w:p>
    <w:p>
      <w:pPr>
        <w:pStyle w:val="BookText"/>
        <w:rPr/>
      </w:pPr>
      <w:bookmarkEnd w:id="717"/>
      <w:r>
        <w:rPr>
          <w:rFonts w:ascii="Amiri" w:hAnsi="Amiri" w:eastAsia="Amiri" w:cs="Amiri"/>
          <w:color w:val="111111"/>
          <w:sz w:val="28"/>
          <w:sz w:val="28"/>
          <w:szCs w:val="28"/>
          <w:rtl w:val="true"/>
          <w:lang w:bidi="ar-SA"/>
        </w:rPr>
        <w:t>خالَطَ أهلَ الأخبارِ كالعِلمِ بغَيرِه</w:t>
      </w:r>
      <w:r>
        <w:rPr>
          <w:rStyle w:val="FootnoteAnchor"/>
          <w:rtl w:val="true"/>
        </w:rPr>
        <w:footnoteReference w:id="1520"/>
      </w:r>
      <w:r>
        <w:rPr>
          <w:rFonts w:ascii="Amiri" w:hAnsi="Amiri" w:eastAsia="Amiri" w:cs="Amiri"/>
          <w:color w:val="111111"/>
          <w:sz w:val="28"/>
          <w:sz w:val="28"/>
          <w:szCs w:val="28"/>
          <w:rtl w:val="true"/>
          <w:lang w:bidi="ar-SA"/>
        </w:rPr>
        <w:t>مِنَ الأُمورِ الظاهِرَةِ‌، و الشكُّ‌</w:t>
      </w:r>
      <w:r>
        <w:rPr>
          <w:rStyle w:val="FootnoteAnchor"/>
          <w:rtl w:val="true"/>
        </w:rPr>
        <w:footnoteReference w:id="1521"/>
      </w:r>
      <w:r>
        <w:rPr>
          <w:rFonts w:ascii="Amiri" w:hAnsi="Amiri" w:eastAsia="Amiri" w:cs="Amiri"/>
          <w:color w:val="111111"/>
          <w:sz w:val="28"/>
          <w:sz w:val="28"/>
          <w:szCs w:val="28"/>
          <w:rtl w:val="true"/>
          <w:lang w:bidi="ar-SA"/>
        </w:rPr>
        <w:t>فيهِ كالشكِّ في أمرٍ مَعلومٍ بالأخبارِ</w:t>
      </w:r>
      <w:r>
        <w:rPr>
          <w:rStyle w:val="FootnoteAnchor"/>
          <w:rtl w:val="true"/>
        </w:rPr>
        <w:footnoteReference w:id="1522"/>
      </w:r>
      <w:r>
        <w:rPr>
          <w:rFonts w:ascii="Amiri" w:hAnsi="Amiri" w:eastAsia="Amiri" w:cs="Amiri"/>
          <w:color w:val="111111"/>
          <w:sz w:val="28"/>
          <w:sz w:val="28"/>
          <w:szCs w:val="28"/>
          <w:rtl w:val="true"/>
          <w:lang w:bidi="ar-SA"/>
        </w:rPr>
        <w:t>، و ما بِنا إلَى المُكابَراتِ في المَعلوماتِ حاجَةٌ‌</w:t>
      </w:r>
      <w:r>
        <w:rPr>
          <w:rStyle w:val="FootnoteAnchor"/>
          <w:rtl w:val="true"/>
        </w:rPr>
        <w:footnoteReference w:id="1523"/>
      </w:r>
      <w:r>
        <w:rPr>
          <w:rFonts w:ascii="Amiri" w:hAnsi="Amiri" w:eastAsia="Amiri" w:cs="Amiri"/>
          <w:color w:val="111111"/>
          <w:sz w:val="28"/>
          <w:sz w:val="28"/>
          <w:szCs w:val="28"/>
          <w:rtl w:val="true"/>
          <w:lang w:bidi="ar-SA"/>
        </w:rPr>
        <w:t>، و الحَمدُ اللّٰهِ وَحدَهُ‌</w:t>
      </w:r>
      <w:r>
        <w:rPr>
          <w:rFonts w:eastAsia="Amiri" w:cs="Amiri" w:ascii="Amiri" w:hAnsi="Amiri"/>
          <w:color w:val="111111"/>
          <w:sz w:val="28"/>
          <w:szCs w:val="28"/>
          <w:rtl w:val="true"/>
          <w:lang w:bidi="ar-SA"/>
        </w:rPr>
        <w:t>.</w:t>
      </w:r>
      <w:r>
        <w:rPr>
          <w:rStyle w:val="FootnoteAnchor"/>
          <w:rtl w:val="true"/>
        </w:rPr>
        <w:footnoteReference w:id="1524"/>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7830373_1280447820"/>
      <w:bookmarkStart w:id="719" w:name="_Toc235"/>
      <w:bookmarkEnd w:id="718"/>
      <w:r>
        <w:rPr>
          <w:rtl w:val="true"/>
        </w:rPr>
        <w:t>حَقُّ القَولِ في إنكاحِ أميرِ المؤمنينَ عليه السلام ابنَتَه مِن عُمَرَ</w:t>
      </w:r>
      <w:bookmarkEnd w:id="719"/>
    </w:p>
    <w:p>
      <w:pPr>
        <w:pStyle w:val="BookText"/>
        <w:rPr/>
      </w:pPr>
      <w:r>
        <w:rPr>
          <w:rFonts w:ascii="Amiri" w:hAnsi="Amiri" w:eastAsia="Amiri" w:cs="Amiri"/>
          <w:color w:val="111111"/>
          <w:sz w:val="28"/>
          <w:sz w:val="28"/>
          <w:szCs w:val="28"/>
          <w:rtl w:val="true"/>
          <w:lang w:bidi="ar-SA"/>
        </w:rPr>
        <w:t>و أمَّا الكَلامُ في نِكاحِ‌</w:t>
      </w:r>
      <w:r>
        <w:rPr>
          <w:rStyle w:val="FootnoteAnchor"/>
          <w:rtl w:val="true"/>
        </w:rPr>
        <w:footnoteReference w:id="1525"/>
      </w:r>
      <w:r>
        <w:rPr>
          <w:rFonts w:ascii="Amiri" w:hAnsi="Amiri" w:eastAsia="Amiri" w:cs="Amiri"/>
          <w:color w:val="111111"/>
          <w:sz w:val="28"/>
          <w:sz w:val="28"/>
          <w:szCs w:val="28"/>
          <w:rtl w:val="true"/>
          <w:lang w:bidi="ar-SA"/>
        </w:rPr>
        <w:t>عُمَرَ، فَقَد تَقدَّمَ أنَّ العَقلَ لا يَمنَعُ مِن</w:t>
      </w:r>
      <w:r>
        <w:rPr>
          <w:rStyle w:val="FootnoteAnchor"/>
          <w:rtl w:val="true"/>
        </w:rPr>
        <w:footnoteReference w:id="1526"/>
      </w:r>
      <w:r>
        <w:rPr>
          <w:rFonts w:ascii="Amiri" w:hAnsi="Amiri" w:eastAsia="Amiri" w:cs="Amiri"/>
          <w:color w:val="111111"/>
          <w:sz w:val="28"/>
          <w:sz w:val="28"/>
          <w:szCs w:val="28"/>
          <w:rtl w:val="true"/>
          <w:lang w:bidi="ar-SA"/>
        </w:rPr>
        <w:t>مُناكَحَةِ الكُفّارِ، و أنَّ فِعلَ أميرِ المُؤمِنينَ عليه السلامُ‌</w:t>
      </w:r>
      <w:r>
        <w:rPr>
          <w:rStyle w:val="FootnoteAnchor"/>
          <w:rtl w:val="true"/>
        </w:rPr>
        <w:footnoteReference w:id="1527"/>
      </w:r>
      <w:r>
        <w:rPr>
          <w:rFonts w:ascii="Amiri" w:hAnsi="Amiri" w:eastAsia="Amiri" w:cs="Amiri"/>
          <w:color w:val="111111"/>
          <w:sz w:val="28"/>
          <w:sz w:val="28"/>
          <w:szCs w:val="28"/>
          <w:rtl w:val="true"/>
          <w:lang w:bidi="ar-SA"/>
        </w:rPr>
        <w:t>أَقوىٰ حُجَّةٍ‌، و أَوضَحُ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الجُمَلةُ كافيَةٌ لَوِ</w:t>
      </w:r>
      <w:r>
        <w:rPr>
          <w:rStyle w:val="FootnoteAnchor"/>
          <w:rtl w:val="true"/>
        </w:rPr>
        <w:footnoteReference w:id="1528"/>
      </w:r>
      <w:r>
        <w:rPr>
          <w:rFonts w:ascii="Amiri" w:hAnsi="Amiri" w:eastAsia="Amiri" w:cs="Amiri"/>
          <w:color w:val="111111"/>
          <w:sz w:val="28"/>
          <w:sz w:val="28"/>
          <w:szCs w:val="28"/>
          <w:rtl w:val="true"/>
          <w:lang w:bidi="ar-SA"/>
        </w:rPr>
        <w:t>اقتَصَرنا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لَم يُنكِح عُمَرَ مُختاراً؛ بَل مُكرَهاً، و بَعدَ مُراجَعَةٍ و تَهديدٍ و وَعيدٍ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الخَبَرُ بأنَّه راسَلَ أميرَ المُؤمِنينَ‌</w:t>
      </w:r>
      <w:r>
        <w:rPr>
          <w:rStyle w:val="FootnoteAnchor"/>
          <w:rtl w:val="true"/>
        </w:rPr>
        <w:footnoteReference w:id="1529"/>
      </w:r>
      <w:r>
        <w:rPr>
          <w:rFonts w:ascii="Amiri" w:hAnsi="Amiri" w:eastAsia="Amiri" w:cs="Amiri"/>
          <w:color w:val="111111"/>
          <w:sz w:val="28"/>
          <w:sz w:val="28"/>
          <w:szCs w:val="28"/>
          <w:rtl w:val="true"/>
          <w:lang w:bidi="ar-SA"/>
        </w:rPr>
        <w:t>عليه السلامُ يَخطُبُ إلَيه، فدَفَعَه</w:t>
      </w:r>
      <w:r>
        <w:rPr>
          <w:rStyle w:val="FootnoteAnchor"/>
          <w:rtl w:val="true"/>
        </w:rPr>
        <w:footnoteReference w:id="1530"/>
      </w:r>
      <w:r>
        <w:rPr>
          <w:rFonts w:ascii="Amiri" w:hAnsi="Amiri" w:eastAsia="Amiri" w:cs="Amiri"/>
          <w:color w:val="111111"/>
          <w:sz w:val="28"/>
          <w:sz w:val="28"/>
          <w:szCs w:val="28"/>
          <w:rtl w:val="true"/>
          <w:lang w:bidi="ar-SA"/>
        </w:rPr>
        <w:t>عَن ذلكَ بأَجمَلِ دَفعٍ‌، فَاستَدعىٰ‌</w:t>
      </w:r>
      <w:r>
        <w:rPr>
          <w:rStyle w:val="FootnoteAnchor"/>
          <w:rtl w:val="true"/>
        </w:rPr>
        <w:footnoteReference w:id="1531"/>
      </w:r>
      <w:r>
        <w:rPr>
          <w:rFonts w:ascii="Amiri" w:hAnsi="Amiri" w:eastAsia="Amiri" w:cs="Amiri"/>
          <w:color w:val="111111"/>
          <w:sz w:val="28"/>
          <w:sz w:val="28"/>
          <w:szCs w:val="28"/>
          <w:rtl w:val="true"/>
          <w:lang w:bidi="ar-SA"/>
        </w:rPr>
        <w:t xml:space="preserve">عُمَرُ العَبّاسَ بنَ عبدِ المُطَّلِبِ رَضِيَ اللّٰهُ عنه، </w:t>
      </w:r>
    </w:p>
    <w:p>
      <w:pPr>
        <w:pStyle w:val="BookText"/>
        <w:rPr/>
      </w:pPr>
      <w:r>
        <w:rPr>
          <w:rFonts w:ascii="Amiri" w:hAnsi="Amiri" w:eastAsia="Amiri" w:cs="Amiri"/>
          <w:color w:val="111111"/>
          <w:sz w:val="28"/>
          <w:sz w:val="28"/>
          <w:szCs w:val="28"/>
          <w:rtl w:val="true"/>
          <w:lang w:bidi="ar-SA"/>
        </w:rPr>
        <w:t>ثُمَّ قالَ لَه</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 بي بَأسٌ؟</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اقتَضىٰ هذَا القَولَ؟</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إلَى ابنِ أَخيكَ ابنَتَه فدَفَعَني، و هذا يَدُلُّ علىٰ عَداوَتِه لي و تَبَرِّيهِ‌</w:t>
      </w:r>
      <w:r>
        <w:rPr>
          <w:rStyle w:val="FootnoteAnchor"/>
          <w:rtl w:val="true"/>
        </w:rPr>
        <w:footnoteReference w:id="1534"/>
      </w:r>
      <w:r>
        <w:rPr>
          <w:rFonts w:ascii="Amiri" w:hAnsi="Amiri" w:eastAsia="Amiri" w:cs="Amiri"/>
          <w:color w:val="111111"/>
          <w:sz w:val="28"/>
          <w:sz w:val="28"/>
          <w:szCs w:val="28"/>
          <w:rtl w:val="true"/>
          <w:lang w:bidi="ar-SA"/>
        </w:rPr>
        <w:t>مِنِّي؛ و اللّٰهِ‌، و اللّٰهِ‌، لَأَفعَلَنَّ كَذا و كَذا</w:t>
      </w:r>
      <w:r>
        <w:rPr>
          <w:rStyle w:val="FootnoteAnchor"/>
          <w:rtl w:val="true"/>
        </w:rPr>
        <w:footnoteReference w:id="1535"/>
      </w:r>
      <w:r>
        <w:rPr>
          <w:rFonts w:ascii="Amiri" w:hAnsi="Amiri" w:eastAsia="Amiri" w:cs="Amiri"/>
          <w:color w:val="111111"/>
          <w:sz w:val="28"/>
          <w:sz w:val="28"/>
          <w:szCs w:val="28"/>
          <w:rtl w:val="true"/>
          <w:lang w:bidi="ar-SA"/>
        </w:rPr>
        <w:t>، و لَأَبْلُغَنَّ‌</w:t>
      </w:r>
      <w:r>
        <w:rPr>
          <w:rStyle w:val="FootnoteAnchor"/>
          <w:rtl w:val="true"/>
        </w:rPr>
        <w:footnoteReference w:id="1536"/>
      </w:r>
      <w:r>
        <w:rPr>
          <w:rFonts w:ascii="Amiri" w:hAnsi="Amiri" w:eastAsia="Amiri" w:cs="Amiri"/>
          <w:color w:val="111111"/>
          <w:sz w:val="28"/>
          <w:sz w:val="28"/>
          <w:szCs w:val="28"/>
          <w:rtl w:val="true"/>
          <w:lang w:bidi="ar-SA"/>
        </w:rPr>
        <w:t>إلىٰ كَذا</w:t>
      </w:r>
      <w:r>
        <w:rPr>
          <w:rStyle w:val="FootnoteAnchor"/>
          <w:rtl w:val="true"/>
        </w:rPr>
        <w:footnoteReference w:id="1537"/>
      </w:r>
      <w:r>
        <w:rPr>
          <w:rFonts w:ascii="Amiri" w:hAnsi="Amiri" w:eastAsia="Amiri" w:cs="Amiri"/>
          <w:color w:val="111111"/>
          <w:sz w:val="28"/>
          <w:sz w:val="28"/>
          <w:szCs w:val="28"/>
          <w:rtl w:val="true"/>
          <w:lang w:bidi="ar-SA"/>
        </w:rPr>
        <w:t>و كَذا</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كَنَّينا عنِ التصريحِ بالوَعيدِ الذي نُقِلَ‌</w:t>
      </w:r>
      <w:r>
        <w:rPr>
          <w:rStyle w:val="FootnoteAnchor"/>
          <w:rtl w:val="true"/>
        </w:rPr>
        <w:footnoteReference w:id="1539"/>
      </w:r>
      <w:r>
        <w:rPr>
          <w:rFonts w:ascii="Amiri" w:hAnsi="Amiri" w:eastAsia="Amiri" w:cs="Amiri"/>
          <w:color w:val="111111"/>
          <w:sz w:val="28"/>
          <w:sz w:val="28"/>
          <w:szCs w:val="28"/>
          <w:rtl w:val="true"/>
          <w:lang w:bidi="ar-SA"/>
        </w:rPr>
        <w:t>لِفُحشِه و قُبحِه و تَجاوُزِه كُلَّ حَدٍّ، و الألفاظُ مَشهورةٌ في الرِّوايَةِ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العَبّاسُ رَحِمَه اللّٰهُ إلىٰ أميرِ المُؤمِنينَ عليه السلامُ‌، فعاتَبَه و خَوَّفَه، و سَأَلَه رَدَّ</w:t>
      </w:r>
      <w:r>
        <w:rPr>
          <w:rStyle w:val="FootnoteAnchor"/>
          <w:rtl w:val="true"/>
        </w:rPr>
        <w:footnoteReference w:id="1540"/>
      </w:r>
      <w:r>
        <w:rPr>
          <w:rFonts w:ascii="Amiri" w:hAnsi="Amiri" w:eastAsia="Amiri" w:cs="Amiri"/>
          <w:color w:val="111111"/>
          <w:sz w:val="28"/>
          <w:sz w:val="28"/>
          <w:szCs w:val="28"/>
          <w:rtl w:val="true"/>
          <w:lang w:bidi="ar-SA"/>
        </w:rPr>
        <w:t>أمرِ المَرأةِ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ما شِئتَ‌</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عَقَدَ عليها</w:t>
      </w:r>
      <w:r>
        <w:rPr>
          <w:rFonts w:eastAsia="Amiri" w:cs="Amiri" w:ascii="Amiri" w:hAnsi="Amiri"/>
          <w:color w:val="111111"/>
          <w:sz w:val="28"/>
          <w:szCs w:val="28"/>
          <w:rtl w:val="true"/>
          <w:lang w:bidi="ar-SA"/>
        </w:rPr>
        <w:t>.</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و معَ هذَا الإكراهِ و التخويفِ قَد</w:t>
      </w:r>
      <w:r>
        <w:rPr>
          <w:rStyle w:val="FootnoteAnchor"/>
          <w:rtl w:val="true"/>
        </w:rPr>
        <w:footnoteReference w:id="1543"/>
      </w:r>
      <w:r>
        <w:rPr>
          <w:rFonts w:ascii="Amiri" w:hAnsi="Amiri" w:eastAsia="Amiri" w:cs="Amiri"/>
          <w:color w:val="111111"/>
          <w:sz w:val="28"/>
          <w:sz w:val="28"/>
          <w:szCs w:val="28"/>
          <w:rtl w:val="true"/>
          <w:lang w:bidi="ar-SA"/>
        </w:rPr>
        <w:t>تَحِلُّ المَحارِمُ‌</w:t>
      </w:r>
      <w:r>
        <w:rPr>
          <w:rStyle w:val="FootnoteAnchor"/>
          <w:rtl w:val="true"/>
        </w:rPr>
        <w:footnoteReference w:id="1544"/>
      </w:r>
      <w:r>
        <w:rPr>
          <w:rFonts w:ascii="Amiri" w:hAnsi="Amiri" w:eastAsia="Amiri" w:cs="Amiri"/>
          <w:color w:val="111111"/>
          <w:sz w:val="28"/>
          <w:sz w:val="28"/>
          <w:szCs w:val="28"/>
          <w:rtl w:val="true"/>
          <w:lang w:bidi="ar-SA"/>
        </w:rPr>
        <w:t>، كالخَمرِ و الخِنزيرِ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أبا عَبدِ اللّٰهِ‌</w:t>
      </w:r>
      <w:r>
        <w:rPr>
          <w:rStyle w:val="FootnoteAnchor"/>
          <w:rtl w:val="true"/>
        </w:rPr>
        <w:footnoteReference w:id="1545"/>
      </w:r>
      <w:r>
        <w:rPr>
          <w:rFonts w:ascii="Amiri" w:hAnsi="Amiri" w:eastAsia="Amiri" w:cs="Amiri"/>
          <w:color w:val="111111"/>
          <w:sz w:val="28"/>
          <w:sz w:val="28"/>
          <w:szCs w:val="28"/>
          <w:rtl w:val="true"/>
          <w:lang w:bidi="ar-SA"/>
        </w:rPr>
        <w:t>الصادقَ عليه السلامُ سُئِلَ عَن ذلكَ‌، فقالَ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فَرجٌ غُصِبنا علَيه</w:t>
      </w:r>
      <w:r>
        <w:rPr>
          <w:rFonts w:eastAsia="Amiri" w:cs="Amiri" w:ascii="Amiri" w:hAnsi="Amiri"/>
          <w:color w:val="111111"/>
          <w:sz w:val="28"/>
          <w:szCs w:val="28"/>
          <w:rtl w:val="true"/>
          <w:lang w:bidi="ar-SA"/>
        </w:rPr>
        <w:t>».</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فإذا كانَتِ التقيَّةُ و خَوفُ المُحارَبَةِ‌</w:t>
      </w:r>
      <w:r>
        <w:rPr>
          <w:rStyle w:val="FootnoteAnchor"/>
          <w:rtl w:val="true"/>
        </w:rPr>
        <w:footnoteReference w:id="1547"/>
      </w:r>
      <w:r>
        <w:rPr>
          <w:rFonts w:ascii="Amiri" w:hAnsi="Amiri" w:eastAsia="Amiri" w:cs="Amiri"/>
          <w:color w:val="111111"/>
          <w:sz w:val="28"/>
          <w:sz w:val="28"/>
          <w:szCs w:val="28"/>
          <w:rtl w:val="true"/>
          <w:lang w:bidi="ar-SA"/>
        </w:rPr>
        <w:t>و قَطعُ مادَّةِ المُظاهَرَةِ مِمّا</w:t>
      </w:r>
      <w:r>
        <w:rPr>
          <w:rStyle w:val="FootnoteAnchor"/>
          <w:rtl w:val="true"/>
        </w:rPr>
        <w:footnoteReference w:id="1548"/>
      </w:r>
      <w:r>
        <w:rPr>
          <w:rFonts w:ascii="Amiri" w:hAnsi="Amiri" w:eastAsia="Amiri" w:cs="Amiri"/>
          <w:color w:val="111111"/>
          <w:sz w:val="28"/>
          <w:sz w:val="28"/>
          <w:szCs w:val="28"/>
          <w:rtl w:val="true"/>
          <w:lang w:bidi="ar-SA"/>
        </w:rPr>
        <w:t>حَمَلَ مَجموعُه و تَفصيلُه</w:t>
      </w:r>
      <w:r>
        <w:rPr>
          <w:rStyle w:val="FootnoteAnchor"/>
          <w:rtl w:val="true"/>
        </w:rPr>
        <w:footnoteReference w:id="1549"/>
      </w:r>
      <w:r>
        <w:rPr>
          <w:rFonts w:ascii="Amiri" w:hAnsi="Amiri" w:eastAsia="Amiri" w:cs="Amiri"/>
          <w:color w:val="111111"/>
          <w:sz w:val="28"/>
          <w:sz w:val="28"/>
          <w:szCs w:val="28"/>
          <w:rtl w:val="true"/>
          <w:lang w:bidi="ar-SA"/>
        </w:rPr>
        <w:t>أميرَ المُؤمِنينَ عليه السلامُ علىٰ بَيعَةِ مَن جَلَسَ في</w:t>
      </w:r>
      <w:r>
        <w:rPr>
          <w:rStyle w:val="FootnoteAnchor"/>
          <w:rtl w:val="true"/>
        </w:rPr>
        <w:footnoteReference w:id="1550"/>
      </w:r>
      <w:r>
        <w:rPr>
          <w:rFonts w:ascii="Amiri" w:hAnsi="Amiri" w:eastAsia="Amiri" w:cs="Amiri"/>
          <w:color w:val="111111"/>
          <w:sz w:val="28"/>
          <w:sz w:val="28"/>
          <w:szCs w:val="28"/>
          <w:rtl w:val="true"/>
          <w:lang w:bidi="ar-SA"/>
        </w:rPr>
        <w:t>مَقعَدِه و استَولىٰ علىٰ حَقِّه، و إظهارِ طاعَتِه</w:t>
      </w:r>
      <w:r>
        <w:rPr>
          <w:rStyle w:val="FootnoteAnchor"/>
          <w:rtl w:val="true"/>
        </w:rPr>
        <w:footnoteReference w:id="1551"/>
      </w:r>
      <w:r>
        <w:rPr>
          <w:rFonts w:ascii="Amiri" w:hAnsi="Amiri" w:eastAsia="Amiri" w:cs="Amiri"/>
          <w:color w:val="111111"/>
          <w:sz w:val="28"/>
          <w:sz w:val="28"/>
          <w:szCs w:val="28"/>
          <w:rtl w:val="true"/>
          <w:lang w:bidi="ar-SA"/>
        </w:rPr>
        <w:t>، و الرِّضا بإمامَتِه، و أخذِ عَطِيَّتِه، فأَهوَنُ مِن ذلكَ إنكاحُه</w:t>
      </w:r>
      <w:r>
        <w:rPr>
          <w:rStyle w:val="FootnoteAnchor"/>
          <w:rtl w:val="true"/>
        </w:rPr>
        <w:footnoteReference w:id="1552"/>
      </w:r>
      <w:r>
        <w:rPr>
          <w:rFonts w:ascii="Amiri" w:hAnsi="Amiri" w:eastAsia="Amiri" w:cs="Amiri"/>
          <w:color w:val="111111"/>
          <w:sz w:val="28"/>
          <w:sz w:val="28"/>
          <w:szCs w:val="28"/>
          <w:rtl w:val="true"/>
          <w:lang w:bidi="ar-SA"/>
        </w:rPr>
        <w:t>فَما النِّكاحُ بأعظَمَ مِمّا ذَكَرناهُ‌</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حَسُنَ العُذرُ بهذِه</w:t>
      </w:r>
      <w:r>
        <w:rPr>
          <w:rStyle w:val="FootnoteAnchor"/>
          <w:rtl w:val="true"/>
        </w:rPr>
        <w:footnoteReference w:id="1554"/>
      </w:r>
      <w:r>
        <w:rPr>
          <w:rFonts w:ascii="Amiri" w:hAnsi="Amiri" w:eastAsia="Amiri" w:cs="Amiri"/>
          <w:color w:val="111111"/>
          <w:sz w:val="28"/>
          <w:sz w:val="28"/>
          <w:szCs w:val="28"/>
          <w:rtl w:val="true"/>
          <w:lang w:bidi="ar-SA"/>
        </w:rPr>
        <w:t>الأُمورِ كُلِّها، و لَولاهُ كانَت قَبيحةً مَحظورةً‌، فذلكَ‌</w:t>
      </w:r>
      <w:r>
        <w:rPr>
          <w:rStyle w:val="FootnoteAnchor"/>
          <w:rtl w:val="true"/>
        </w:rPr>
        <w:footnoteReference w:id="1555"/>
      </w:r>
      <w:r>
        <w:rPr>
          <w:rFonts w:ascii="Amiri" w:hAnsi="Amiri" w:eastAsia="Amiri" w:cs="Amiri"/>
          <w:color w:val="111111"/>
          <w:sz w:val="28"/>
          <w:sz w:val="28"/>
          <w:szCs w:val="28"/>
          <w:rtl w:val="true"/>
          <w:lang w:bidi="ar-SA"/>
        </w:rPr>
        <w:t>العُذرُ بعَينِه قائمٌ في النِّكاحِ‌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النِّكاحَ أخَفُّ حالاً و أهوَنُ‌</w:t>
      </w:r>
      <w:r>
        <w:rPr>
          <w:rStyle w:val="FootnoteAnchor"/>
          <w:rtl w:val="true"/>
        </w:rPr>
        <w:footnoteReference w:id="1556"/>
      </w:r>
      <w:r>
        <w:rPr>
          <w:rFonts w:ascii="Amiri" w:hAnsi="Amiri" w:eastAsia="Amiri" w:cs="Amiri"/>
          <w:color w:val="111111"/>
          <w:sz w:val="28"/>
          <w:sz w:val="28"/>
          <w:szCs w:val="28"/>
          <w:rtl w:val="true"/>
          <w:lang w:bidi="ar-SA"/>
        </w:rPr>
        <w:t>خَطباً مِن سائرِ ما عَدَّدناهُ‌</w:t>
      </w:r>
      <w:r>
        <w:rPr>
          <w:rStyle w:val="FootnoteAnchor"/>
          <w:rtl w:val="true"/>
        </w:rPr>
        <w:footnoteReference w:id="1557"/>
      </w:r>
      <w:r>
        <w:rPr>
          <w:rFonts w:ascii="Amiri" w:hAnsi="Amiri" w:eastAsia="Amiri" w:cs="Amiri"/>
          <w:color w:val="111111"/>
          <w:sz w:val="28"/>
          <w:sz w:val="28"/>
          <w:szCs w:val="28"/>
          <w:rtl w:val="true"/>
          <w:lang w:bidi="ar-SA"/>
        </w:rPr>
        <w:t>لأنَّه جائزٌ في العُقولِ أن يُبيحَ اللّٰهُ تَعالىٰ إنكاحَ الكُفّارِ معَ الاختيارِ؛ فلَيسَ‌</w:t>
      </w:r>
      <w:r>
        <w:rPr>
          <w:rStyle w:val="FootnoteAnchor"/>
          <w:rtl w:val="true"/>
        </w:rPr>
        <w:footnoteReference w:id="1558"/>
      </w:r>
      <w:r>
        <w:rPr>
          <w:rFonts w:ascii="Amiri" w:hAnsi="Amiri" w:eastAsia="Amiri" w:cs="Amiri"/>
          <w:color w:val="111111"/>
          <w:sz w:val="28"/>
          <w:sz w:val="28"/>
          <w:szCs w:val="28"/>
          <w:rtl w:val="true"/>
          <w:lang w:bidi="ar-SA"/>
        </w:rPr>
        <w:t>في ذلكَ وَجهُ قُبحٍ ثابتٍ‌</w:t>
      </w:r>
      <w:r>
        <w:rPr>
          <w:rStyle w:val="FootnoteAnchor"/>
          <w:rtl w:val="true"/>
        </w:rPr>
        <w:footnoteReference w:id="1559"/>
      </w:r>
      <w:r>
        <w:rPr>
          <w:rFonts w:ascii="Amiri" w:hAnsi="Amiri" w:eastAsia="Amiri" w:cs="Amiri"/>
          <w:color w:val="111111"/>
          <w:sz w:val="28"/>
          <w:sz w:val="28"/>
          <w:szCs w:val="28"/>
          <w:rtl w:val="true"/>
          <w:lang w:bidi="ar-SA"/>
        </w:rPr>
        <w:t>لا بُدَّ مِن حُصولِه؛ ولكِن</w:t>
      </w:r>
      <w:r>
        <w:rPr>
          <w:rStyle w:val="FootnoteAnchor"/>
          <w:rtl w:val="true"/>
        </w:rPr>
        <w:footnoteReference w:id="1560"/>
      </w:r>
      <w:r>
        <w:rPr>
          <w:rFonts w:ascii="Amiri" w:hAnsi="Amiri" w:eastAsia="Amiri" w:cs="Amiri"/>
          <w:color w:val="111111"/>
          <w:sz w:val="28"/>
          <w:sz w:val="28"/>
          <w:szCs w:val="28"/>
          <w:rtl w:val="true"/>
          <w:lang w:bidi="ar-SA"/>
        </w:rPr>
        <w:t>تُقَبِّحُ العُقولُ‌</w:t>
      </w:r>
      <w:r>
        <w:rPr>
          <w:rStyle w:val="FootnoteAnchor"/>
          <w:rtl w:val="true"/>
        </w:rPr>
        <w:footnoteReference w:id="1561"/>
      </w:r>
      <w:r>
        <w:rPr>
          <w:rFonts w:ascii="Amiri" w:hAnsi="Amiri" w:eastAsia="Amiri" w:cs="Amiri"/>
          <w:color w:val="111111"/>
          <w:sz w:val="28"/>
          <w:sz w:val="28"/>
          <w:szCs w:val="28"/>
          <w:rtl w:val="true"/>
          <w:lang w:bidi="ar-SA"/>
        </w:rPr>
        <w:t xml:space="preserve">معَ الإيثارِ </w:t>
      </w:r>
    </w:p>
    <w:p>
      <w:pPr>
        <w:pStyle w:val="BookText"/>
        <w:rPr/>
      </w:pPr>
      <w:r>
        <w:rPr>
          <w:rFonts w:ascii="Amiri" w:hAnsi="Amiri" w:eastAsia="Amiri" w:cs="Amiri"/>
          <w:color w:val="111111"/>
          <w:sz w:val="28"/>
          <w:sz w:val="28"/>
          <w:szCs w:val="28"/>
          <w:rtl w:val="true"/>
          <w:lang w:bidi="ar-SA"/>
        </w:rPr>
        <w:t>و الاختيارِ</w:t>
      </w:r>
      <w:r>
        <w:rPr>
          <w:rStyle w:val="FootnoteAnchor"/>
          <w:rtl w:val="true"/>
        </w:rPr>
        <w:footnoteReference w:id="1562"/>
      </w:r>
      <w:r>
        <w:rPr>
          <w:rFonts w:ascii="Amiri" w:hAnsi="Amiri" w:eastAsia="Amiri" w:cs="Amiri"/>
          <w:color w:val="111111"/>
          <w:sz w:val="28"/>
          <w:sz w:val="28"/>
          <w:szCs w:val="28"/>
          <w:rtl w:val="true"/>
          <w:lang w:bidi="ar-SA"/>
        </w:rPr>
        <w:t>أن يُسَمّىٰ بالإمامَةِ مَن لا يَستَحِقُّها، و أن يُطاعَ و يُقتَدىٰ بمَن لَم يَكمُل</w:t>
      </w:r>
      <w:r>
        <w:rPr>
          <w:rStyle w:val="FootnoteAnchor"/>
          <w:rtl w:val="true"/>
        </w:rPr>
        <w:footnoteReference w:id="1563"/>
      </w:r>
      <w:r>
        <w:rPr>
          <w:rFonts w:ascii="Amiri" w:hAnsi="Amiri" w:eastAsia="Amiri" w:cs="Amiri"/>
          <w:color w:val="111111"/>
          <w:sz w:val="28"/>
          <w:sz w:val="28"/>
          <w:szCs w:val="28"/>
          <w:rtl w:val="true"/>
          <w:lang w:bidi="ar-SA"/>
        </w:rPr>
        <w:t>لَه شَرائطُ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أَباحَتِ الضرورةُ ما لا يَجوزُ معَ الإيثارِ في العُقولِ إباحَتُه</w:t>
      </w:r>
      <w:r>
        <w:rPr>
          <w:rStyle w:val="FootnoteAnchor"/>
          <w:rtl w:val="true"/>
        </w:rPr>
        <w:footnoteReference w:id="1564"/>
      </w:r>
      <w:r>
        <w:rPr>
          <w:rFonts w:ascii="Amiri" w:hAnsi="Amiri" w:eastAsia="Amiri" w:cs="Amiri"/>
          <w:color w:val="111111"/>
          <w:sz w:val="28"/>
          <w:sz w:val="28"/>
          <w:szCs w:val="28"/>
          <w:rtl w:val="true"/>
          <w:lang w:bidi="ar-SA"/>
        </w:rPr>
        <w:t>، كَيفَ لا تُبيحُ الضرورةُ ما كانَ يَجوزُ في العُقولِ معَ الإيثارِ استباحَتُه‌؟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حَمَلَتهُ نَفسُه مِن أصحابِنا علىٰ إنكارِ هذِه المُصاهَرَةِ‌،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حَمَلَ نَفسَه علىٰ‌</w:t>
      </w:r>
      <w:r>
        <w:rPr>
          <w:rStyle w:val="FootnoteAnchor"/>
          <w:rtl w:val="true"/>
        </w:rPr>
        <w:footnoteReference w:id="1565"/>
      </w:r>
      <w:r>
        <w:rPr>
          <w:rFonts w:ascii="Amiri" w:hAnsi="Amiri" w:eastAsia="Amiri" w:cs="Amiri"/>
          <w:color w:val="111111"/>
          <w:sz w:val="28"/>
          <w:sz w:val="28"/>
          <w:szCs w:val="28"/>
          <w:rtl w:val="true"/>
          <w:lang w:bidi="ar-SA"/>
        </w:rPr>
        <w:t>إنكارِ</w:t>
      </w:r>
      <w:r>
        <w:rPr>
          <w:rStyle w:val="FootnoteAnchor"/>
          <w:rtl w:val="true"/>
        </w:rPr>
        <w:footnoteReference w:id="1566"/>
      </w:r>
      <w:r>
        <w:rPr>
          <w:rFonts w:ascii="Amiri" w:hAnsi="Amiri" w:eastAsia="Amiri" w:cs="Amiri"/>
          <w:color w:val="111111"/>
          <w:sz w:val="28"/>
          <w:sz w:val="28"/>
          <w:szCs w:val="28"/>
          <w:rtl w:val="true"/>
          <w:lang w:bidi="ar-SA"/>
        </w:rPr>
        <w:t>كَونِ رُقَيَّةَ و زَينبَ بِنتَي رَسولِ اللّٰهِ صلّى اللّٰهُ عليه و آلِه؛ في دَفعِ الضرورَةِ‌، و الإشماتِ بنَفسِه</w:t>
      </w:r>
      <w:r>
        <w:rPr>
          <w:rStyle w:val="FootnoteAnchor"/>
          <w:rtl w:val="true"/>
        </w:rPr>
        <w:footnoteReference w:id="1567"/>
      </w:r>
      <w:r>
        <w:rPr>
          <w:rFonts w:ascii="Amiri" w:hAnsi="Amiri" w:eastAsia="Amiri" w:cs="Amiri"/>
          <w:color w:val="111111"/>
          <w:sz w:val="28"/>
          <w:sz w:val="28"/>
          <w:szCs w:val="28"/>
          <w:rtl w:val="true"/>
          <w:lang w:bidi="ar-SA"/>
        </w:rPr>
        <w:t>أعداءَه</w:t>
      </w:r>
      <w:r>
        <w:rPr>
          <w:rStyle w:val="FootnoteAnchor"/>
          <w:rtl w:val="true"/>
        </w:rPr>
        <w:footnoteReference w:id="1568"/>
      </w:r>
      <w:r>
        <w:rPr>
          <w:rFonts w:ascii="Amiri" w:hAnsi="Amiri" w:eastAsia="Amiri" w:cs="Amiri"/>
          <w:color w:val="111111"/>
          <w:sz w:val="28"/>
          <w:sz w:val="28"/>
          <w:szCs w:val="28"/>
          <w:rtl w:val="true"/>
          <w:lang w:bidi="ar-SA"/>
        </w:rPr>
        <w:t>، و التطريقِ علَيه لِمَن لا يَعلَمُ حَقائِقَ الأُمورِ أنَّه</w:t>
      </w:r>
      <w:r>
        <w:rPr>
          <w:rStyle w:val="FootnoteAnchor"/>
          <w:rtl w:val="true"/>
        </w:rPr>
        <w:footnoteReference w:id="1569"/>
      </w:r>
      <w:r>
        <w:rPr>
          <w:rFonts w:ascii="Amiri" w:hAnsi="Amiri" w:eastAsia="Amiri" w:cs="Amiri"/>
          <w:color w:val="111111"/>
          <w:sz w:val="28"/>
          <w:sz w:val="28"/>
          <w:szCs w:val="28"/>
          <w:rtl w:val="true"/>
          <w:lang w:bidi="ar-SA"/>
        </w:rPr>
        <w:t>في كُلِّ مَذاهِبِه و اعتقاداتِه علىٰ مِثلِ هذِه الحالِ‌</w:t>
      </w:r>
      <w:r>
        <w:rPr>
          <w:rStyle w:val="FootnoteAnchor"/>
          <w:rtl w:val="true"/>
        </w:rPr>
        <w:footnoteReference w:id="1570"/>
      </w:r>
      <w:r>
        <w:rPr>
          <w:rFonts w:ascii="Amiri" w:hAnsi="Amiri" w:eastAsia="Amiri" w:cs="Amiri"/>
          <w:color w:val="111111"/>
          <w:sz w:val="28"/>
          <w:sz w:val="28"/>
          <w:szCs w:val="28"/>
          <w:rtl w:val="true"/>
          <w:lang w:bidi="ar-SA"/>
        </w:rPr>
        <w:t>التي لا تَخفىٰ علَى العُقَلاءِ ضَرورةُ سَفَهِ‌</w:t>
      </w:r>
      <w:r>
        <w:rPr>
          <w:rStyle w:val="FootnoteAnchor"/>
          <w:rtl w:val="true"/>
        </w:rPr>
        <w:footnoteReference w:id="1571"/>
      </w:r>
      <w:r>
        <w:rPr>
          <w:rFonts w:ascii="Amiri" w:hAnsi="Amiri" w:eastAsia="Amiri" w:cs="Amiri"/>
          <w:color w:val="111111"/>
          <w:sz w:val="28"/>
          <w:sz w:val="28"/>
          <w:szCs w:val="28"/>
          <w:rtl w:val="true"/>
          <w:lang w:bidi="ar-SA"/>
        </w:rPr>
        <w:t>مُرتَكِبِها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قالَ‌ مِن جُهّالِ‌</w:t>
      </w:r>
      <w:r>
        <w:rPr>
          <w:rStyle w:val="FootnoteAnchor"/>
          <w:rtl w:val="true"/>
        </w:rPr>
        <w:footnoteReference w:id="1572"/>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العَقدَ</w:t>
      </w:r>
      <w:r>
        <w:rPr>
          <w:rStyle w:val="FootnoteAnchor"/>
          <w:rtl w:val="true"/>
        </w:rPr>
        <w:footnoteReference w:id="1573"/>
      </w:r>
      <w:r>
        <w:rPr>
          <w:rFonts w:ascii="Amiri" w:hAnsi="Amiri" w:eastAsia="Amiri" w:cs="Amiri"/>
          <w:color w:val="111111"/>
          <w:sz w:val="28"/>
          <w:sz w:val="28"/>
          <w:szCs w:val="28"/>
          <w:rtl w:val="true"/>
          <w:lang w:bidi="ar-SA"/>
        </w:rPr>
        <w:t>وَقَعَ‌؛ ولكِنَّ‌</w:t>
      </w:r>
      <w:r>
        <w:rPr>
          <w:rStyle w:val="FootnoteAnchor"/>
          <w:rtl w:val="true"/>
        </w:rPr>
        <w:footnoteReference w:id="1574"/>
      </w:r>
      <w:r>
        <w:rPr>
          <w:rFonts w:ascii="Amiri" w:hAnsi="Amiri" w:eastAsia="Amiri" w:cs="Amiri"/>
          <w:color w:val="111111"/>
          <w:sz w:val="28"/>
          <w:sz w:val="28"/>
          <w:szCs w:val="28"/>
          <w:rtl w:val="true"/>
          <w:lang w:bidi="ar-SA"/>
        </w:rPr>
        <w:t xml:space="preserve">اللّٰهَ تَعالىٰ‌ </w:t>
      </w:r>
    </w:p>
    <w:p>
      <w:pPr>
        <w:pStyle w:val="BookText"/>
        <w:rPr/>
      </w:pPr>
      <w:r>
        <w:rPr>
          <w:rFonts w:ascii="Amiri" w:hAnsi="Amiri" w:eastAsia="Amiri" w:cs="Amiri"/>
          <w:color w:val="111111"/>
          <w:sz w:val="28"/>
          <w:sz w:val="28"/>
          <w:szCs w:val="28"/>
          <w:rtl w:val="true"/>
          <w:lang w:bidi="ar-SA"/>
        </w:rPr>
        <w:t>كانَ يُبَدِّلُ‌</w:t>
      </w:r>
      <w:r>
        <w:rPr>
          <w:rStyle w:val="FootnoteAnchor"/>
          <w:rtl w:val="true"/>
        </w:rPr>
        <w:footnoteReference w:id="1575"/>
      </w:r>
      <w:r>
        <w:rPr>
          <w:rFonts w:ascii="Amiri" w:hAnsi="Amiri" w:eastAsia="Amiri" w:cs="Amiri"/>
          <w:color w:val="111111"/>
          <w:sz w:val="28"/>
          <w:sz w:val="28"/>
          <w:szCs w:val="28"/>
          <w:rtl w:val="true"/>
          <w:lang w:bidi="ar-SA"/>
        </w:rPr>
        <w:t>المَعقودَ علَيها</w:t>
      </w:r>
      <w:r>
        <w:rPr>
          <w:rStyle w:val="FootnoteAnchor"/>
          <w:rtl w:val="true"/>
        </w:rPr>
        <w:footnoteReference w:id="1576"/>
      </w:r>
      <w:r>
        <w:rPr>
          <w:rFonts w:ascii="Amiri" w:hAnsi="Amiri" w:eastAsia="Amiri" w:cs="Amiri"/>
          <w:color w:val="111111"/>
          <w:sz w:val="28"/>
          <w:sz w:val="28"/>
          <w:szCs w:val="28"/>
          <w:rtl w:val="true"/>
          <w:lang w:bidi="ar-SA"/>
        </w:rPr>
        <w:t>شَيطانَةً عندَ القَصدِ إلَى التمتُّعِ بها</w:t>
      </w:r>
      <w:r>
        <w:rPr>
          <w:rStyle w:val="FootnoteAnchor"/>
          <w:rtl w:val="true"/>
        </w:rPr>
        <w:footnoteReference w:id="1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فمِمّا يُضحِكُ‌</w:t>
      </w:r>
      <w:r>
        <w:rPr>
          <w:rStyle w:val="FootnoteAnchor"/>
          <w:rtl w:val="true"/>
        </w:rPr>
        <w:footnoteReference w:id="1578"/>
      </w:r>
      <w:r>
        <w:rPr>
          <w:rFonts w:ascii="Amiri" w:hAnsi="Amiri" w:eastAsia="Amiri" w:cs="Amiri"/>
          <w:color w:val="111111"/>
          <w:sz w:val="28"/>
          <w:sz w:val="28"/>
          <w:szCs w:val="28"/>
          <w:rtl w:val="true"/>
          <w:lang w:bidi="ar-SA"/>
        </w:rPr>
        <w:t>الثَّكلىٰ‌، لأنَّ المَسألةَ باقيةٌ علَيه في العَقدِ للكافِرِ؛ سَواءٌ‌</w:t>
      </w:r>
      <w:r>
        <w:rPr>
          <w:rStyle w:val="FootnoteAnchor"/>
          <w:rtl w:val="true"/>
        </w:rPr>
        <w:footnoteReference w:id="1579"/>
      </w:r>
      <w:r>
        <w:rPr>
          <w:rFonts w:ascii="Amiri" w:hAnsi="Amiri" w:eastAsia="Amiri" w:cs="Amiri"/>
          <w:color w:val="111111"/>
          <w:sz w:val="28"/>
          <w:sz w:val="28"/>
          <w:szCs w:val="28"/>
          <w:rtl w:val="true"/>
          <w:lang w:bidi="ar-SA"/>
        </w:rPr>
        <w:t>تَمَتَّعَ أو لَم يَتَمتَّع</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w:t>
      </w:r>
      <w:r>
        <w:rPr>
          <w:rStyle w:val="FootnoteAnchor"/>
          <w:rtl w:val="true"/>
        </w:rPr>
        <w:footnoteReference w:id="1580"/>
      </w:r>
      <w:r>
        <w:rPr>
          <w:rFonts w:ascii="Amiri" w:hAnsi="Amiri" w:eastAsia="Amiri" w:cs="Amiri"/>
          <w:color w:val="111111"/>
          <w:sz w:val="28"/>
          <w:sz w:val="28"/>
          <w:szCs w:val="28"/>
          <w:rtl w:val="true"/>
          <w:lang w:bidi="ar-SA"/>
        </w:rPr>
        <w:t>يَعتَذِرُ بِه مِن</w:t>
      </w:r>
      <w:r>
        <w:rPr>
          <w:rStyle w:val="FootnoteAnchor"/>
          <w:rtl w:val="true"/>
        </w:rPr>
        <w:footnoteReference w:id="1581"/>
      </w:r>
      <w:r>
        <w:rPr>
          <w:rFonts w:ascii="Amiri" w:hAnsi="Amiri" w:eastAsia="Amiri" w:cs="Amiri"/>
          <w:color w:val="111111"/>
          <w:sz w:val="28"/>
          <w:sz w:val="28"/>
          <w:szCs w:val="28"/>
          <w:rtl w:val="true"/>
          <w:lang w:bidi="ar-SA"/>
        </w:rPr>
        <w:t>إيقاعِ العَقدِ لكافرٍ</w:t>
      </w:r>
      <w:r>
        <w:rPr>
          <w:rStyle w:val="FootnoteAnchor"/>
          <w:rtl w:val="true"/>
        </w:rPr>
        <w:footnoteReference w:id="1582"/>
      </w:r>
      <w:r>
        <w:rPr>
          <w:rFonts w:ascii="Amiri" w:hAnsi="Amiri" w:eastAsia="Amiri" w:cs="Amiri"/>
          <w:color w:val="111111"/>
          <w:sz w:val="28"/>
          <w:sz w:val="28"/>
          <w:szCs w:val="28"/>
          <w:rtl w:val="true"/>
          <w:lang w:bidi="ar-SA"/>
        </w:rPr>
        <w:t>علىٰ مُؤمِنَةٍ هوَ المَطلوبُ‌</w:t>
      </w:r>
      <w:r>
        <w:rPr>
          <w:rStyle w:val="FootnoteAnchor"/>
          <w:rtl w:val="true"/>
        </w:rPr>
        <w:footnoteReference w:id="1583"/>
      </w:r>
      <w:r>
        <w:rPr>
          <w:rFonts w:ascii="Amiri" w:hAnsi="Amiri" w:eastAsia="Amiri" w:cs="Amiri"/>
          <w:color w:val="111111"/>
          <w:sz w:val="28"/>
          <w:sz w:val="28"/>
          <w:szCs w:val="28"/>
          <w:rtl w:val="true"/>
          <w:lang w:bidi="ar-SA"/>
        </w:rPr>
        <w:t>مِنه؛ فَلا مَعنىٰ لذِكرِ المَنعِ مِنَ‌</w:t>
      </w:r>
      <w:r>
        <w:rPr>
          <w:rStyle w:val="FootnoteAnchor"/>
          <w:rtl w:val="true"/>
        </w:rPr>
        <w:footnoteReference w:id="1584"/>
      </w: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يُبيحُ‌</w:t>
      </w:r>
      <w:r>
        <w:rPr>
          <w:rStyle w:val="FootnoteAnchor"/>
          <w:rtl w:val="true"/>
        </w:rPr>
        <w:footnoteReference w:id="1585"/>
      </w:r>
      <w:r>
        <w:rPr>
          <w:rFonts w:ascii="Amiri" w:hAnsi="Amiri" w:eastAsia="Amiri" w:cs="Amiri"/>
          <w:color w:val="111111"/>
          <w:sz w:val="28"/>
          <w:sz w:val="28"/>
          <w:szCs w:val="28"/>
          <w:rtl w:val="true"/>
          <w:lang w:bidi="ar-SA"/>
        </w:rPr>
        <w:t>العَقدَ علىٰ مَن لا يَجوزُ مُناكَحَتُه و لا عَقدُ النكاحِ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أَباحَه العَقدَ</w:t>
      </w:r>
      <w:r>
        <w:rPr>
          <w:rStyle w:val="FootnoteAnchor"/>
          <w:rtl w:val="true"/>
        </w:rPr>
        <w:footnoteReference w:id="1586"/>
      </w:r>
      <w:r>
        <w:rPr>
          <w:rFonts w:ascii="Amiri" w:hAnsi="Amiri" w:eastAsia="Amiri" w:cs="Amiri"/>
          <w:color w:val="111111"/>
          <w:sz w:val="28"/>
          <w:sz w:val="28"/>
          <w:szCs w:val="28"/>
          <w:rtl w:val="true"/>
          <w:lang w:bidi="ar-SA"/>
        </w:rPr>
        <w:t>الواقعَ للتَّمَتُّعِ‌</w:t>
      </w:r>
      <w:r>
        <w:rPr>
          <w:rStyle w:val="FootnoteAnchor"/>
          <w:rtl w:val="true"/>
        </w:rPr>
        <w:footnoteReference w:id="1587"/>
      </w:r>
      <w:r>
        <w:rPr>
          <w:rFonts w:ascii="Amiri" w:hAnsi="Amiri" w:eastAsia="Amiri" w:cs="Amiri"/>
          <w:color w:val="111111"/>
          <w:sz w:val="28"/>
          <w:sz w:val="28"/>
          <w:szCs w:val="28"/>
          <w:rtl w:val="true"/>
          <w:lang w:bidi="ar-SA"/>
        </w:rPr>
        <w:t>، فكَيفَ يَمنَعُه</w:t>
      </w:r>
      <w:r>
        <w:rPr>
          <w:rStyle w:val="FootnoteAnchor"/>
          <w:rtl w:val="true"/>
        </w:rPr>
        <w:footnoteReference w:id="1588"/>
      </w:r>
      <w:r>
        <w:rPr>
          <w:rFonts w:ascii="Amiri" w:hAnsi="Amiri" w:eastAsia="Amiri" w:cs="Amiri"/>
          <w:color w:val="111111"/>
          <w:sz w:val="28"/>
          <w:sz w:val="28"/>
          <w:szCs w:val="28"/>
          <w:rtl w:val="true"/>
          <w:lang w:bidi="ar-SA"/>
        </w:rPr>
        <w:t>مِمّا</w:t>
      </w:r>
      <w:r>
        <w:rPr>
          <w:rStyle w:val="FootnoteAnchor"/>
          <w:rtl w:val="true"/>
        </w:rPr>
        <w:footnoteReference w:id="1589"/>
      </w:r>
      <w:r>
        <w:rPr>
          <w:rFonts w:ascii="Amiri" w:hAnsi="Amiri" w:eastAsia="Amiri" w:cs="Amiri"/>
          <w:color w:val="111111"/>
          <w:sz w:val="28"/>
          <w:sz w:val="28"/>
          <w:szCs w:val="28"/>
          <w:rtl w:val="true"/>
          <w:lang w:bidi="ar-SA"/>
        </w:rPr>
        <w:t>يَقتَضيهِ العَقدُ</w:t>
      </w:r>
      <w:r>
        <w:rPr>
          <w:rStyle w:val="FootnoteAnchor"/>
          <w:rtl w:val="true"/>
        </w:rPr>
        <w:footnoteReference w:id="1590"/>
      </w:r>
      <w:r>
        <w:rPr>
          <w:rFonts w:ascii="Amiri" w:hAnsi="Amiri" w:eastAsia="Amiri" w:cs="Amiri"/>
          <w:color w:val="111111"/>
          <w:sz w:val="28"/>
          <w:sz w:val="28"/>
          <w:szCs w:val="28"/>
          <w:rtl w:val="true"/>
          <w:lang w:bidi="ar-SA"/>
        </w:rPr>
        <w:t>؟ و المَنعُ مِنَ العَقدِ أَولىٰ مِن إيقاعِه و المَنعِ مِن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أَحوَجَ إلىٰ‌ </w:t>
      </w:r>
    </w:p>
    <w:p>
      <w:pPr>
        <w:pStyle w:val="BookText"/>
        <w:rPr/>
      </w:pPr>
      <w:r>
        <w:rPr>
          <w:rFonts w:ascii="Amiri" w:hAnsi="Amiri" w:eastAsia="Amiri" w:cs="Amiri"/>
          <w:color w:val="111111"/>
          <w:sz w:val="28"/>
          <w:sz w:val="28"/>
          <w:szCs w:val="28"/>
          <w:rtl w:val="true"/>
          <w:lang w:bidi="ar-SA"/>
        </w:rPr>
        <w:t>ذلكَ العَجزُ عَن ذِكرِ العُذرِ الصحيحِ‌</w:t>
      </w:r>
      <w:r>
        <w:rPr>
          <w:rFonts w:eastAsia="Amiri" w:cs="Amiri" w:ascii="Amiri" w:hAnsi="Amiri"/>
          <w:color w:val="111111"/>
          <w:sz w:val="28"/>
          <w:szCs w:val="28"/>
          <w:rtl w:val="true"/>
          <w:lang w:bidi="ar-SA"/>
        </w:rPr>
        <w:t>.</w:t>
      </w:r>
      <w:r>
        <w:rPr>
          <w:rStyle w:val="FootnoteAnchor"/>
          <w:rtl w:val="true"/>
        </w:rPr>
        <w:footnoteReference w:id="159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جُملَةٌ مُغنيَةٌ عَمّا</w:t>
      </w:r>
      <w:r>
        <w:rPr>
          <w:rStyle w:val="FootnoteAnchor"/>
          <w:rtl w:val="true"/>
        </w:rPr>
        <w:footnoteReference w:id="1592"/>
      </w:r>
      <w:r>
        <w:rPr>
          <w:rFonts w:ascii="Amiri" w:hAnsi="Amiri" w:eastAsia="Amiri" w:cs="Amiri"/>
          <w:color w:val="111111"/>
          <w:sz w:val="28"/>
          <w:sz w:val="28"/>
          <w:szCs w:val="28"/>
          <w:rtl w:val="true"/>
          <w:lang w:bidi="ar-SA"/>
        </w:rPr>
        <w:t>سِواها بإذنِ اللّٰهِ تَعالىٰ‌، و الحَمدُ لِلّٰهِ وَحدَهُ‌</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bookmarkStart w:id="720" w:name="pg16425_221876"/>
    </w:p>
    <w:p>
      <w:pPr>
        <w:pStyle w:val="Heading3"/>
        <w:numPr>
          <w:ilvl w:val="2"/>
          <w:numId w:val="1"/>
        </w:numPr>
        <w:rPr/>
      </w:pPr>
      <w:bookmarkStart w:id="721" w:name="__RefHeading___Toc7830375_1280447820"/>
      <w:bookmarkStart w:id="722" w:name="_Toc236"/>
      <w:bookmarkEnd w:id="720"/>
      <w:bookmarkEnd w:id="721"/>
      <w:r>
        <w:rPr>
          <w:rtl w:val="true"/>
        </w:rPr>
        <w:t>(</w:t>
      </w:r>
      <w:r>
        <w:rPr/>
        <w:t>65</w:t>
      </w:r>
      <w:r>
        <w:rPr>
          <w:rtl w:val="true"/>
        </w:rPr>
        <w:t xml:space="preserve">) </w:t>
      </w:r>
      <w:r>
        <w:rPr>
          <w:rtl w:val="true"/>
        </w:rPr>
        <w:t>مَسألةٌ أُخرىٰ حَولَ إنكاحِ أميرِ المؤمنينَ عليه السلام ابنَتَه مِن عُمَرَ</w:t>
      </w:r>
      <w:bookmarkEnd w:id="72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3" w:name="__RefHeading___Toc7830377_1280447820"/>
      <w:bookmarkStart w:id="724" w:name="_Toc237"/>
      <w:bookmarkEnd w:id="723"/>
      <w:r>
        <w:rPr>
          <w:rtl w:val="true"/>
        </w:rPr>
        <w:t>اشارة</w:t>
      </w:r>
      <w:bookmarkEnd w:id="72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5" w:name="pg16425_221878"/>
      <w:bookmarkStart w:id="726" w:name="pg16425_221878"/>
      <w:bookmarkEnd w:id="726"/>
    </w:p>
    <w:p>
      <w:pPr>
        <w:pStyle w:val="Heading4"/>
        <w:numPr>
          <w:ilvl w:val="3"/>
          <w:numId w:val="1"/>
        </w:numPr>
        <w:rPr/>
      </w:pPr>
      <w:bookmarkStart w:id="727" w:name="pg16425_221878"/>
      <w:bookmarkStart w:id="728" w:name="__RefHeading___Toc7830379_1280447820"/>
      <w:bookmarkStart w:id="729" w:name="_Toc238"/>
      <w:bookmarkEnd w:id="727"/>
      <w:bookmarkEnd w:id="728"/>
      <w:r>
        <w:rPr>
          <w:rtl w:val="true"/>
        </w:rPr>
        <w:t>مقدّمة التحقيق</w:t>
      </w:r>
      <w:bookmarkEnd w:id="729"/>
    </w:p>
    <w:p>
      <w:pPr>
        <w:pStyle w:val="Heading5"/>
        <w:numPr>
          <w:ilvl w:val="4"/>
          <w:numId w:val="1"/>
        </w:numPr>
        <w:rPr/>
      </w:pPr>
      <w:bookmarkStart w:id="730" w:name="__RefHeading___Toc7830381_1280447820"/>
      <w:bookmarkStart w:id="731" w:name="_Toc239"/>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تعرّض الشريف المرتضى إلى السؤال أكثر من مرّة عن موضوع زواج الخليفة الثاني من بنت أمير المؤمنين عليه السلامُ‌، و عن السبب الذي دعا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سُئل عن ذلك في المسائل الميّافارقيّات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سُئل في مجلس مَن وصفه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 الموضوع، فقام بتأليف رسالة مستقلّة حملت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إنكاح أمير المؤمنين عليه السلامُ ابنته من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تحدّث فيها عن الموضوع بالتفصيل، و وسّع البحث فيها ليشمل زواج الخليفة الثالث من بنات النبيّ صلّى اللّٰهُ عليه و آلِه و زواج النبيّ صلّى اللّٰهُ عليه و آلِه من عائشة و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إلى تأليفه هذه الرسالة في الرسالة محلّ البحث،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أزلنا الشبهة المعترضة بها، و أفردنا كلاماً استقصيناه و استوفيناه في نكاح أُمّ كلثوم، و إنكاح النبي بنتَيه من عثمان بن عفّان، و نكاحه هو عليه السلامُ أيضاً عائشة و حفصة، و شرحنا ذلك و بسطناه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تعرّض إلى هذا الموضوع في بعض كتبه الكلاميّة الأُخرى</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الرسالة لم يزد على ما ذكره في تلك المواضع، حيث ذهب إلى أنّ زواج الخليفة الثاني لم يكن عن رضا و اختيار من أمير المؤمنين عليه السلامُ‌، بل كان تقيّة، </w:t>
      </w:r>
      <w:bookmarkStart w:id="732" w:name="pg16425_221879"/>
    </w:p>
    <w:p>
      <w:pPr>
        <w:pStyle w:val="BookText"/>
        <w:rPr/>
      </w:pPr>
      <w:bookmarkEnd w:id="732"/>
      <w:r>
        <w:rPr>
          <w:rFonts w:ascii="Amiri" w:hAnsi="Amiri" w:eastAsia="Amiri" w:cs="Amiri"/>
          <w:color w:val="111111"/>
          <w:sz w:val="28"/>
          <w:sz w:val="28"/>
          <w:szCs w:val="28"/>
          <w:rtl w:val="true"/>
          <w:lang w:bidi="ar-SA"/>
        </w:rPr>
        <w:t>و جاء نتيجة توعُّد و تهديد، و ذكر رواية الزواج و التهديد الذي حصل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أنّه ليس من العجيب أن تبيح التقيّة هذا الزواج، بعدما أباحت البيعة لهم، و الدخول في الشورى، و غير ذلك مما فعله أمير المؤمنين عليه السلامُ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تصحيح نسبة الرسالة إلى الشريف المرتضى إرجاعُه فيها إلى كتابه الشافي، و هذا يعتبر قرينة داخليّة مهمّة على تصحيح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مجموعة مسائل حملت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7830383_1280447820"/>
      <w:bookmarkStart w:id="734" w:name="_Toc240"/>
      <w:bookmarkEnd w:id="733"/>
      <w:r>
        <w:rPr>
          <w:rtl w:val="true"/>
        </w:rPr>
        <w:t>مخطوطات الرسالة</w:t>
      </w:r>
      <w:bookmarkEnd w:id="7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735" w:name="pg16425_221880"/>
    </w:p>
    <w:p>
      <w:pPr>
        <w:pStyle w:val="BookText"/>
        <w:rPr/>
      </w:pPr>
      <w:bookmarkEnd w:id="73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7830385_1280447820"/>
      <w:bookmarkStart w:id="737" w:name="_Toc241"/>
      <w:bookmarkEnd w:id="736"/>
      <w:r>
        <w:rPr>
          <w:rtl w:val="true"/>
        </w:rPr>
        <w:t>مَسألةٌ أُخرىٰ حَولَ إنكاحِ أميرِ المؤمنينَ عليه السلام ابنَتَه مِن عُمَرَ</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سَألوا أيضاً عن</w:t>
      </w:r>
      <w:r>
        <w:rPr>
          <w:rStyle w:val="FootnoteAnchor"/>
          <w:rtl w:val="true"/>
        </w:rPr>
        <w:footnoteReference w:id="1595"/>
      </w:r>
      <w:r>
        <w:rPr>
          <w:rFonts w:ascii="Amiri" w:hAnsi="Amiri" w:eastAsia="Amiri" w:cs="Amiri"/>
          <w:color w:val="111111"/>
          <w:sz w:val="28"/>
          <w:sz w:val="28"/>
          <w:szCs w:val="28"/>
          <w:rtl w:val="true"/>
          <w:lang w:bidi="ar-SA"/>
        </w:rPr>
        <w:t>موجَبِ الفقهِ المُجيزِ لأميرِ المؤمنينَ عليه السلامُ تزويجَ أُمِّ كُلثومٍ‌،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أَوضِحوا لنا</w:t>
      </w:r>
      <w:r>
        <w:rPr>
          <w:rStyle w:val="FootnoteAnchor"/>
          <w:rtl w:val="true"/>
        </w:rPr>
        <w:footnoteReference w:id="1596"/>
      </w:r>
      <w:r>
        <w:rPr>
          <w:rFonts w:ascii="IRNazanin" w:hAnsi="IRNazanin" w:eastAsia="IRNazanin"/>
          <w:color w:val="111111"/>
          <w:sz w:val="28"/>
          <w:sz w:val="28"/>
          <w:szCs w:val="28"/>
          <w:rtl w:val="true"/>
          <w:lang w:bidi="fa-IR"/>
        </w:rPr>
        <w:t>عن</w:t>
      </w:r>
      <w:r>
        <w:rPr>
          <w:rStyle w:val="FootnoteAnchor"/>
          <w:rtl w:val="true"/>
        </w:rPr>
        <w:footnoteReference w:id="1597"/>
      </w:r>
      <w:r>
        <w:rPr>
          <w:rFonts w:ascii="Amiri" w:hAnsi="Amiri" w:eastAsia="Amiri" w:cs="Amiri"/>
          <w:color w:val="111111"/>
          <w:sz w:val="28"/>
          <w:sz w:val="28"/>
          <w:szCs w:val="28"/>
          <w:rtl w:val="true"/>
          <w:lang w:bidi="ar-SA"/>
        </w:rPr>
        <w:t>طَريقٍ يوجِبُه الدينُ و يُبيحُه</w:t>
      </w:r>
      <w:r>
        <w:rPr>
          <w:rStyle w:val="FootnoteAnchor"/>
          <w:rtl w:val="true"/>
        </w:rPr>
        <w:footnoteReference w:id="1598"/>
      </w:r>
      <w:r>
        <w:rPr>
          <w:rFonts w:ascii="Amiri" w:hAnsi="Amiri" w:eastAsia="Amiri" w:cs="Amiri"/>
          <w:color w:val="111111"/>
          <w:sz w:val="28"/>
          <w:sz w:val="28"/>
          <w:szCs w:val="28"/>
          <w:rtl w:val="true"/>
          <w:lang w:bidi="ar-SA"/>
        </w:rPr>
        <w:t>و لا يَمنَعُه، و هَل</w:t>
      </w:r>
      <w:r>
        <w:rPr>
          <w:rStyle w:val="FootnoteAnchor"/>
          <w:rtl w:val="true"/>
        </w:rPr>
        <w:footnoteReference w:id="1599"/>
      </w:r>
      <w:r>
        <w:rPr>
          <w:rFonts w:ascii="Amiri" w:hAnsi="Amiri" w:eastAsia="Amiri" w:cs="Amiri"/>
          <w:color w:val="111111"/>
          <w:sz w:val="28"/>
          <w:sz w:val="28"/>
          <w:szCs w:val="28"/>
          <w:rtl w:val="true"/>
          <w:lang w:bidi="ar-SA"/>
        </w:rPr>
        <w:t xml:space="preserve">مُستَعمِلُ التقيّةِ و مُظهِرُ المُجامَلةِ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يَنتَهيَ إلَى الحَدِّ الذي لا مَزيدَ عليه في الخِلطةِ‌، و هو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أنّا قد بيّنّا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هذه المسألةِ‌، و أَزَلنا الشُّبهةَ المُعتَرِضةَ بها</w:t>
      </w:r>
      <w:r>
        <w:rPr>
          <w:rFonts w:eastAsia="Amiri" w:cs="Amiri" w:ascii="Amiri" w:hAnsi="Amiri"/>
          <w:color w:val="111111"/>
          <w:sz w:val="28"/>
          <w:szCs w:val="28"/>
          <w:rtl w:val="true"/>
          <w:lang w:bidi="ar-SA"/>
        </w:rPr>
        <w:t>.</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و أَفرَدنا كلاماً استَقصَيناه و استَوفَيناه في نِكاحِ أُمِّ كُلثومٍ‌، و إنكاحِ النبيِّ بِنتَيه</w:t>
      </w:r>
      <w:r>
        <w:rPr>
          <w:rStyle w:val="FootnoteAnchor"/>
          <w:rtl w:val="true"/>
        </w:rPr>
        <w:footnoteReference w:id="1602"/>
      </w:r>
      <w:r>
        <w:rPr>
          <w:rFonts w:ascii="Amiri" w:hAnsi="Amiri" w:eastAsia="Amiri" w:cs="Amiri"/>
          <w:color w:val="111111"/>
          <w:sz w:val="28"/>
          <w:sz w:val="28"/>
          <w:szCs w:val="28"/>
          <w:rtl w:val="true"/>
          <w:lang w:bidi="ar-SA"/>
        </w:rPr>
        <w:t>مِن عُثمانَ بنِ عَفّانَ‌، و نِكاحِه هو عليه السلامُ أيضاً عائشةَ و حَفصةَ‌؛ و شَرَحنا ذلكَ و بَسَطناه</w:t>
      </w:r>
      <w:r>
        <w:rPr>
          <w:rFonts w:eastAsia="Amiri" w:cs="Amiri" w:ascii="Amiri" w:hAnsi="Amiri"/>
          <w:color w:val="111111"/>
          <w:sz w:val="28"/>
          <w:szCs w:val="28"/>
          <w:rtl w:val="true"/>
          <w:lang w:bidi="ar-SA"/>
        </w:rPr>
        <w:t>.</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و الذي يَجِبُ‌ أن يُعتَمَدَ في نِكاحِ أُمِّ كُلثومٍ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النكاحَ لَم يَكُن عن اختيارٍ و لا إيثارٍ، و لكِن بَعدَ مُراجَعةٍ و مُدافَعةٍ كادَت تُفضي إلَى المُخارَجةِ‌</w:t>
      </w:r>
      <w:r>
        <w:rPr>
          <w:rStyle w:val="FootnoteAnchor"/>
          <w:rtl w:val="true"/>
        </w:rPr>
        <w:footnoteReference w:id="1604"/>
      </w:r>
      <w:r>
        <w:rPr>
          <w:rFonts w:ascii="Amiri" w:hAnsi="Amiri" w:eastAsia="Amiri" w:cs="Amiri"/>
          <w:color w:val="111111"/>
          <w:sz w:val="28"/>
          <w:sz w:val="28"/>
          <w:szCs w:val="28"/>
          <w:rtl w:val="true"/>
          <w:lang w:bidi="ar-SA"/>
        </w:rPr>
        <w:t>و المُجاهَرةِ‌</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رُويَ أنّ عُمَرَ بنَ الخَطّابِ استَدعَى العبّاسَ بنَ عبدِ المُطَّلِبِ‌،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أبي بأسٌ؟</w:t>
      </w:r>
    </w:p>
    <w:p>
      <w:pPr>
        <w:pStyle w:val="BookText"/>
        <w:rPr/>
      </w:pPr>
      <w:r>
        <w:rPr>
          <w:rFonts w:ascii="Amiri" w:hAnsi="Amiri" w:eastAsia="Amiri" w:cs="Amiri"/>
          <w:color w:val="111111"/>
          <w:sz w:val="28"/>
          <w:sz w:val="28"/>
          <w:szCs w:val="28"/>
          <w:rtl w:val="true"/>
          <w:lang w:bidi="ar-SA"/>
        </w:rPr>
        <w:t>فقالَ له ما يَجِبُ‌</w:t>
      </w:r>
      <w:r>
        <w:rPr>
          <w:rStyle w:val="FootnoteAnchor"/>
          <w:rtl w:val="true"/>
        </w:rPr>
        <w:footnoteReference w:id="1606"/>
      </w:r>
      <w:r>
        <w:rPr>
          <w:rFonts w:ascii="Amiri" w:hAnsi="Amiri" w:eastAsia="Amiri" w:cs="Amiri"/>
          <w:color w:val="111111"/>
          <w:sz w:val="28"/>
          <w:sz w:val="28"/>
          <w:szCs w:val="28"/>
          <w:rtl w:val="true"/>
          <w:lang w:bidi="ar-SA"/>
        </w:rPr>
        <w:t>أن يُقالَ لمِثلِه في الجوابِ عن هذا الكلامِ‌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إلَى ابنِ أخيكَ علىٰ بنتِه أُمِّ كُلثومٍ‌، فدافَعَني و مانَعَني و أَنِفَ مِن مُصاهَرَتي؛ وَ اللّٰهِ لَأُغَوِّرَنَّ‌</w:t>
      </w:r>
      <w:r>
        <w:rPr>
          <w:rStyle w:val="FootnoteAnchor"/>
          <w:rtl w:val="true"/>
        </w:rPr>
        <w:footnoteReference w:id="1607"/>
      </w:r>
      <w:r>
        <w:rPr>
          <w:rFonts w:ascii="Amiri" w:hAnsi="Amiri" w:eastAsia="Amiri" w:cs="Amiri"/>
          <w:color w:val="111111"/>
          <w:sz w:val="28"/>
          <w:sz w:val="28"/>
          <w:szCs w:val="28"/>
          <w:rtl w:val="true"/>
          <w:lang w:bidi="ar-SA"/>
        </w:rPr>
        <w:t>زَمزَمَ و أَسُدَّنَّ‌</w:t>
      </w:r>
      <w:r>
        <w:rPr>
          <w:rStyle w:val="FootnoteAnchor"/>
          <w:rtl w:val="true"/>
        </w:rPr>
        <w:footnoteReference w:id="1608"/>
      </w:r>
      <w:r>
        <w:rPr>
          <w:rFonts w:ascii="Amiri" w:hAnsi="Amiri" w:eastAsia="Amiri" w:cs="Amiri"/>
          <w:color w:val="111111"/>
          <w:sz w:val="28"/>
          <w:sz w:val="28"/>
          <w:szCs w:val="28"/>
          <w:rtl w:val="true"/>
          <w:lang w:bidi="ar-SA"/>
        </w:rPr>
        <w:t>السِّقايةَ‌، و لا تَرَكتُ لكُم يا بَني هاشِمٍ مَنقَبةً إلّاأَدحَضتُها</w:t>
      </w:r>
      <w:r>
        <w:rPr>
          <w:rStyle w:val="FootnoteAnchor"/>
          <w:rtl w:val="true"/>
        </w:rPr>
        <w:footnoteReference w:id="1609"/>
      </w:r>
      <w:r>
        <w:rPr>
          <w:rFonts w:ascii="Amiri" w:hAnsi="Amiri" w:eastAsia="Amiri" w:cs="Amiri"/>
          <w:color w:val="111111"/>
          <w:sz w:val="28"/>
          <w:sz w:val="28"/>
          <w:szCs w:val="28"/>
          <w:rtl w:val="true"/>
          <w:lang w:bidi="ar-SA"/>
        </w:rPr>
        <w:t>، و لَأُقيمَنَّ عليه شُهوداً يَشهَدونَ عليه بالسَّرَقِ و أَحكُمُ بقَطعِه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فمَضَى العبّاسُ إلىٰ أميرِ المؤمنينَ عليه السلامُ‌، فأخبَرَه بما جَرىٰ‌، و خَوَّفَه مِن المُكاشَفةِ التي كانَ عليه السلامُ يَتَحاماها و يَفتَديها برُكوبِ كُلِّ صَعبٍ و ذَلولٍ‌؛ فلمّا رأىٰ ثِقَلَ ذلكَ عليه،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أمرَها إليَّ حتّىٰ أعمَلَ أنا ما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عليه السلامُ‌</w:t>
      </w:r>
      <w:r>
        <w:rPr>
          <w:rStyle w:val="FootnoteAnchor"/>
          <w:rtl w:val="true"/>
        </w:rPr>
        <w:footnoteReference w:id="1610"/>
      </w:r>
      <w:r>
        <w:rPr>
          <w:rFonts w:ascii="Amiri" w:hAnsi="Amiri" w:eastAsia="Amiri" w:cs="Amiri"/>
          <w:color w:val="111111"/>
          <w:sz w:val="28"/>
          <w:sz w:val="28"/>
          <w:szCs w:val="28"/>
          <w:rtl w:val="true"/>
          <w:lang w:bidi="ar-SA"/>
        </w:rPr>
        <w:t>ذلكَ‌، و عَقَدَ عليها العبّاسُ‌</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و هذا إكراهٌ يَحِلُّ له كُلُّ مُحرَّمٍ‌، و يَزولُ معه كُلُّ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بصِحّتِه ما رُويَ عن أبي عبد اللّٰهِ عليه السلامُ‌، مِن قولِه و قد سُئلَ عن هذا العَقدِ،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فَرجٌ غُصِبنا عليه</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و ما العَجَبُ‌ مِن أن تُبيحَ التقيّةُ و الإكراهُ و الخَوفُ مِن الفتنةِ في الدينِ و وقوعِ الخِلافِ بَينَ المُسلِمينَ لِمَن هو الإمامُ بَعدَ الرسولِ عليهما السلامُ المُستَخلَفُ‌</w:t>
      </w:r>
      <w:r>
        <w:rPr>
          <w:rStyle w:val="FootnoteAnchor"/>
          <w:rtl w:val="true"/>
        </w:rPr>
        <w:footnoteReference w:id="1613"/>
      </w:r>
      <w:r>
        <w:rPr>
          <w:rFonts w:ascii="Amiri" w:hAnsi="Amiri" w:eastAsia="Amiri" w:cs="Amiri"/>
          <w:color w:val="111111"/>
          <w:sz w:val="28"/>
          <w:sz w:val="28"/>
          <w:szCs w:val="28"/>
          <w:rtl w:val="true"/>
          <w:lang w:bidi="ar-SA"/>
        </w:rPr>
        <w:t>علىٰ أُمّتِه أن يُمسِكَ عن هذا الأمرِ، و يُخرِجَ نفسَه منه، و يُظهِرَ البَيعةَ لغَيرِه، و يَتصرَّفَ بَينَ أمرِه و نَهيِه، و يَنفُذَ عليه أحكامُه</w:t>
      </w:r>
      <w:r>
        <w:rPr>
          <w:rStyle w:val="FootnoteAnchor"/>
          <w:rtl w:val="true"/>
        </w:rPr>
        <w:footnoteReference w:id="1614"/>
      </w:r>
      <w:r>
        <w:rPr>
          <w:rFonts w:ascii="Amiri" w:hAnsi="Amiri" w:eastAsia="Amiri" w:cs="Amiri"/>
          <w:color w:val="111111"/>
          <w:sz w:val="28"/>
          <w:sz w:val="28"/>
          <w:szCs w:val="28"/>
          <w:rtl w:val="true"/>
          <w:lang w:bidi="ar-SA"/>
        </w:rPr>
        <w:t xml:space="preserve">، و يَدخُلَ في الشورَى التي هي بِدعةٌ و ضَلالٌ و ظُلمٌ و مُحالٌ‌، و مِن أن يَستَبيحَ لأجلِ هذه الأُمورِ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لَو مَلَكَ اختيارَه لَما عَقَدَ عليه‌؟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يَتعجَّبُ مِن ذلكَ مَن لا يُفكِّرُ في الاُمورِ و لا يَتأمَّلُها و لا يَتدبَّرُها؛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فَكَّرَ في الأمورِ و تأَمَّلها و تَدبَّرَها، لَم يُحرَمْ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جوازِ العَقدِ، و اقتَضَى </w:t>
      </w:r>
    </w:p>
    <w:p>
      <w:pPr>
        <w:pStyle w:val="BookText"/>
        <w:rPr/>
      </w:pPr>
      <w:r>
        <w:rPr>
          <w:rFonts w:ascii="Amiri" w:hAnsi="Amiri" w:eastAsia="Amiri" w:cs="Amiri"/>
          <w:color w:val="111111"/>
          <w:sz w:val="28"/>
          <w:sz w:val="28"/>
          <w:szCs w:val="28"/>
          <w:rtl w:val="true"/>
          <w:lang w:bidi="ar-SA"/>
        </w:rPr>
        <w:t>الحالُ له فِعلَ‌</w:t>
      </w:r>
      <w:r>
        <w:rPr>
          <w:rStyle w:val="FootnoteAnchor"/>
          <w:rtl w:val="true"/>
        </w:rPr>
        <w:footnoteReference w:id="1615"/>
      </w:r>
      <w:r>
        <w:rPr>
          <w:rFonts w:ascii="Amiri" w:hAnsi="Amiri" w:eastAsia="Amiri" w:cs="Amiri"/>
          <w:color w:val="111111"/>
          <w:sz w:val="28"/>
          <w:sz w:val="28"/>
          <w:szCs w:val="28"/>
          <w:rtl w:val="true"/>
          <w:lang w:bidi="ar-SA"/>
        </w:rPr>
        <w:t>أميرِ المؤمنينَ عليه السلامُ‌؛ لأنّه عليه السلامُ لا يَفعَلُ قَبيحاً، و لا يَرتَكِبُ مأثَماً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تُبيحُ الضرورةُ أَكلَ المَيتةِ و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العَجَبُ ممّا هو دونَها؟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جَحَدَ مِن غَفَلةِ أصحابِنا وقوعَ هذا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وقوعَ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هذا البَيتِ‌، و أنّها وَلَدَت أولاداً مِن عُمَرَ، معلومٌ مشهورٌ،</w:t>
      </w:r>
      <w:r>
        <w:rPr>
          <w:rStyle w:val="FootnoteAnchor"/>
          <w:rtl w:val="true"/>
        </w:rPr>
        <w:footnoteReference w:id="1616"/>
      </w:r>
      <w:r>
        <w:rPr>
          <w:rFonts w:ascii="Amiri" w:hAnsi="Amiri" w:eastAsia="Amiri" w:cs="Amiri"/>
          <w:color w:val="111111"/>
          <w:sz w:val="28"/>
          <w:sz w:val="28"/>
          <w:szCs w:val="28"/>
          <w:rtl w:val="true"/>
          <w:lang w:bidi="ar-SA"/>
        </w:rPr>
        <w:t>و لا يَجوزُ أن يَدفَعَه إلّا جاهلٌ أو مُعانِدٌ؛ و ما الحاجةُ بِنا إلىٰ دَفعِ الضروراتِ و المُشاهَداتِ في أمرٍ له مَخرَجٌ مِن الدينِ صَحيحٌ؟</w:t>
      </w:r>
      <w:r>
        <w:rPr>
          <w:rFonts w:eastAsia="Amiri" w:cs="Amiri" w:ascii="Amiri" w:hAnsi="Amiri"/>
          <w:color w:val="111111"/>
          <w:sz w:val="28"/>
          <w:szCs w:val="28"/>
          <w:rtl w:val="true"/>
          <w:lang w:bidi="ar-SA"/>
        </w:rPr>
        <w:t>!</w:t>
      </w:r>
      <w:r>
        <w:rPr>
          <w:rStyle w:val="FootnoteAnchor"/>
          <w:rtl w:val="true"/>
        </w:rPr>
        <w:footnoteReference w:id="1617"/>
      </w:r>
      <w:bookmarkStart w:id="738" w:name="pg16425_221884"/>
    </w:p>
    <w:p>
      <w:pPr>
        <w:pStyle w:val="Heading3"/>
        <w:numPr>
          <w:ilvl w:val="2"/>
          <w:numId w:val="1"/>
        </w:numPr>
        <w:rPr/>
      </w:pPr>
      <w:bookmarkStart w:id="739" w:name="__RefHeading___Toc7830387_1280447820"/>
      <w:bookmarkStart w:id="740" w:name="_Toc242"/>
      <w:bookmarkEnd w:id="738"/>
      <w:bookmarkEnd w:id="739"/>
      <w:r>
        <w:rPr>
          <w:rtl w:val="true"/>
        </w:rPr>
        <w:t>(</w:t>
      </w:r>
      <w:r>
        <w:rPr/>
        <w:t>66</w:t>
      </w:r>
      <w:r>
        <w:rPr>
          <w:rtl w:val="true"/>
        </w:rPr>
        <w:t xml:space="preserve">) </w:t>
      </w:r>
      <w:r>
        <w:rPr>
          <w:rtl w:val="true"/>
        </w:rPr>
        <w:t>المسألةُ في تفضيلِ فاطمةَ عليها السلام</w:t>
      </w:r>
      <w:bookmarkEnd w:id="74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1" w:name="__RefHeading___Toc7830389_1280447820"/>
      <w:bookmarkStart w:id="742" w:name="_Toc243"/>
      <w:bookmarkEnd w:id="741"/>
      <w:r>
        <w:rPr>
          <w:rtl w:val="true"/>
        </w:rPr>
        <w:t>اشارة</w:t>
      </w:r>
      <w:bookmarkEnd w:id="74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3" w:name="pg16425_221886"/>
      <w:bookmarkStart w:id="744" w:name="pg16425_221886"/>
      <w:bookmarkEnd w:id="744"/>
    </w:p>
    <w:p>
      <w:pPr>
        <w:pStyle w:val="Heading4"/>
        <w:numPr>
          <w:ilvl w:val="3"/>
          <w:numId w:val="1"/>
        </w:numPr>
        <w:rPr/>
      </w:pPr>
      <w:bookmarkStart w:id="745" w:name="pg16425_221886"/>
      <w:bookmarkStart w:id="746" w:name="__RefHeading___Toc7830391_1280447820"/>
      <w:bookmarkStart w:id="747" w:name="_Toc244"/>
      <w:bookmarkEnd w:id="745"/>
      <w:bookmarkEnd w:id="746"/>
      <w:r>
        <w:rPr>
          <w:rtl w:val="true"/>
        </w:rPr>
        <w:t>مقدّمة التحقيق</w:t>
      </w:r>
      <w:bookmarkEnd w:id="747"/>
    </w:p>
    <w:p>
      <w:pPr>
        <w:pStyle w:val="Heading5"/>
        <w:numPr>
          <w:ilvl w:val="4"/>
          <w:numId w:val="1"/>
        </w:numPr>
        <w:rPr/>
      </w:pPr>
      <w:bookmarkStart w:id="748" w:name="__RefHeading___Toc7830393_1280447820"/>
      <w:bookmarkStart w:id="749" w:name="_Toc245"/>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تعدّ فاطمة الزهراء عليها السلامُ في الوجدان الإسلامي شخصيّة ذات قدسيّة و مكانة خاصّة، فهي شخصيّة منقطعة النظير، و على الرغم من قصر عمرها إلّاأنّها استطاعت أن تترك بصماتها على التاريخ، فصارت تعدّ في مصاف الشخصيّات الإسلاميّة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ساعد على ذلك بشكل كبير كلماتُ رسول اللّٰه صلّى اللّٰهُ عليه و آلِه في حقّها، و الألقاب التي أضفاها عليها، فهي بضعة منه</w:t>
      </w:r>
      <w:r>
        <w:rPr>
          <w:rStyle w:val="FootnoteAnchor"/>
          <w:rtl w:val="true"/>
        </w:rPr>
        <w:footnoteReference w:id="1618"/>
      </w:r>
      <w:r>
        <w:rPr>
          <w:rFonts w:ascii="Amiri" w:hAnsi="Amiri" w:eastAsia="Amiri" w:cs="Amiri"/>
          <w:color w:val="111111"/>
          <w:sz w:val="28"/>
          <w:sz w:val="28"/>
          <w:szCs w:val="28"/>
          <w:rtl w:val="true"/>
          <w:lang w:bidi="ar-SA"/>
        </w:rPr>
        <w:t>، و نور عينه، و ثمرة فؤاده</w:t>
      </w:r>
      <w:r>
        <w:rPr>
          <w:rStyle w:val="FootnoteAnchor"/>
          <w:rtl w:val="true"/>
        </w:rPr>
        <w:footnoteReference w:id="1619"/>
      </w:r>
      <w:r>
        <w:rPr>
          <w:rFonts w:ascii="Amiri" w:hAnsi="Amiri" w:eastAsia="Amiri" w:cs="Amiri"/>
          <w:color w:val="111111"/>
          <w:sz w:val="28"/>
          <w:sz w:val="28"/>
          <w:szCs w:val="28"/>
          <w:rtl w:val="true"/>
          <w:lang w:bidi="ar-SA"/>
        </w:rPr>
        <w:t>، و هكذا أخذ الرسول صلّى اللّٰهُ عليه و آلِه يرقى في وصفها و تعداد مناقبها، حتّى رفعها فوق نساء العالمين، فصارت سيّدة نساء العالمين بلا منازع</w:t>
      </w:r>
      <w:r>
        <w:rPr>
          <w:rStyle w:val="FootnoteAnchor"/>
          <w:rtl w:val="true"/>
        </w:rPr>
        <w:footnoteReference w:id="1620"/>
      </w:r>
      <w:r>
        <w:rPr>
          <w:rFonts w:ascii="Amiri" w:hAnsi="Amiri" w:eastAsia="Amiri" w:cs="Amiri"/>
          <w:color w:val="111111"/>
          <w:sz w:val="28"/>
          <w:sz w:val="28"/>
          <w:szCs w:val="28"/>
          <w:rtl w:val="true"/>
          <w:lang w:bidi="ar-SA"/>
        </w:rPr>
        <w:t>، و بذلك فاقت مريم، و آسية، و أُمّها خديجة في الفضل و الرفعة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بالطبع لا يعني أنّها ارتفعت بواسطة كلمات رسول اللّٰه صلّى اللّٰهُ عليه و آلِه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هذه الكلمات مَدعاة للرفعة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كانت تستحقّ تلك الكلمات بجدارة، فوسمها الرسول صلّى اللّٰهُ عليه و آلِه بها، و جاءت كلماته في مكانها المناسب</w:t>
      </w:r>
      <w:r>
        <w:rPr>
          <w:rFonts w:eastAsia="Amiri" w:cs="Amiri" w:ascii="Amiri" w:hAnsi="Amiri"/>
          <w:color w:val="111111"/>
          <w:sz w:val="28"/>
          <w:szCs w:val="28"/>
          <w:rtl w:val="true"/>
          <w:lang w:bidi="ar-SA"/>
        </w:rPr>
        <w:t xml:space="preserve">. </w:t>
      </w:r>
      <w:bookmarkStart w:id="750" w:name="pg16425_221887"/>
    </w:p>
    <w:p>
      <w:pPr>
        <w:pStyle w:val="Heading5"/>
        <w:numPr>
          <w:ilvl w:val="4"/>
          <w:numId w:val="1"/>
        </w:numPr>
        <w:rPr/>
      </w:pPr>
      <w:bookmarkStart w:id="751" w:name="__RefHeading___Toc7830395_1280447820"/>
      <w:bookmarkStart w:id="752" w:name="_Toc246"/>
      <w:bookmarkEnd w:id="750"/>
      <w:bookmarkEnd w:id="751"/>
      <w:r>
        <w:rPr>
          <w:rtl w:val="true"/>
        </w:rPr>
        <w:t>محتوى الرسالة</w:t>
      </w:r>
      <w:bookmarkEnd w:id="752"/>
    </w:p>
    <w:p>
      <w:pPr>
        <w:pStyle w:val="BookText"/>
        <w:rPr/>
      </w:pPr>
      <w:r>
        <w:rPr>
          <w:rFonts w:ascii="Amiri" w:hAnsi="Amiri" w:eastAsia="Amiri" w:cs="Amiri"/>
          <w:color w:val="111111"/>
          <w:sz w:val="28"/>
          <w:sz w:val="28"/>
          <w:szCs w:val="28"/>
          <w:rtl w:val="true"/>
          <w:lang w:bidi="ar-SA"/>
        </w:rPr>
        <w:t>و قد سُئل الشريف المرتضى في هذه الرسالة من قِبَل جماعة عن فضل فاطمة الزهراء عليها السلامُ‌، و يبدو أنّ هذا السؤال هو جزء من مجموعة أسئلة وجّهوها إليه، فإنّ الرسالة تبدأ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سألوا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يظهر من هذا أنّ السؤال المطروح هنا معطوف على أسئلة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السائلين كانوا على مستوى ضئيل من المعرفة، حيث سألوا عن سبب تفضيل فاطمة الزهراء عليها السلامُ على سائر بنات رسول اللّٰه صلّى اللّٰهُ عليه و آلِه؛ مع أنّها في الحقيقة أفضل من جميع النساء، لا من أخواتها فقط؛ فإنّ المتعارف وصفها بأنّها سيّدة نساء العالمين، لا سيّدة بنات الرسول صلّى اللّٰهُ عليه و آلِه فحسب؛ و لذلك تحدّث الشريف المرتضى في الجواب عن سبب تفضيلها على سائر النساء دون خصوص بنات الرسول صلّى اللّٰهُ عليه و آلِه من دون أن يصرّح بخطأ السائلين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الجواب، و بعد أن بيّن أنّ المقصود بالفضل كثرة الثواب، تحدّث عن تفضيل فاطمة الزهراء عليها السلامُ على النساء من خلال 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ثبوتيّ‌، و الآخر 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الثبوتي، فقد بيّن فيه أنّ كثرة الثواب تحصل بطريقتين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كمّية، و ذلك من خلال الاستكثار من الطاعات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كيفية، و ذلك من خلال الإخلاص في العبادة، و الخضوع للّٰه تعالى فيها، و القربة إليه، فإنّه يمكن أن تربو طاعة واحدة مخلصة على ثواب طاعات سنوات مديدة لأشخاص كثيرين</w:t>
      </w:r>
      <w:r>
        <w:rPr>
          <w:rFonts w:eastAsia="Amiri" w:cs="Amiri" w:ascii="Amiri" w:hAnsi="Amiri"/>
          <w:color w:val="111111"/>
          <w:sz w:val="28"/>
          <w:szCs w:val="28"/>
          <w:rtl w:val="true"/>
          <w:lang w:bidi="ar-SA"/>
        </w:rPr>
        <w:t xml:space="preserve">. </w:t>
      </w:r>
      <w:bookmarkStart w:id="753" w:name="pg16425_221888"/>
    </w:p>
    <w:p>
      <w:pPr>
        <w:pStyle w:val="BookText"/>
        <w:rPr/>
      </w:pPr>
      <w:bookmarkEnd w:id="753"/>
      <w:r>
        <w:rPr>
          <w:rFonts w:ascii="Amiri" w:hAnsi="Amiri" w:eastAsia="Amiri" w:cs="Amiri"/>
          <w:color w:val="111111"/>
          <w:sz w:val="28"/>
          <w:sz w:val="28"/>
          <w:szCs w:val="28"/>
          <w:rtl w:val="true"/>
          <w:lang w:bidi="ar-SA"/>
        </w:rPr>
        <w:t>و إذا كان الأمر كذلك، فما الإشكال في افتراض أنّ فاطمة الزهراء عليها السلامُ قد استكثرت من العبادة كمّاً، و اخلصت للّٰه تعالى فيها كيفاً، حتّى فاقت جميعَ النساء؟</w:t>
      </w:r>
    </w:p>
    <w:p>
      <w:pPr>
        <w:pStyle w:val="BookText"/>
        <w:rPr/>
      </w:pPr>
      <w:r>
        <w:rPr>
          <w:rFonts w:ascii="Amiri" w:hAnsi="Amiri" w:eastAsia="Amiri" w:cs="Amiri"/>
          <w:color w:val="111111"/>
          <w:sz w:val="28"/>
          <w:sz w:val="28"/>
          <w:szCs w:val="28"/>
          <w:rtl w:val="true"/>
          <w:lang w:bidi="ar-SA"/>
        </w:rPr>
        <w:t>و بنفس هذه الطريقة يمكننا الحديث عن فضيلة رسول اللّٰه صلّى اللّٰهُ عليه و آلِه على سائر الخلق من نبيّ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استبعاد في إمكان أن يزيد ثواب فاطمة الزهراء عليها السلامُ على جميع النساء، فتكون أفضل منهنّ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الإثباتي، فقد قام الشريف المرتضى بإثبات أنّ فاطمة الزهراء عليها السلامُ هي سيّدة النساء بلا منازع من خلال إجماع الإماميّة على أنّها أفضل النساء، و أنّ زوجها أمير المؤمنين عليه السلامُ أفضل الرجال بعد الرسول صلّى اللّٰهُ عليه و آلِه، و إجماعُ الإماميّة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7830397_1280447820"/>
      <w:bookmarkStart w:id="755" w:name="_Toc247"/>
      <w:bookmarkEnd w:id="754"/>
      <w:r>
        <w:rPr>
          <w:rtl w:val="true"/>
        </w:rPr>
        <w:t>مخطوطات الرسالة</w:t>
      </w:r>
      <w:bookmarkEnd w:id="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6" w:name="pg16425_221890"/>
      <w:bookmarkStart w:id="757" w:name="pg16425_221890"/>
      <w:bookmarkEnd w:id="757"/>
    </w:p>
    <w:p>
      <w:pPr>
        <w:pStyle w:val="Heading4"/>
        <w:numPr>
          <w:ilvl w:val="3"/>
          <w:numId w:val="1"/>
        </w:numPr>
        <w:rPr/>
      </w:pPr>
      <w:bookmarkStart w:id="758" w:name="pg16425_221890"/>
      <w:bookmarkStart w:id="759" w:name="__RefHeading___Toc7830399_1280447820"/>
      <w:bookmarkStart w:id="760" w:name="_Toc248"/>
      <w:bookmarkEnd w:id="758"/>
      <w:bookmarkEnd w:id="759"/>
      <w:r>
        <w:rPr>
          <w:rtl w:val="true"/>
        </w:rPr>
        <w:t>المسألةُ في تفضيلِ فاطمةَ عليها السلام</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سألوا أيضاً عن السيّدةِ فاطمةَ عليها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هذا الفَضلِ المتفاوِتِ علىٰ سائرِ بَناتِ النبيِّ صَلَّى اللّٰهُ عليه و آلِه‌؟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ذلكَ وجوباً يُصحِّحُه</w:t>
      </w:r>
      <w:r>
        <w:rPr>
          <w:rStyle w:val="FootnoteAnchor"/>
          <w:rtl w:val="true"/>
        </w:rPr>
        <w:footnoteReference w:id="1621"/>
      </w:r>
      <w:r>
        <w:rPr>
          <w:rFonts w:ascii="Amiri" w:hAnsi="Amiri" w:eastAsia="Amiri" w:cs="Amiri"/>
          <w:color w:val="111111"/>
          <w:sz w:val="28"/>
          <w:sz w:val="28"/>
          <w:szCs w:val="28"/>
          <w:rtl w:val="true"/>
          <w:lang w:bidi="ar-SA"/>
        </w:rPr>
        <w:t>النظَرُ؟ و ألّا سَلَّمتم لغَيرِها منهُنَّ‌</w:t>
      </w:r>
      <w:r>
        <w:rPr>
          <w:rStyle w:val="FootnoteAnchor"/>
          <w:rtl w:val="true"/>
        </w:rPr>
        <w:footnoteReference w:id="1622"/>
      </w:r>
      <w:r>
        <w:rPr>
          <w:rFonts w:ascii="Amiri" w:hAnsi="Amiri" w:eastAsia="Amiri" w:cs="Amiri"/>
          <w:color w:val="111111"/>
          <w:sz w:val="28"/>
          <w:sz w:val="28"/>
          <w:szCs w:val="28"/>
          <w:rtl w:val="true"/>
          <w:lang w:bidi="ar-SA"/>
        </w:rPr>
        <w:t>مِثلَ ميراثِها</w:t>
      </w:r>
      <w:r>
        <w:rPr>
          <w:rStyle w:val="FootnoteAnchor"/>
          <w:rtl w:val="true"/>
        </w:rPr>
        <w:footnoteReference w:id="1623"/>
      </w:r>
      <w:r>
        <w:rPr>
          <w:rFonts w:ascii="Amiri" w:hAnsi="Amiri" w:eastAsia="Amiri" w:cs="Amiri"/>
          <w:color w:val="111111"/>
          <w:sz w:val="28"/>
          <w:sz w:val="28"/>
          <w:szCs w:val="28"/>
          <w:rtl w:val="true"/>
          <w:lang w:bidi="ar-SA"/>
        </w:rPr>
        <w:t>صَلَّى اللّٰهُ عليها؟</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كَثرةُ الثوابِ المُستَحَقِّ علىٰ وجهِ التعظيمِ و التبجيلِ‌، و الثوابُ إنّما يُستَحَقُّ علَى اللّٰهِ تَعالىٰ بالطاعاتِ و فعلِ الخَيراتِ و القُرُباتِ‌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يَكثُرُ باستحقاقِه بأحَدِ وجهَينِ‌</w:t>
      </w:r>
      <w:r>
        <w:rPr>
          <w:rFonts w:eastAsia="Amiri" w:cs="Amiri" w:ascii="Amiri" w:hAnsi="Amiri"/>
          <w:color w:val="111111"/>
          <w:sz w:val="28"/>
          <w:szCs w:val="28"/>
          <w:rtl w:val="true"/>
          <w:lang w:bidi="ar-SA"/>
        </w:rPr>
        <w:t>:</w:t>
      </w:r>
      <w:r>
        <w:rPr>
          <w:rStyle w:val="FootnoteAnchor"/>
          <w:rtl w:val="true"/>
        </w:rPr>
        <w:footnoteReference w:id="1625"/>
      </w:r>
      <w:r>
        <w:rPr>
          <w:rFonts w:ascii="Amiri" w:hAnsi="Amiri" w:eastAsia="Amiri" w:cs="Amiri"/>
          <w:color w:val="111111"/>
          <w:sz w:val="28"/>
          <w:sz w:val="28"/>
          <w:szCs w:val="28"/>
          <w:rtl w:val="true"/>
          <w:lang w:bidi="ar-SA"/>
        </w:rPr>
        <w:t xml:space="preserve">إمّا بالاستكثارِ مِن فعلِ الطاعاتِ‌، أو بأن تَقَعَ الطاعةُ علىٰ وجهٍ مِن الإخلاصِ و الخضوعِ للّٰهِ تَعالىٰ و القُربةِ إليه يُستَحَقُّ بها لأجلِ ذلكَ الثوابُ الكَثيرُ؛ و لهذا كانَ ثَوابُ النبيِّ صَلَّى اللّٰهُ عليه و آلِه علىٰ كُلِّ‌ </w:t>
      </w:r>
    </w:p>
    <w:p>
      <w:pPr>
        <w:pStyle w:val="BookText"/>
        <w:rPr/>
      </w:pPr>
      <w:r>
        <w:rPr>
          <w:rFonts w:ascii="Amiri" w:hAnsi="Amiri" w:eastAsia="Amiri" w:cs="Amiri"/>
          <w:color w:val="111111"/>
          <w:sz w:val="28"/>
          <w:sz w:val="28"/>
          <w:szCs w:val="28"/>
          <w:rtl w:val="true"/>
          <w:lang w:bidi="ar-SA"/>
        </w:rPr>
        <w:t>طاعةٍ بصَلاةٍ أو صيامٍ يَفعَلُها أكثَرَ مِن ثَوابِ كُلِّ فاعلٍ مِنّا</w:t>
      </w:r>
      <w:r>
        <w:rPr>
          <w:rStyle w:val="FootnoteAnchor"/>
          <w:rtl w:val="true"/>
        </w:rPr>
        <w:footnoteReference w:id="1626"/>
      </w:r>
      <w:r>
        <w:rPr>
          <w:rFonts w:ascii="Amiri" w:hAnsi="Amiri" w:eastAsia="Amiri" w:cs="Amiri"/>
          <w:color w:val="111111"/>
          <w:sz w:val="28"/>
          <w:sz w:val="28"/>
          <w:szCs w:val="28"/>
          <w:rtl w:val="true"/>
          <w:lang w:bidi="ar-SA"/>
        </w:rPr>
        <w:t>لمِثلِ تلكَ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هذه الجُملةُ مُتمهِّدةً في الأُصولِ‌، فما المُنكَرُ مِن أن تَكونَ‌</w:t>
      </w:r>
      <w:r>
        <w:rPr>
          <w:rStyle w:val="FootnoteAnchor"/>
          <w:rtl w:val="true"/>
        </w:rPr>
        <w:footnoteReference w:id="1627"/>
      </w:r>
      <w:r>
        <w:rPr>
          <w:rFonts w:ascii="Amiri" w:hAnsi="Amiri" w:eastAsia="Amiri" w:cs="Amiri"/>
          <w:color w:val="111111"/>
          <w:sz w:val="28"/>
          <w:sz w:val="28"/>
          <w:szCs w:val="28"/>
          <w:rtl w:val="true"/>
          <w:lang w:bidi="ar-SA"/>
        </w:rPr>
        <w:t>سَيّدةُ النساءِ فاطمةُ عليها السلامُ قد انتَهَت مِن الِاستكثارِ مِن فعلِ الطاعاتِ‌، ثُمَّ مِن وقوعِها منها</w:t>
      </w:r>
      <w:r>
        <w:rPr>
          <w:rStyle w:val="FootnoteAnchor"/>
          <w:rtl w:val="true"/>
        </w:rPr>
        <w:footnoteReference w:id="1628"/>
      </w:r>
      <w:r>
        <w:rPr>
          <w:rFonts w:ascii="Amiri" w:hAnsi="Amiri" w:eastAsia="Amiri" w:cs="Amiri"/>
          <w:color w:val="111111"/>
          <w:sz w:val="28"/>
          <w:sz w:val="28"/>
          <w:szCs w:val="28"/>
          <w:rtl w:val="true"/>
          <w:lang w:bidi="ar-SA"/>
        </w:rPr>
        <w:t>علىٰ أفضَلِ الوجوهِ الموجِبةِ لكَثرةِ الثوابِ و تَضاعُفِه؛ إلَى</w:t>
      </w:r>
      <w:r>
        <w:rPr>
          <w:rStyle w:val="FootnoteAnchor"/>
          <w:rtl w:val="true"/>
        </w:rPr>
        <w:footnoteReference w:id="1629"/>
      </w:r>
      <w:r>
        <w:rPr>
          <w:rFonts w:ascii="Amiri" w:hAnsi="Amiri" w:eastAsia="Amiri" w:cs="Amiri"/>
          <w:color w:val="111111"/>
          <w:sz w:val="28"/>
          <w:sz w:val="28"/>
          <w:szCs w:val="28"/>
          <w:rtl w:val="true"/>
          <w:lang w:bidi="ar-SA"/>
        </w:rPr>
        <w:t>الحَدِّ الذي فاقَت و فَضَلَت علَى النساءِ كُلِّهِنَّ؟</w:t>
      </w:r>
    </w:p>
    <w:p>
      <w:pPr>
        <w:pStyle w:val="BookText"/>
        <w:rPr/>
      </w:pPr>
      <w:r>
        <w:rPr>
          <w:rFonts w:ascii="Amiri" w:hAnsi="Amiri" w:eastAsia="Amiri" w:cs="Amiri"/>
          <w:color w:val="111111"/>
          <w:sz w:val="28"/>
          <w:sz w:val="28"/>
          <w:szCs w:val="28"/>
          <w:rtl w:val="true"/>
          <w:lang w:bidi="ar-SA"/>
        </w:rPr>
        <w:t>و لَو قالَ لنا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الفَضلُ الذي بانَ به مُحمّدٌ صَلَّى اللّٰهُ عليه و آلِه مِن سائرِ الخَلقِ أجمَعينَ مِن نَبيٍّ و غيرِه‌؟ هَل كانَ جوابُنا له إلّامِثلَ ما تَقدَّمَ مِن جوابِنا؟ فوجوهُ زيادةِ الفَضلِ لا تُحصىٰ و لا تُحصَرُ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يَبقَ إلّاأن يُدَلَّ علىٰ أنّها عليها السلامُ أفضَلُ النساءِ كُلِّهنَّ‌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في الدلالةِ علىٰ ذلكَ إجماعُ الشيعةِ الإماميّةِ عليه؛</w:t>
      </w:r>
      <w:r>
        <w:rPr>
          <w:rStyle w:val="FootnoteAnchor"/>
          <w:rtl w:val="true"/>
        </w:rPr>
        <w:footnoteReference w:id="1630"/>
      </w:r>
      <w:r>
        <w:rPr>
          <w:rFonts w:ascii="Amiri" w:hAnsi="Amiri" w:eastAsia="Amiri" w:cs="Amiri"/>
          <w:color w:val="111111"/>
          <w:sz w:val="28"/>
          <w:sz w:val="28"/>
          <w:szCs w:val="28"/>
          <w:rtl w:val="true"/>
          <w:lang w:bidi="ar-SA"/>
        </w:rPr>
        <w:t>فإنّهم مُجمِعونَ بلا خِلافٍ بَينَهم</w:t>
      </w:r>
      <w:r>
        <w:rPr>
          <w:rStyle w:val="FootnoteAnchor"/>
          <w:rtl w:val="true"/>
        </w:rPr>
        <w:footnoteReference w:id="1631"/>
      </w:r>
      <w:r>
        <w:rPr>
          <w:rFonts w:ascii="Amiri" w:hAnsi="Amiri" w:eastAsia="Amiri" w:cs="Amiri"/>
          <w:color w:val="111111"/>
          <w:sz w:val="28"/>
          <w:sz w:val="28"/>
          <w:szCs w:val="28"/>
          <w:rtl w:val="true"/>
          <w:lang w:bidi="ar-SA"/>
        </w:rPr>
        <w:t>على أنّها عليها السلامُ أفضَلُ النساءِ‌، كَما أنّ بَعلَها</w:t>
      </w:r>
      <w:r>
        <w:rPr>
          <w:rStyle w:val="FootnoteAnchor"/>
          <w:rtl w:val="true"/>
        </w:rPr>
        <w:footnoteReference w:id="1632"/>
      </w:r>
      <w:r>
        <w:rPr>
          <w:rFonts w:ascii="Amiri" w:hAnsi="Amiri" w:eastAsia="Amiri" w:cs="Amiri"/>
          <w:color w:val="111111"/>
          <w:sz w:val="28"/>
          <w:sz w:val="28"/>
          <w:szCs w:val="28"/>
          <w:rtl w:val="true"/>
          <w:lang w:bidi="ar-SA"/>
        </w:rPr>
        <w:t>عليه السلامُ أفضَلُ الرجالِ بَعدَ رسولِ اللّٰهِ صَلَّى اللّٰهُ عليه و آلِه</w:t>
      </w:r>
      <w:r>
        <w:rPr>
          <w:rFonts w:eastAsia="Amiri" w:cs="Amiri" w:ascii="Amiri" w:hAnsi="Amiri"/>
          <w:color w:val="111111"/>
          <w:sz w:val="28"/>
          <w:szCs w:val="28"/>
          <w:rtl w:val="true"/>
          <w:lang w:bidi="ar-SA"/>
        </w:rPr>
        <w:t xml:space="preserve">. </w:t>
      </w:r>
      <w:bookmarkStart w:id="761" w:name="pg16425_221892"/>
    </w:p>
    <w:p>
      <w:pPr>
        <w:pStyle w:val="Heading3"/>
        <w:numPr>
          <w:ilvl w:val="2"/>
          <w:numId w:val="1"/>
        </w:numPr>
        <w:rPr/>
      </w:pPr>
      <w:bookmarkStart w:id="762" w:name="__RefHeading___Toc7830401_1280447820"/>
      <w:bookmarkStart w:id="763" w:name="_Toc249"/>
      <w:bookmarkEnd w:id="761"/>
      <w:bookmarkEnd w:id="762"/>
      <w:r>
        <w:rPr>
          <w:rtl w:val="true"/>
        </w:rPr>
        <w:t>(</w:t>
      </w:r>
      <w:r>
        <w:rPr/>
        <w:t>67</w:t>
      </w:r>
      <w:r>
        <w:rPr>
          <w:rtl w:val="true"/>
        </w:rPr>
        <w:t xml:space="preserve">) </w:t>
      </w:r>
      <w:r>
        <w:rPr>
          <w:rtl w:val="true"/>
        </w:rPr>
        <w:t>مَسألةٌ في فَدَكَ‌</w:t>
      </w:r>
      <w:bookmarkEnd w:id="76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4" w:name="__RefHeading___Toc7830403_1280447820"/>
      <w:bookmarkStart w:id="765" w:name="_Toc250"/>
      <w:bookmarkEnd w:id="764"/>
      <w:r>
        <w:rPr>
          <w:rtl w:val="true"/>
        </w:rPr>
        <w:t>اشارة</w:t>
      </w:r>
      <w:bookmarkEnd w:id="76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6" w:name="pg16425_221894"/>
      <w:bookmarkStart w:id="767" w:name="pg16425_221894"/>
      <w:bookmarkEnd w:id="767"/>
    </w:p>
    <w:p>
      <w:pPr>
        <w:pStyle w:val="Heading4"/>
        <w:numPr>
          <w:ilvl w:val="3"/>
          <w:numId w:val="1"/>
        </w:numPr>
        <w:rPr/>
      </w:pPr>
      <w:bookmarkStart w:id="768" w:name="pg16425_221894"/>
      <w:bookmarkStart w:id="769" w:name="__RefHeading___Toc7830405_1280447820"/>
      <w:bookmarkStart w:id="770" w:name="_Toc251"/>
      <w:bookmarkEnd w:id="768"/>
      <w:bookmarkEnd w:id="769"/>
      <w:r>
        <w:rPr>
          <w:rtl w:val="true"/>
        </w:rPr>
        <w:t>مقدّمة التحقيق</w:t>
      </w:r>
      <w:bookmarkEnd w:id="770"/>
    </w:p>
    <w:p>
      <w:pPr>
        <w:pStyle w:val="Heading5"/>
        <w:numPr>
          <w:ilvl w:val="4"/>
          <w:numId w:val="1"/>
        </w:numPr>
        <w:rPr/>
      </w:pPr>
      <w:bookmarkStart w:id="771" w:name="__RefHeading___Toc7830407_1280447820"/>
      <w:bookmarkStart w:id="772" w:name="_Toc252"/>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لقد أثار النزاع الذي وقع بين السيّدة فاطمة الزهراء عليها السلامُ و الخليفة الأوّل حول فدك بحوثاً و نزاعات كلاميّة عديدة، فقد أخذ الشيعة على الخليفة عدمَ تصديقه لكلام فاطمة الزهراء عليها السلامُ في أنّ رسول اللّٰه صلّى اللّٰهُ عليه و آلِه نَحَلها فدكاً في حياته، مع علمه بعصمتها، و أنّها من أهل البيت عليهم السلامُ‌، و أنّها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الشريف المرتضى في هذه الرسالة إلى هذا البحث، حيث افترض سؤالاً،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أين كان يجب على الخليفة أن يعلم بعصمة فاطمة الزهراء عليها السلامُ؟ و لو افترضنا أنّه كان لديه طريق إلى العلم بذلك، فمن قال إنّه يجب عليه النظر في ذلك الطريق‌؟ فليس كلّما وُجد طريقٌ إلى العلم بشيء، وجب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مبنائي، و هو أنّ الخليفة الأوّل لم يكن هو الإمام، بل الإمام هو أمير المؤمنين عليه السلامُ‌، و بذلك لا يحقّ للخليفة أن يحكم في مسألة فدك أساساً،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يعلم بعصمة فاطمة الزهراء عليها السلامُ‌، و لذلك لم يحكم لصالحها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و التسليم بأنّ للخليفة حقّ الحكم في هذه المسألة،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يجب عليه أن يعلم بعصمة فاطمة الزهراء عليها السلامُ كي يحكم </w:t>
      </w:r>
    </w:p>
    <w:p>
      <w:pPr>
        <w:pStyle w:val="BookText"/>
        <w:rPr/>
      </w:pPr>
      <w:r>
        <w:rPr>
          <w:rFonts w:ascii="Amiri" w:hAnsi="Amiri" w:eastAsia="Amiri" w:cs="Amiri"/>
          <w:color w:val="111111"/>
          <w:sz w:val="28"/>
          <w:sz w:val="28"/>
          <w:szCs w:val="28"/>
          <w:rtl w:val="true"/>
          <w:lang w:bidi="ar-SA"/>
        </w:rPr>
        <w:t>لصالحها من دون الحاجة إلى بيّنة، و قد كان له طريق إلى العلم بذلك، فإنّ الدليل على عصمتها منصوص موجود، و كان يجب عليه النظر في هذا الدليل؛ لأنّه إذا تمكّن الحاكم من معرفة صدق المدّعي، وجب عليه النظر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الشريف المرتضى كان يرى أنّ لكلّ من الأُصول و الفروع التي عليها الإماميّة أدلّة قطعيّة واضحة، و أنّ التوصّل إلى العلم بذلك أمر ممكن، و أنّه لا مجال إلى الظنّ في ذلك، فيجب النظر في تلك الأدلّة ليحصل العلم</w:t>
      </w:r>
      <w:r>
        <w:rPr>
          <w:rStyle w:val="FootnoteAnchor"/>
          <w:rtl w:val="true"/>
        </w:rPr>
        <w:footnoteReference w:id="1633"/>
      </w:r>
      <w:r>
        <w:rPr>
          <w:rFonts w:ascii="Amiri" w:hAnsi="Amiri" w:eastAsia="Amiri" w:cs="Amiri"/>
          <w:color w:val="111111"/>
          <w:sz w:val="28"/>
          <w:sz w:val="28"/>
          <w:szCs w:val="28"/>
          <w:rtl w:val="true"/>
          <w:lang w:bidi="ar-SA"/>
        </w:rPr>
        <w:t>، و لذلك كان برأيه أنّه يجب على الخليفة النظر في دليل عصمة فاطمة الزهراء عليها السلامُ‌، و تحصيل العلم و اليقين بذلك، و لا عذر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أجاب الشريف المرتضى عن إشكال،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علىٰ الحاكم النظر في بيِّنة المدّعي فيما لو طالبه المدّعي بذلك، و فاطمة عليها السلام لم تطالب أبا بكر بالنظر في بيِّنتها و هي دليل عصمتها، فلم يجب عليه النظر في 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بأنّ ما وقع في الخارج و ما جرىٰ هو أنّ أبا بكر كان له طريق إلى العلم بعصمتها عليها السلام، و كان يجب عليه النظر فيه و إن لم تطلب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الإشكال الأخير طُرح افتراض آخر، و هو أنّ فاطمة عليها السلام لم تكن لديها بيِّنة ظاهرة علىٰ دعواها، ففي هذا الصورة يجب أن نجيب بما يتناسب مع هذا الافتراض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علىٰ فاطمة عليها السلام أن تنبّه أبا بكر علىٰ دليل عصمتها كي ينظر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بما أنّ أساس الافتراض الذي بُني عليه الإشكال غير صحيح لذلك لم يجب عليها التنبيه علىٰ دليل عصمتها؛ 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ظهر لنا من جواب الشريف المرتضى على الإشكال الأخير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bookmarkStart w:id="773" w:name="pg16425_221896"/>
    </w:p>
    <w:p>
      <w:pPr>
        <w:pStyle w:val="BookText"/>
        <w:rPr/>
      </w:pPr>
      <w:bookmarkEnd w:id="773"/>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7830409_1280447820"/>
      <w:bookmarkStart w:id="775" w:name="_Toc253"/>
      <w:bookmarkEnd w:id="774"/>
      <w:r>
        <w:rPr>
          <w:rtl w:val="true"/>
        </w:rPr>
        <w:t>مخطوطات الرسالة</w:t>
      </w:r>
      <w:bookmarkEnd w:id="7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6" w:name="pg16425_221898"/>
      <w:bookmarkStart w:id="777" w:name="pg16425_221898"/>
      <w:bookmarkEnd w:id="777"/>
    </w:p>
    <w:p>
      <w:pPr>
        <w:pStyle w:val="Heading4"/>
        <w:numPr>
          <w:ilvl w:val="3"/>
          <w:numId w:val="1"/>
        </w:numPr>
        <w:rPr/>
      </w:pPr>
      <w:bookmarkStart w:id="778" w:name="pg16425_221898"/>
      <w:bookmarkStart w:id="779" w:name="__RefHeading___Toc7830411_1280447820"/>
      <w:bookmarkStart w:id="780" w:name="_Toc254"/>
      <w:bookmarkEnd w:id="778"/>
      <w:bookmarkEnd w:id="779"/>
      <w:r>
        <w:rPr>
          <w:rtl w:val="true"/>
        </w:rPr>
        <w:t>مَسألةٌ في فَدَكَ‌</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تُخطِّئونَ أبا بَكرٍ في مَنعِه فاطمةَ عليها السلامُ مِن أن يُسلِّمَ إليها فَدَكَ علىٰ جِهةِ النِّحلةِ‌، و أن يَقبَلَ فيها دَعواها؛ لأجلِ عِصمتِها عليها السلامُ‌، و أنّ المعصومَ المقطوعَ علىٰ صِدقِه لا يَحتاجُ إلىٰ بيِّنةٍ‌، فمِن أينَ أنّ‌</w:t>
      </w:r>
      <w:r>
        <w:rPr>
          <w:rStyle w:val="FootnoteAnchor"/>
          <w:rtl w:val="true"/>
        </w:rPr>
        <w:footnoteReference w:id="1634"/>
      </w:r>
      <w:r>
        <w:rPr>
          <w:rFonts w:ascii="Amiri" w:hAnsi="Amiri" w:eastAsia="Amiri" w:cs="Amiri"/>
          <w:color w:val="111111"/>
          <w:sz w:val="28"/>
          <w:sz w:val="28"/>
          <w:szCs w:val="28"/>
          <w:rtl w:val="true"/>
          <w:lang w:bidi="ar-SA"/>
        </w:rPr>
        <w:t>أبا بَكرٍ كانَ يَعلَمُ عِصمتَها عليها السلامُ؟</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عالِماً بذلكَ‌، فكانَ يَجِبُ عليه أن يَعلَمَه؛ فإذا فَرَّطَ فيه مع قيامِ الدلالةِ عليه كانَ مَلوماً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يَجِبُ عليه أن يَعلَمَه، و لَو كانَ إليه طَريقٌ و عليه دليلٌ؟ فلَيسَ كُلُّ شَيءٍ إلَى العِلمِ به طَريقٌ وَجَبَ علينا أن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w:t>
      </w:r>
      <w:r>
        <w:rPr>
          <w:rStyle w:val="FootnoteAnchor"/>
          <w:rtl w:val="true"/>
        </w:rPr>
        <w:footnoteReference w:id="1635"/>
      </w:r>
      <w:r>
        <w:rPr>
          <w:rFonts w:ascii="Amiri" w:hAnsi="Amiri" w:eastAsia="Amiri" w:cs="Amiri"/>
          <w:color w:val="111111"/>
          <w:sz w:val="28"/>
          <w:sz w:val="28"/>
          <w:szCs w:val="28"/>
          <w:rtl w:val="true"/>
          <w:lang w:bidi="ar-SA"/>
        </w:rPr>
        <w:t>أبو بَكرٍ فلَيسَ له علَى الحقيقةِ الحُكمُ علىٰ فاطمةَ عليها السلامُ و لا لها، فيَجِبَ‌</w:t>
      </w:r>
      <w:r>
        <w:rPr>
          <w:rStyle w:val="FootnoteAnchor"/>
          <w:rtl w:val="true"/>
        </w:rPr>
        <w:footnoteReference w:id="1636"/>
      </w:r>
      <w:r>
        <w:rPr>
          <w:rFonts w:ascii="Amiri" w:hAnsi="Amiri" w:eastAsia="Amiri" w:cs="Amiri"/>
          <w:color w:val="111111"/>
          <w:sz w:val="28"/>
          <w:sz w:val="28"/>
          <w:szCs w:val="28"/>
          <w:rtl w:val="true"/>
          <w:lang w:bidi="ar-SA"/>
        </w:rPr>
        <w:t xml:space="preserve">أن يَعلَمَ عِصمتَها ليَعلَمَ وجوبَ الحُكمِ بما تَدَّعيه، و الأحكامُ إلَى الإمامِ‌ </w:t>
      </w:r>
    </w:p>
    <w:p>
      <w:pPr>
        <w:pStyle w:val="BookText"/>
        <w:rPr/>
      </w:pPr>
      <w:r>
        <w:rPr>
          <w:rFonts w:ascii="Amiri" w:hAnsi="Amiri" w:eastAsia="Amiri" w:cs="Amiri"/>
          <w:color w:val="111111"/>
          <w:sz w:val="28"/>
          <w:sz w:val="28"/>
          <w:szCs w:val="28"/>
          <w:rtl w:val="true"/>
          <w:lang w:bidi="ar-SA"/>
        </w:rPr>
        <w:t>الذي هو غيرُه، فصارَ المنعُ منه لها عليها السلامُ مِن فَدَكَ بغَيرِ حَقٍّ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و أبو بَكرٍ يَعلَمُ أنّ إمامَ ذلكَ الزمانِ هو بَعلُها عليه السلامُ‌، و ما فَسَحَ‌</w:t>
      </w:r>
      <w:r>
        <w:rPr>
          <w:rStyle w:val="FootnoteAnchor"/>
          <w:rtl w:val="true"/>
        </w:rPr>
        <w:footnoteReference w:id="1637"/>
      </w:r>
      <w:r>
        <w:rPr>
          <w:rFonts w:ascii="Amiri" w:hAnsi="Amiri" w:eastAsia="Amiri" w:cs="Amiri"/>
          <w:color w:val="111111"/>
          <w:sz w:val="28"/>
          <w:sz w:val="28"/>
          <w:szCs w:val="28"/>
          <w:rtl w:val="true"/>
          <w:lang w:bidi="ar-SA"/>
        </w:rPr>
        <w:t>لها في</w:t>
      </w:r>
      <w:r>
        <w:rPr>
          <w:rStyle w:val="FootnoteAnchor"/>
          <w:rtl w:val="true"/>
        </w:rPr>
        <w:footnoteReference w:id="1638"/>
      </w:r>
      <w:r>
        <w:rPr>
          <w:rFonts w:ascii="Amiri" w:hAnsi="Amiri" w:eastAsia="Amiri" w:cs="Amiri"/>
          <w:color w:val="111111"/>
          <w:sz w:val="28"/>
          <w:sz w:val="28"/>
          <w:szCs w:val="28"/>
          <w:rtl w:val="true"/>
          <w:lang w:bidi="ar-SA"/>
        </w:rPr>
        <w:t>المُطالَبةِ إليه بفَدَكَ إلّاو هي مُستَحِقّةٌ‌؛ و مَعرِفتُه بإمامتِه واجبةٌ لا مَحالةَ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قَدَّرنا أنّه</w:t>
      </w:r>
      <w:r>
        <w:rPr>
          <w:rStyle w:val="FootnoteAnchor"/>
          <w:rtl w:val="true"/>
        </w:rPr>
        <w:footnoteReference w:id="1639"/>
      </w:r>
      <w:r>
        <w:rPr>
          <w:rFonts w:ascii="Amiri" w:hAnsi="Amiri" w:eastAsia="Amiri" w:cs="Amiri"/>
          <w:color w:val="111111"/>
          <w:sz w:val="28"/>
          <w:sz w:val="28"/>
          <w:szCs w:val="28"/>
          <w:rtl w:val="true"/>
          <w:lang w:bidi="ar-SA"/>
        </w:rPr>
        <w:t>الإمامُ و الحاكمُ بَينَ المُسلِمينَ‌، أيَجِبُ عليه أن يَعلَمَ عصمةَ فاطمةَ عليها السلامُ أم لا يَجِبُ عليه‌؟ فإن جَوَّزتم أن لا يَجِبَ عليه العِلمُ بالعصمةِ‌، فقَد عَذَرتموه بهذا التقديرِ و الفَرضِ في مَنعِها فَدَكَ‌</w:t>
      </w:r>
      <w:r>
        <w:rPr>
          <w:rFonts w:eastAsia="Amiri" w:cs="Amiri" w:ascii="Amiri" w:hAnsi="Amiri"/>
          <w:color w:val="111111"/>
          <w:sz w:val="28"/>
          <w:szCs w:val="28"/>
          <w:rtl w:val="true"/>
          <w:lang w:bidi="ar-SA"/>
        </w:rPr>
        <w:t>.</w:t>
      </w:r>
      <w:r>
        <w:rPr>
          <w:rStyle w:val="FootnoteAnchor"/>
          <w:rtl w:val="true"/>
        </w:rPr>
        <w:footnoteReference w:id="1640"/>
      </w:r>
      <w:r>
        <w:rPr>
          <w:rFonts w:ascii="Amiri" w:hAnsi="Amiri" w:eastAsia="Amiri" w:cs="Amiri"/>
          <w:color w:val="111111"/>
          <w:sz w:val="28"/>
          <w:sz w:val="28"/>
          <w:szCs w:val="28"/>
          <w:rtl w:val="true"/>
          <w:lang w:bidi="ar-SA"/>
        </w:rPr>
        <w:t>و إن أَوجَبتم العِلمَ بالعصمةِ‌، فبيِّنوا مِن أيِّ وجهٍ يَجِبُ عليه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قَدَّرنا المسألةَ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بخِلافِ الحالِ التي جَرَت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إذا كانَ له أن يَحكُمَ لفاطمةَ عليها السلامُ و عليها، بأن قَدَّرنا صِحّةَ إمامتِه، و كانَ اللّٰهُ تَعالىٰ قد دَلَّ علىٰ عِصمتِها صَلَواتُ اللّٰهِ عليها، فيَجِبُ عليه أن يَعلَمَ هذه الحالَ منها؛ حتّىٰ إذا ادَّعَت أمراً وَجَبَ تسليمُه إليها؛ للعِلمِ بصِدقِها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أنّها ادَّعَت فَدَكَ‌</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لأبي بَكرٍ طَريقٌ إلَى العِلمِ بصِدقِها في دَعواها؛ بأن يَنظُرَ في الدليلِ الذي نَصَّه اللّٰهُ تَعالىٰ علىٰ عِصمتِها، فيَجِبُ أن يَنظُرَ فيه ليَعلَمَ صِدقَها و يَجِبَ‌</w:t>
      </w:r>
      <w:r>
        <w:rPr>
          <w:rStyle w:val="FootnoteAnchor"/>
          <w:rtl w:val="true"/>
        </w:rPr>
        <w:footnoteReference w:id="1642"/>
      </w:r>
      <w:r>
        <w:rPr>
          <w:rFonts w:ascii="Amiri" w:hAnsi="Amiri" w:eastAsia="Amiri" w:cs="Amiri"/>
          <w:color w:val="111111"/>
          <w:sz w:val="28"/>
          <w:sz w:val="28"/>
          <w:szCs w:val="28"/>
          <w:rtl w:val="true"/>
          <w:lang w:bidi="ar-SA"/>
        </w:rPr>
        <w:t xml:space="preserve">التسليمُ إليها؛ </w:t>
      </w:r>
    </w:p>
    <w:p>
      <w:pPr>
        <w:pStyle w:val="BookText"/>
        <w:rPr/>
      </w:pPr>
      <w:r>
        <w:rPr>
          <w:rFonts w:ascii="Amiri" w:hAnsi="Amiri" w:eastAsia="Amiri" w:cs="Amiri"/>
          <w:color w:val="111111"/>
          <w:sz w:val="28"/>
          <w:sz w:val="28"/>
          <w:szCs w:val="28"/>
          <w:rtl w:val="true"/>
          <w:lang w:bidi="ar-SA"/>
        </w:rPr>
        <w:t>لأنّه لا خِلافَ في أنّ الخَصمَ إذا ادّعىٰ بيِّنةً عندَ الحاكمِ‌، فيَجِبُ علَى الحاكمِ أن يَنظُرَ في بيِّنتِه؛ ليَغلِبَ في ظنِّه ثُبوتُ الحَقِّ له فيَقضيَ له</w:t>
      </w:r>
      <w:r>
        <w:rPr>
          <w:rStyle w:val="FootnoteAnchor"/>
          <w:rtl w:val="true"/>
        </w:rPr>
        <w:footnoteReference w:id="1643"/>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معلومٌ أنّ الظنَّ لا حُكمَ له مع إمكانِ العِلمِ‌؛ و إذا تَمكَّنَ الحاكمُ مِن أن يَعلَمَ صِدقَ المُدَّعي، وَجَبَ أن يَنظُرَ في ذلكَ ليَعلَمَ بحَسَبِ عِلمِه، كَما وَجَبَ عليه النظَرُ فيما يؤَدّي إلىٰ‌</w:t>
      </w:r>
      <w:r>
        <w:rPr>
          <w:rStyle w:val="FootnoteAnchor"/>
          <w:rtl w:val="true"/>
        </w:rPr>
        <w:footnoteReference w:id="1644"/>
      </w:r>
      <w:r>
        <w:rPr>
          <w:rFonts w:ascii="Amiri" w:hAnsi="Amiri" w:eastAsia="Amiri" w:cs="Amiri"/>
          <w:color w:val="111111"/>
          <w:sz w:val="28"/>
          <w:sz w:val="28"/>
          <w:szCs w:val="28"/>
          <w:rtl w:val="true"/>
          <w:lang w:bidi="ar-SA"/>
        </w:rPr>
        <w:t>غلبةِ الظنِّ مِن بيِّناتِه</w:t>
      </w:r>
      <w:r>
        <w:rPr>
          <w:rStyle w:val="FootnoteAnchor"/>
          <w:rtl w:val="true"/>
        </w:rPr>
        <w:footnoteReference w:id="1645"/>
      </w:r>
      <w:r>
        <w:rPr>
          <w:rFonts w:ascii="Amiri" w:hAnsi="Amiri" w:eastAsia="Amiri" w:cs="Amiri"/>
          <w:color w:val="111111"/>
          <w:sz w:val="28"/>
          <w:sz w:val="28"/>
          <w:szCs w:val="28"/>
          <w:rtl w:val="true"/>
          <w:lang w:bidi="ar-SA"/>
        </w:rPr>
        <w:t>، و إذا لَم يَفعَلْ فقَد 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عند الحاكمِ لحَقِّه إنّما يَلزَمُ الحاكمَ‌</w:t>
      </w:r>
      <w:r>
        <w:rPr>
          <w:rStyle w:val="FootnoteAnchor"/>
          <w:rtl w:val="true"/>
        </w:rPr>
        <w:footnoteReference w:id="1646"/>
      </w:r>
      <w:r>
        <w:rPr>
          <w:rFonts w:ascii="Amiri" w:hAnsi="Amiri" w:eastAsia="Amiri" w:cs="Amiri"/>
          <w:color w:val="111111"/>
          <w:sz w:val="28"/>
          <w:sz w:val="28"/>
          <w:szCs w:val="28"/>
          <w:rtl w:val="true"/>
          <w:lang w:bidi="ar-SA"/>
        </w:rPr>
        <w:t>النظَرُ في بيّنتِه التي أشارَ إليها المُدَّعي</w:t>
      </w:r>
      <w:r>
        <w:rPr>
          <w:rStyle w:val="FootnoteAnchor"/>
          <w:rtl w:val="true"/>
        </w:rPr>
        <w:footnoteReference w:id="1647"/>
      </w:r>
      <w:r>
        <w:rPr>
          <w:rFonts w:ascii="Amiri" w:hAnsi="Amiri" w:eastAsia="Amiri" w:cs="Amiri"/>
          <w:color w:val="111111"/>
          <w:sz w:val="28"/>
          <w:sz w:val="28"/>
          <w:szCs w:val="28"/>
          <w:rtl w:val="true"/>
          <w:lang w:bidi="ar-SA"/>
        </w:rPr>
        <w:t>و عَيَّنَها</w:t>
      </w:r>
      <w:r>
        <w:rPr>
          <w:rStyle w:val="FootnoteAnchor"/>
          <w:rtl w:val="true"/>
        </w:rPr>
        <w:footnoteReference w:id="1648"/>
      </w:r>
      <w:r>
        <w:rPr>
          <w:rFonts w:ascii="Amiri" w:hAnsi="Amiri" w:eastAsia="Amiri" w:cs="Amiri"/>
          <w:color w:val="111111"/>
          <w:sz w:val="28"/>
          <w:sz w:val="28"/>
          <w:szCs w:val="28"/>
          <w:rtl w:val="true"/>
          <w:lang w:bidi="ar-SA"/>
        </w:rPr>
        <w:t>، و طالَبَ الحاكمَ بالنظَرِ</w:t>
      </w:r>
      <w:r>
        <w:rPr>
          <w:rStyle w:val="FootnoteAnchor"/>
          <w:rtl w:val="true"/>
        </w:rPr>
        <w:footnoteReference w:id="1649"/>
      </w:r>
      <w:r>
        <w:rPr>
          <w:rFonts w:ascii="Amiri" w:hAnsi="Amiri" w:eastAsia="Amiri" w:cs="Amiri"/>
          <w:color w:val="111111"/>
          <w:sz w:val="28"/>
          <w:sz w:val="28"/>
          <w:szCs w:val="28"/>
          <w:rtl w:val="true"/>
          <w:lang w:bidi="ar-SA"/>
        </w:rPr>
        <w:t>فيها؛ و فاطمةُ عليها السلامُ ما طالَبَت أبا بَكرٍ بالنظَرِ فيما يَجري مَجرَى البيِّنةِ لها مِن دليلِ عِصمتِها، فكَيفَ يَجِبُ عليه النظَرُ في ذلكَ؟</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Style w:val="FootnoteAnchor"/>
          <w:rtl w:val="true"/>
        </w:rPr>
        <w:footnoteReference w:id="1650"/>
      </w:r>
      <w:r>
        <w:rPr>
          <w:rFonts w:ascii="Amiri" w:hAnsi="Amiri" w:eastAsia="Amiri" w:cs="Amiri"/>
          <w:color w:val="111111"/>
          <w:sz w:val="28"/>
          <w:sz w:val="28"/>
          <w:szCs w:val="28"/>
          <w:rtl w:val="true"/>
          <w:lang w:bidi="ar-SA"/>
        </w:rPr>
        <w:t xml:space="preserve">إذا كُنّا نُقدِّرُ حالاً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الجاريةُ علىٰ ما ذَكرنا يَقتَضي وجوبَ التسليمِ لِما ادَّعَته و تَركِ المُعارَضةِ فيه، فإذا قَدَّرنا حالاً أُخرىٰ لَم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قَدَّرنا ما يَليقُ بها، 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فاطمةُ عليها السلامُ فَدَكاً عندَ حاكمٍ له أن يَحكُمَ بَينَ‌ </w:t>
      </w:r>
    </w:p>
    <w:p>
      <w:pPr>
        <w:pStyle w:val="BookText"/>
        <w:rPr/>
      </w:pPr>
      <w:r>
        <w:rPr>
          <w:rFonts w:ascii="Amiri" w:hAnsi="Amiri" w:eastAsia="Amiri" w:cs="Amiri"/>
          <w:color w:val="111111"/>
          <w:sz w:val="28"/>
          <w:sz w:val="28"/>
          <w:szCs w:val="28"/>
          <w:rtl w:val="true"/>
          <w:lang w:bidi="ar-SA"/>
        </w:rPr>
        <w:t>المُسلِمينَ‌، و لَم يَكُن لها بيِّنةٌ ظاهرةٌ‌</w:t>
      </w:r>
      <w:r>
        <w:rPr>
          <w:rStyle w:val="FootnoteAnchor"/>
          <w:rtl w:val="true"/>
        </w:rPr>
        <w:footnoteReference w:id="1651"/>
      </w:r>
      <w:r>
        <w:rPr>
          <w:rFonts w:ascii="Amiri" w:hAnsi="Amiri" w:eastAsia="Amiri" w:cs="Amiri"/>
          <w:color w:val="111111"/>
          <w:sz w:val="28"/>
          <w:sz w:val="28"/>
          <w:szCs w:val="28"/>
          <w:rtl w:val="true"/>
          <w:lang w:bidi="ar-SA"/>
        </w:rPr>
        <w:t>تَقتَضي غلبةَ الظنِّ مِن شَهادةٍ‌، وَجَبَ عليها أن تُنبِّهَ‌</w:t>
      </w:r>
      <w:r>
        <w:rPr>
          <w:rStyle w:val="FootnoteAnchor"/>
          <w:rtl w:val="true"/>
        </w:rPr>
        <w:footnoteReference w:id="1652"/>
      </w:r>
      <w:r>
        <w:rPr>
          <w:rFonts w:ascii="Amiri" w:hAnsi="Amiri" w:eastAsia="Amiri" w:cs="Amiri"/>
          <w:color w:val="111111"/>
          <w:sz w:val="28"/>
          <w:sz w:val="28"/>
          <w:szCs w:val="28"/>
          <w:rtl w:val="true"/>
          <w:lang w:bidi="ar-SA"/>
        </w:rPr>
        <w:t>الحاكمَ علىٰ أنّ جِهةَ وجوبِ تسليمِه</w:t>
      </w:r>
      <w:r>
        <w:rPr>
          <w:rStyle w:val="FootnoteAnchor"/>
          <w:rtl w:val="true"/>
        </w:rPr>
        <w:footnoteReference w:id="1653"/>
      </w:r>
      <w:r>
        <w:rPr>
          <w:rFonts w:ascii="Amiri" w:hAnsi="Amiri" w:eastAsia="Amiri" w:cs="Amiri"/>
          <w:color w:val="111111"/>
          <w:sz w:val="28"/>
          <w:sz w:val="28"/>
          <w:szCs w:val="28"/>
          <w:rtl w:val="true"/>
          <w:lang w:bidi="ar-SA"/>
        </w:rPr>
        <w:t>الحَقَّ إليها هو</w:t>
      </w:r>
      <w:r>
        <w:rPr>
          <w:rStyle w:val="FootnoteAnchor"/>
          <w:rtl w:val="true"/>
        </w:rPr>
        <w:footnoteReference w:id="1654"/>
      </w:r>
      <w:r>
        <w:rPr>
          <w:rFonts w:ascii="Amiri" w:hAnsi="Amiri" w:eastAsia="Amiri" w:cs="Amiri"/>
          <w:color w:val="111111"/>
          <w:sz w:val="28"/>
          <w:sz w:val="28"/>
          <w:szCs w:val="28"/>
          <w:rtl w:val="true"/>
          <w:lang w:bidi="ar-SA"/>
        </w:rPr>
        <w:t>دليلُ عِصمتِها، و تُشيرَ</w:t>
      </w:r>
      <w:r>
        <w:rPr>
          <w:rStyle w:val="FootnoteAnchor"/>
          <w:rtl w:val="true"/>
        </w:rPr>
        <w:footnoteReference w:id="1655"/>
      </w:r>
      <w:r>
        <w:rPr>
          <w:rFonts w:ascii="Amiri" w:hAnsi="Amiri" w:eastAsia="Amiri" w:cs="Amiri"/>
          <w:color w:val="111111"/>
          <w:sz w:val="28"/>
          <w:sz w:val="28"/>
          <w:szCs w:val="28"/>
          <w:rtl w:val="true"/>
          <w:lang w:bidi="ar-SA"/>
        </w:rPr>
        <w:t>أيضاً إلَى الدليلِ بعَينِه؛</w:t>
      </w:r>
      <w:r>
        <w:rPr>
          <w:rStyle w:val="FootnoteAnchor"/>
          <w:rtl w:val="true"/>
        </w:rPr>
        <w:footnoteReference w:id="1656"/>
      </w:r>
      <w:r>
        <w:rPr>
          <w:rFonts w:ascii="Amiri" w:hAnsi="Amiri" w:eastAsia="Amiri" w:cs="Amiri"/>
          <w:color w:val="111111"/>
          <w:sz w:val="28"/>
          <w:sz w:val="28"/>
          <w:szCs w:val="28"/>
          <w:rtl w:val="true"/>
          <w:lang w:bidi="ar-SA"/>
        </w:rPr>
        <w:t>حتّىٰ يَكونَ بَينَ النظَرِ فيه</w:t>
      </w:r>
      <w:r>
        <w:rPr>
          <w:rStyle w:val="FootnoteAnchor"/>
          <w:rtl w:val="true"/>
        </w:rPr>
        <w:footnoteReference w:id="1657"/>
      </w:r>
      <w:r>
        <w:rPr>
          <w:rFonts w:ascii="Amiri" w:hAnsi="Amiri" w:eastAsia="Amiri" w:cs="Amiri"/>
          <w:color w:val="111111"/>
          <w:sz w:val="28"/>
          <w:sz w:val="28"/>
          <w:szCs w:val="28"/>
          <w:rtl w:val="true"/>
          <w:lang w:bidi="ar-SA"/>
        </w:rPr>
        <w:t>و وقوعِ العِلمِ له و وجوبِ التسليمِ‌، و بَينَ لزومِ التقصيرِ إيّاه</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واضحٌ لِمَن تأمَّلَه</w:t>
      </w:r>
      <w:r>
        <w:rPr>
          <w:rFonts w:eastAsia="Amiri" w:cs="Amiri" w:ascii="Amiri" w:hAnsi="Amiri"/>
          <w:color w:val="111111"/>
          <w:sz w:val="28"/>
          <w:szCs w:val="28"/>
          <w:rtl w:val="true"/>
          <w:lang w:bidi="ar-SA"/>
        </w:rPr>
        <w:t xml:space="preserve">. </w:t>
      </w:r>
      <w:bookmarkStart w:id="781" w:name="pg16425_221902"/>
    </w:p>
    <w:p>
      <w:pPr>
        <w:pStyle w:val="Heading3"/>
        <w:numPr>
          <w:ilvl w:val="2"/>
          <w:numId w:val="1"/>
        </w:numPr>
        <w:rPr/>
      </w:pPr>
      <w:bookmarkStart w:id="782" w:name="__RefHeading___Toc7830413_1280447820"/>
      <w:bookmarkStart w:id="783" w:name="_Toc255"/>
      <w:bookmarkEnd w:id="781"/>
      <w:bookmarkEnd w:id="782"/>
      <w:r>
        <w:rPr>
          <w:rtl w:val="true"/>
        </w:rPr>
        <w:t>(</w:t>
      </w:r>
      <w:r>
        <w:rPr/>
        <w:t>68</w:t>
      </w:r>
      <w:r>
        <w:rPr>
          <w:rtl w:val="true"/>
        </w:rPr>
        <w:t xml:space="preserve">) </w:t>
      </w:r>
      <w:r>
        <w:rPr>
          <w:rtl w:val="true"/>
        </w:rPr>
        <w:t>مسألةٌ في صِحّةِ حَملِ رأسِ الحُسَينِ عليه السلام إلَى الشامِ‌</w:t>
      </w:r>
      <w:bookmarkEnd w:id="78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4" w:name="__RefHeading___Toc7830415_1280447820"/>
      <w:bookmarkStart w:id="785" w:name="_Toc256"/>
      <w:bookmarkEnd w:id="784"/>
      <w:r>
        <w:rPr>
          <w:rtl w:val="true"/>
        </w:rPr>
        <w:t>اشارة</w:t>
      </w:r>
      <w:bookmarkEnd w:id="78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16425_221904"/>
      <w:bookmarkStart w:id="787" w:name="pg16425_221904"/>
      <w:bookmarkEnd w:id="787"/>
    </w:p>
    <w:p>
      <w:pPr>
        <w:pStyle w:val="Heading4"/>
        <w:numPr>
          <w:ilvl w:val="3"/>
          <w:numId w:val="1"/>
        </w:numPr>
        <w:rPr/>
      </w:pPr>
      <w:bookmarkStart w:id="788" w:name="pg16425_221904"/>
      <w:bookmarkStart w:id="789" w:name="__RefHeading___Toc7830417_1280447820"/>
      <w:bookmarkStart w:id="790" w:name="_Toc257"/>
      <w:bookmarkEnd w:id="788"/>
      <w:bookmarkEnd w:id="789"/>
      <w:r>
        <w:rPr>
          <w:rtl w:val="true"/>
        </w:rPr>
        <w:t>مقدّمة التحقيق</w:t>
      </w:r>
      <w:bookmarkEnd w:id="790"/>
    </w:p>
    <w:p>
      <w:pPr>
        <w:pStyle w:val="Heading5"/>
        <w:numPr>
          <w:ilvl w:val="4"/>
          <w:numId w:val="1"/>
        </w:numPr>
        <w:rPr/>
      </w:pPr>
      <w:bookmarkStart w:id="791" w:name="__RefHeading___Toc7830419_1280447820"/>
      <w:bookmarkStart w:id="792" w:name="_Toc258"/>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لقد كان لمقتل الحسين عليه السلامُ و ما جرى عليه من أحداث مأساويّة وقعٌ كالصاعقة على المسلمين، فقد كان ما حصل في يوم عاشوراء أمرٌ لا يُصدَّق بكلّ المعايير؛ فكيف يمكن التعامل مع سيّد شباب أهل الجنّة و ريحانة رسول اللّٰه صلّى اللّٰهُ عليه و آلِه و أحد أهل البيت عليهم السلامُ بكلّ هذه القسوة و الفضاعة و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 هذا الحدث المُريع إلى طرح تساؤل كلامي، و هو أنّه كيف يمكّن اللّٰه تعالى عدوَّه من وليّه ليفعل به أشنع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أمراً قبيحاً، و نوعاً من الإعانة على الظلم‌؟</w:t>
      </w:r>
    </w:p>
    <w:p>
      <w:pPr>
        <w:pStyle w:val="BookText"/>
        <w:rPr/>
      </w:pPr>
      <w:r>
        <w:rPr>
          <w:rFonts w:ascii="Amiri" w:hAnsi="Amiri" w:eastAsia="Amiri" w:cs="Amiri"/>
          <w:color w:val="111111"/>
          <w:sz w:val="28"/>
          <w:sz w:val="28"/>
          <w:szCs w:val="28"/>
          <w:rtl w:val="true"/>
          <w:lang w:bidi="ar-SA"/>
        </w:rPr>
        <w:t>و قد كان لوقعة كربلاء صور مأساويّة كثيرة، و يبدو أنّ إحدى تلك الصور التي أثارت السائل الذي طرح السؤال على الشريف المرتضى، و حاول التشكيك فيها هي صورة حمل الرأس الشريف إلى الشام، فقد سأل عن صحّة هذه الحادثة تاريخيّاً، و عن الوجه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مراده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سوف يتّضح من جواب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السؤال عن البحث الكلاميّ المتقدّم حول كيفيّة إمكان أن يُمكَّن عدوُّ اللّٰه من وليّه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أجاب الشريف المرتضى أوّلاً بأنّ خبر حمل الرأس الشريف قد أطبق عليه جميعُ الرواة و المصنّفين حول يوم الطفّ‌، و هذا يعني أنّه خبر معتبر و قابل </w:t>
      </w:r>
    </w:p>
    <w:p>
      <w:pPr>
        <w:pStyle w:val="BookText"/>
        <w:rPr/>
      </w:pPr>
      <w:r>
        <w:rPr>
          <w:rFonts w:ascii="Amiri" w:hAnsi="Amiri" w:eastAsia="Amiri" w:cs="Amiri"/>
          <w:color w:val="111111"/>
          <w:sz w:val="28"/>
          <w:sz w:val="28"/>
          <w:szCs w:val="28"/>
          <w:rtl w:val="true"/>
          <w:lang w:bidi="ar-SA"/>
        </w:rPr>
        <w:t>للاعتماد، و أنّه لا يصحّ التشكيك في هذه الحادثة، و لو كان خبرَ واحد لأشار إليه الشريف المرتضى، كما هي عادته عندما يُسأل عن قضايا و إشكالات مأخوذة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أجاب على الإشكال الكلاميّ‌، و ذلك من خلال 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نقضيّ‌، و هو أنّ حمل الرأس الشريف ليس أفضع و أقبح شيء حصل في مأساة كربلاء، بل قد حصل آنذاك ما هو أفضع و أقبح، و هو نفس قتل أبي عبد اللّٰه عليه السلامُ‌، فإنّ قبح هذا الفعل لا يُوزَن به شيء، و قد مكّن اللّٰهُ تعالى منه، كما مكّن أيضاً من قتل أمير المؤمنين عليه السلامُ‌، و لا يمكن لأحد إنكار هذه الوقائع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تمكين عدوّ اللّٰه من وليّه قد وقع في التاريخ، و لو أمكن لأحد إنكار حمل الرأس الشريف إلى الشام لأجل قبحه، لم يمكنه إنكار أصل قتل الحسين، أو أمير المؤمنين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حلّيّ‌، و هو أنّ من شرط التكليف التمكين من القبيح، و عدم الحيلولة بين المكلّف و بين القبيح، فإنّ الإنسان مختار في أفعاله، و هذا الاختيار شرط للتكليف، فإنّ المضطرّ لا يحسن تكليفه، و لذلك شاءت إرادة اللّٰه تعالى أن لا يحول بين الإنسان المختار و بين ما يريد فعله من حَسَن أو قبيح، فلم يَمنع من الأعمال القبيحة التي وقعت في حادثة الطف، من قتل أبي عبد اللّٰه عليه السلامُ‌، و حمل الرأس الشريف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أشار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الرسالة و نسبها إلى الشريف المرتضى</w:t>
      </w:r>
      <w:r>
        <w:rPr>
          <w:rFonts w:eastAsia="Amiri" w:cs="Amiri" w:ascii="Amiri" w:hAnsi="Amiri"/>
          <w:color w:val="111111"/>
          <w:sz w:val="28"/>
          <w:szCs w:val="28"/>
          <w:rtl w:val="true"/>
          <w:lang w:bidi="ar-SA"/>
        </w:rPr>
        <w:t>.</w:t>
      </w:r>
      <w:r>
        <w:rPr>
          <w:rStyle w:val="FootnoteAnchor"/>
          <w:rtl w:val="true"/>
        </w:rPr>
        <w:footnoteReference w:id="165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 xml:space="preserve">». </w:t>
      </w:r>
      <w:bookmarkStart w:id="793" w:name="pg16425_221906"/>
    </w:p>
    <w:p>
      <w:pPr>
        <w:pStyle w:val="Heading5"/>
        <w:numPr>
          <w:ilvl w:val="4"/>
          <w:numId w:val="1"/>
        </w:numPr>
        <w:rPr/>
      </w:pPr>
      <w:bookmarkStart w:id="794" w:name="__RefHeading___Toc7830421_1280447820"/>
      <w:bookmarkStart w:id="795" w:name="_Toc259"/>
      <w:bookmarkEnd w:id="793"/>
      <w:bookmarkEnd w:id="794"/>
      <w:r>
        <w:rPr>
          <w:rtl w:val="true"/>
        </w:rPr>
        <w:t>مخطوطات الرسالة</w:t>
      </w:r>
      <w:bookmarkEnd w:id="7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المحقّق البروجردي رحمه اللّٰه،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6" w:name="pg16425_221908"/>
      <w:bookmarkStart w:id="797" w:name="pg16425_221908"/>
      <w:bookmarkEnd w:id="797"/>
    </w:p>
    <w:p>
      <w:pPr>
        <w:pStyle w:val="BookText"/>
        <w:rPr/>
      </w:pPr>
      <w:bookmarkStart w:id="798" w:name="pg16425_221908"/>
      <w:bookmarkEnd w:id="798"/>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7830423_1280447820"/>
      <w:bookmarkStart w:id="800" w:name="_Toc260"/>
      <w:bookmarkEnd w:id="799"/>
      <w:r>
        <w:rPr>
          <w:rtl w:val="true"/>
        </w:rPr>
        <w:t>مسألةٌ في صِحّةِ حَملِ رأسِ الحُسَينِ عليه السلام إلَى الشامِ‌</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رُويَ مِن حَملِ رأسِ مَولانا الشهيدِ أبي عبدِ اللّٰهِ عليه السلامُ إلَى الشامِ صَحيحٌ؟ و ما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قد رَواه جميعُ الرُّواةِ و المُصنِّفينَ في يَومِ الطفِّ‌</w:t>
      </w:r>
      <w:r>
        <w:rPr>
          <w:rStyle w:val="FootnoteAnchor"/>
          <w:rtl w:val="true"/>
        </w:rPr>
        <w:footnoteReference w:id="1660"/>
      </w:r>
      <w:r>
        <w:rPr>
          <w:rFonts w:ascii="Amiri" w:hAnsi="Amiri" w:eastAsia="Amiri" w:cs="Amiri"/>
          <w:color w:val="111111"/>
          <w:sz w:val="28"/>
          <w:sz w:val="28"/>
          <w:szCs w:val="28"/>
          <w:rtl w:val="true"/>
          <w:lang w:bidi="ar-SA"/>
        </w:rPr>
        <w:t>، و أَطبَقوا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رَوَوا أيضاً أنّ الرأسَ أُعيدَ بَعدَ حَملِه إلىٰ هُناكَ‌، و دُفِنَ مع الجسدِ بالطفِّ‌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تَعجَّبَ مُتعجِّبٌ مِن تَمكينِ اللّٰهِ تَعالىٰ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كِبَرِ</w:t>
      </w:r>
      <w:r>
        <w:rPr>
          <w:rFonts w:eastAsia="Amiri" w:cs="Amiri" w:ascii="Amiri" w:hAnsi="Amiri"/>
          <w:color w:val="111111"/>
          <w:sz w:val="28"/>
          <w:szCs w:val="28"/>
          <w:rtl w:val="true"/>
          <w:lang w:bidi="ar-SA"/>
        </w:rPr>
        <w:t>]</w:t>
      </w:r>
      <w:r>
        <w:rPr>
          <w:rStyle w:val="FootnoteAnchor"/>
          <w:rtl w:val="true"/>
        </w:rPr>
        <w:footnoteReference w:id="1661"/>
      </w:r>
      <w:r>
        <w:rPr>
          <w:rFonts w:ascii="Amiri" w:hAnsi="Amiri" w:eastAsia="Amiri" w:cs="Amiri"/>
          <w:color w:val="111111"/>
          <w:sz w:val="28"/>
          <w:sz w:val="28"/>
          <w:szCs w:val="28"/>
          <w:rtl w:val="true"/>
          <w:lang w:bidi="ar-SA"/>
        </w:rPr>
        <w:t>فُحشِه و عِظَمِ قُبحِه، فلَيسَ حَملُ الرأسِ إلَى الشامِ بأفحَشَ‌</w:t>
      </w:r>
      <w:r>
        <w:rPr>
          <w:rStyle w:val="FootnoteAnchor"/>
          <w:rtl w:val="true"/>
        </w:rPr>
        <w:footnoteReference w:id="1662"/>
      </w:r>
      <w:r>
        <w:rPr>
          <w:rFonts w:ascii="Amiri" w:hAnsi="Amiri" w:eastAsia="Amiri" w:cs="Amiri"/>
          <w:color w:val="111111"/>
          <w:sz w:val="28"/>
          <w:sz w:val="28"/>
          <w:szCs w:val="28"/>
          <w:rtl w:val="true"/>
          <w:lang w:bidi="ar-SA"/>
        </w:rPr>
        <w:t xml:space="preserve">و لا أقبَحَ مِن القَتلِ نفسِه، و قد مَكَّنَ اللّٰهُ تَعالىٰ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أميرِ المؤمنينَ عليه السلامُ مَن قَتَلَه</w:t>
      </w:r>
      <w:r>
        <w:rPr>
          <w:rFonts w:eastAsia="Amiri" w:cs="Amiri" w:ascii="Amiri" w:hAnsi="Amiri"/>
          <w:color w:val="111111"/>
          <w:sz w:val="28"/>
          <w:szCs w:val="28"/>
          <w:rtl w:val="true"/>
          <w:lang w:bidi="ar-SA"/>
        </w:rPr>
        <w:t>.</w:t>
      </w:r>
      <w:r>
        <w:rPr>
          <w:rStyle w:val="FootnoteAnchor"/>
          <w:rtl w:val="true"/>
        </w:rPr>
        <w:footnoteReference w:id="166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شَرطِ التكليفِ التمكينُ مِن القَبيحِ في دارِ التكليفِ‌،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يَحولَ اللّٰهُ‌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بَينَ المُكلَّفِ و بَينَه، و إنّما تُمُكِّنَ مِن ذلكَ‌</w:t>
      </w:r>
      <w:r>
        <w:rPr>
          <w:rStyle w:val="FootnoteAnchor"/>
          <w:rtl w:val="true"/>
        </w:rPr>
        <w:footnoteReference w:id="1664"/>
      </w:r>
      <w:r>
        <w:rPr>
          <w:rFonts w:ascii="Amiri" w:hAnsi="Amiri" w:eastAsia="Amiri" w:cs="Amiri"/>
          <w:color w:val="111111"/>
          <w:sz w:val="28"/>
          <w:sz w:val="28"/>
          <w:szCs w:val="28"/>
          <w:rtl w:val="true"/>
          <w:lang w:bidi="ar-SA"/>
        </w:rPr>
        <w:t>كَما تُمُكِّنَ في</w:t>
      </w:r>
      <w:r>
        <w:rPr>
          <w:rStyle w:val="FootnoteAnchor"/>
          <w:rtl w:val="true"/>
        </w:rPr>
        <w:footnoteReference w:id="1665"/>
      </w:r>
      <w:r>
        <w:rPr>
          <w:rFonts w:ascii="Amiri" w:hAnsi="Amiri" w:eastAsia="Amiri" w:cs="Amiri"/>
          <w:color w:val="111111"/>
          <w:sz w:val="28"/>
          <w:sz w:val="28"/>
          <w:szCs w:val="28"/>
          <w:rtl w:val="true"/>
          <w:lang w:bidi="ar-SA"/>
        </w:rPr>
        <w:t>دارِ التكليفِ مِن كُلِّ قَبيحٍ ممّا يَكثُرُ تَعدادُه</w:t>
      </w:r>
      <w:r>
        <w:rPr>
          <w:rFonts w:eastAsia="Amiri" w:cs="Amiri" w:ascii="Amiri" w:hAnsi="Amiri"/>
          <w:color w:val="111111"/>
          <w:sz w:val="28"/>
          <w:szCs w:val="28"/>
          <w:rtl w:val="true"/>
          <w:lang w:bidi="ar-SA"/>
        </w:rPr>
        <w:t xml:space="preserve">. </w:t>
      </w:r>
      <w:bookmarkStart w:id="801" w:name="pg16425_221910"/>
    </w:p>
    <w:p>
      <w:pPr>
        <w:pStyle w:val="Heading3"/>
        <w:numPr>
          <w:ilvl w:val="2"/>
          <w:numId w:val="1"/>
        </w:numPr>
        <w:rPr/>
      </w:pPr>
      <w:bookmarkStart w:id="802" w:name="__RefHeading___Toc7830425_1280447820"/>
      <w:bookmarkStart w:id="803" w:name="_Toc261"/>
      <w:bookmarkEnd w:id="801"/>
      <w:bookmarkEnd w:id="802"/>
      <w:r>
        <w:rPr>
          <w:rtl w:val="true"/>
        </w:rPr>
        <w:t>(</w:t>
      </w:r>
      <w:r>
        <w:rPr/>
        <w:t>69</w:t>
      </w:r>
      <w:r>
        <w:rPr>
          <w:rtl w:val="true"/>
        </w:rPr>
        <w:t xml:space="preserve">) </w:t>
      </w:r>
      <w:r>
        <w:rPr>
          <w:rtl w:val="true"/>
        </w:rPr>
        <w:t>رسالةٌ في غَيبةِ الحُجّةِ‌</w:t>
      </w:r>
      <w:bookmarkEnd w:id="80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4" w:name="__RefHeading___Toc7830427_1280447820"/>
      <w:bookmarkStart w:id="805" w:name="_Toc262"/>
      <w:bookmarkEnd w:id="804"/>
      <w:r>
        <w:rPr>
          <w:rtl w:val="true"/>
        </w:rPr>
        <w:t>اشارة</w:t>
      </w:r>
      <w:bookmarkEnd w:id="80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6" w:name="pg16425_221912"/>
      <w:bookmarkStart w:id="807" w:name="pg16425_221912"/>
      <w:bookmarkEnd w:id="807"/>
    </w:p>
    <w:p>
      <w:pPr>
        <w:pStyle w:val="Heading4"/>
        <w:numPr>
          <w:ilvl w:val="3"/>
          <w:numId w:val="1"/>
        </w:numPr>
        <w:rPr/>
      </w:pPr>
      <w:bookmarkStart w:id="808" w:name="pg16425_221912"/>
      <w:bookmarkStart w:id="809" w:name="__RefHeading___Toc7830429_1280447820"/>
      <w:bookmarkStart w:id="810" w:name="_Toc263"/>
      <w:bookmarkEnd w:id="808"/>
      <w:bookmarkEnd w:id="809"/>
      <w:r>
        <w:rPr>
          <w:rtl w:val="true"/>
        </w:rPr>
        <w:t>مقدّمة التحقيق</w:t>
      </w:r>
      <w:bookmarkEnd w:id="810"/>
    </w:p>
    <w:p>
      <w:pPr>
        <w:pStyle w:val="Heading5"/>
        <w:numPr>
          <w:ilvl w:val="4"/>
          <w:numId w:val="1"/>
        </w:numPr>
        <w:rPr/>
      </w:pPr>
      <w:bookmarkStart w:id="811" w:name="__RefHeading___Toc7830431_1280447820"/>
      <w:bookmarkStart w:id="812" w:name="_Toc264"/>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 xml:space="preserve">تعرّض الإماميّة في عصر الغيبة إلى هجوم واسع من قِبَل متكلّمي المدارس الكلاميّة المناوئة لهم، حيث استغلّ أولئك المتكلّمون هذا الظرف لتسديد ضربات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تصوّروا أنّها موجِعة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جسد الإماميّة؛ و لكن تمكّن علماء الإماميّة من التصدّي لتلك الهجمة، فقاموا بتبيين أسباب الغيبة، و الظروف التي أدّت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وصلت النوبة إلى الشريف المرتضى، أدلى بدلوه في هذه المسألة، فجاء برأي جديد، و هو عدم الحاجة إلى بيان سبب الغيبة؛ فما دام الإمام الغائب عليه السلامُ معصوماً، فلا يوجد مبرّر للبحث عن السبب لتوجيه و تبرير غيبته؛ فإنّ عصمته ضامنة لصحّة غيبته، و بذلك سوف لن تبقى فائدة وراء البحث عن أسباب الغيبة سوى الاستظهار على الخصم، و ردّ شبهاته و كلامه، و إنّ ذكر تلك الأسباب سوف يكون تبرّعاً و فضلاً من الإماميّة</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الرسالة محلّ البحث فتحتوي على البحث المتقدّم، كما تطرّق مؤلّفها إلى بحوث أُخرى من جملتها الاستدلال على الحاجة إلى الإمام في كلّ عصر و الاستدلال على عصمته، ثمّ قام ببيان سبب الغيبة، و أجاب على بعض الإشكالات المتعلّقة بها</w:t>
      </w:r>
      <w:r>
        <w:rPr>
          <w:rFonts w:eastAsia="Amiri" w:cs="Amiri" w:ascii="Amiri" w:hAnsi="Amiri"/>
          <w:color w:val="111111"/>
          <w:sz w:val="28"/>
          <w:szCs w:val="28"/>
          <w:rtl w:val="true"/>
          <w:lang w:bidi="ar-SA"/>
        </w:rPr>
        <w:t xml:space="preserve">. </w:t>
      </w:r>
      <w:bookmarkStart w:id="813" w:name="pg16425_221913"/>
    </w:p>
    <w:p>
      <w:pPr>
        <w:pStyle w:val="Heading5"/>
        <w:numPr>
          <w:ilvl w:val="4"/>
          <w:numId w:val="1"/>
        </w:numPr>
        <w:rPr/>
      </w:pPr>
      <w:bookmarkStart w:id="814" w:name="__RefHeading___Toc7830433_1280447820"/>
      <w:bookmarkStart w:id="815" w:name="_Toc265"/>
      <w:bookmarkEnd w:id="813"/>
      <w:bookmarkEnd w:id="814"/>
      <w:r>
        <w:rPr>
          <w:rtl w:val="true"/>
        </w:rPr>
        <w:t>نسبتها إلى المؤلّف</w:t>
      </w:r>
      <w:bookmarkEnd w:id="815"/>
    </w:p>
    <w:p>
      <w:pPr>
        <w:pStyle w:val="BookText"/>
        <w:rPr/>
      </w:pPr>
      <w:r>
        <w:rPr>
          <w:rFonts w:ascii="Amiri" w:hAnsi="Amiri" w:eastAsia="Amiri" w:cs="Amiri"/>
          <w:color w:val="111111"/>
          <w:sz w:val="28"/>
          <w:sz w:val="28"/>
          <w:szCs w:val="28"/>
          <w:rtl w:val="true"/>
          <w:lang w:bidi="ar-SA"/>
        </w:rPr>
        <w:t>و الجدير بالذكر أنّه إذا قارنّا بين مباحث هذه الرسالة و مباحث رسالة المقنع في الغيبة، لوجدنا تطابقاً مدهشاً بين مباحث الرسالتين؛ فليس الاختلاف بينهما إلّافي الإجمال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قام الشريف المرتضى باختصار رسالة المقنع في الغيبة المختصرة في حدّ ذاتها؟ و ما الحاجة الداعية إلى ذلك‌؟ أو قام شخص آخر بتأليف هذا المختصر؟</w:t>
      </w:r>
    </w:p>
    <w:p>
      <w:pPr>
        <w:pStyle w:val="BookText"/>
        <w:rPr/>
      </w:pPr>
      <w:r>
        <w:rPr>
          <w:rFonts w:ascii="Amiri" w:hAnsi="Amiri" w:eastAsia="Amiri" w:cs="Amiri"/>
          <w:color w:val="111111"/>
          <w:sz w:val="28"/>
          <w:sz w:val="28"/>
          <w:szCs w:val="28"/>
          <w:rtl w:val="true"/>
          <w:lang w:bidi="ar-SA"/>
        </w:rPr>
        <w:t>ثمّ إنّ الذي يدعو إلى الشكّ في نسبة الرسالة، هو أنّ الشريف المرتضى قد ذكر بحثاً مبتكراً حول الغيبة في موضعين على الأقلّ من رسائله، و أكّد في كلا الموضعين على أنّه من إبداعاته و ابتكاراته</w:t>
      </w:r>
      <w:r>
        <w:rPr>
          <w:rStyle w:val="FootnoteAnchor"/>
          <w:rtl w:val="true"/>
        </w:rPr>
        <w:footnoteReference w:id="1667"/>
      </w:r>
      <w:r>
        <w:rPr>
          <w:rFonts w:ascii="Amiri" w:hAnsi="Amiri" w:eastAsia="Amiri" w:cs="Amiri"/>
          <w:color w:val="111111"/>
          <w:sz w:val="28"/>
          <w:sz w:val="28"/>
          <w:szCs w:val="28"/>
          <w:rtl w:val="true"/>
          <w:lang w:bidi="ar-SA"/>
        </w:rPr>
        <w:t>لكن نرى أنّ هذا البحث قد ذكر في الرسالة محلّ البحث بعينه، إلّاأنّ المؤلّف لم يُشر إلى أنّه من إبداعاته؛ فلو كانت الرسالة للشريف المرتضى حقّاً، لذكر أنّه كذلك، كما أشار إلى ذلك في الموضعَين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البحث هو أنّ أولياء الإمام عليه السلامُ ينتفعون به حتّى في حال غيبته؛ فإنّهم مع علمهم بوجوده و وجوب طاعته فلا بدّ أن يخافوه و يهابوه عند ارتكاب المعاصي، و يخافوا تأديبه لهم، فيكثر منهم فعل الواجب، و يقلّ منهم ارتكاب القبيح، أو يكونوا أقرب إلى ذلك</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ينبغي التعامل بحذر مع نسبة هذه الرسالة إلى الشريف المرتضى، على الرغم من أنّه ليس فيها مطلب جديد؛ فإنّ كلّ ما فيها مذكورٌ في المقنع كما تقدّمت الإشارة إلى ذلك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نظراً لوضوح مطالب هذه الرسالة، و الاستغناء عنها برسالة المقنع، لذلك أعرضنا عن تلخيص محتواها</w:t>
      </w:r>
      <w:r>
        <w:rPr>
          <w:rFonts w:eastAsia="Amiri" w:cs="Amiri" w:ascii="Amiri" w:hAnsi="Amiri"/>
          <w:color w:val="111111"/>
          <w:sz w:val="28"/>
          <w:szCs w:val="28"/>
          <w:rtl w:val="true"/>
          <w:lang w:bidi="ar-SA"/>
        </w:rPr>
        <w:t xml:space="preserve">. </w:t>
      </w:r>
      <w:bookmarkStart w:id="816" w:name="pg16425_221914"/>
    </w:p>
    <w:p>
      <w:pPr>
        <w:pStyle w:val="BookText"/>
        <w:rPr/>
      </w:pPr>
      <w:bookmarkEnd w:id="816"/>
      <w:r>
        <w:rPr>
          <w:rFonts w:ascii="Amiri" w:hAnsi="Amiri" w:eastAsia="Amiri" w:cs="Amiri"/>
          <w:color w:val="111111"/>
          <w:sz w:val="28"/>
          <w:sz w:val="28"/>
          <w:szCs w:val="28"/>
          <w:rtl w:val="true"/>
          <w:lang w:bidi="ar-SA"/>
        </w:rPr>
        <w:t xml:space="preserve">هذا و قد كانت هذه الرسالة قد طبعت في طهران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ضمن كلمات المحقّقين، ص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وجيزة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طبعت في ضمن المجموعة الرابعة من نفائس المخطوطات، سنة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وجيزة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الشيخ محمّد حسن آل ياسين، كما طبعت في ضمن رسائل الشريف المرتضى،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في غيبة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طبعت أيضاً في ضمن مسائل المرتضى،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أُعيدت طباعة ما حقّقه الشيخ آل ياسين من قِبَل الروضة الكاظميّة المقدّسة سنة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7830435_1280447820"/>
      <w:bookmarkStart w:id="818" w:name="_Toc266"/>
      <w:bookmarkEnd w:id="817"/>
      <w:r>
        <w:rPr>
          <w:rtl w:val="true"/>
        </w:rPr>
        <w:t>مخطوطات الرسالة</w:t>
      </w:r>
      <w:bookmarkEnd w:id="818"/>
    </w:p>
    <w:p>
      <w:pPr>
        <w:pStyle w:val="Heading6"/>
        <w:numPr>
          <w:ilvl w:val="5"/>
          <w:numId w:val="1"/>
        </w:numPr>
        <w:rPr/>
      </w:pPr>
      <w:bookmarkStart w:id="819" w:name="__RefHeading___Toc7830437_1280447820"/>
      <w:bookmarkStart w:id="820" w:name="_Toc267"/>
      <w:bookmarkEnd w:id="819"/>
      <w:r>
        <w:rPr>
          <w:rtl w:val="true"/>
        </w:rPr>
        <w:t>ألف</w:t>
      </w:r>
      <w:r>
        <w:rPr>
          <w:rtl w:val="true"/>
        </w:rPr>
        <w:t xml:space="preserve">) </w:t>
      </w:r>
      <w:r>
        <w:rPr>
          <w:rtl w:val="true"/>
        </w:rPr>
        <w:t>النسخ المعتمدة</w:t>
      </w:r>
      <w:r>
        <w:rPr>
          <w:rtl w:val="true"/>
        </w:rPr>
        <w:t>:</w:t>
      </w:r>
      <w:bookmarkEnd w:id="8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21915</w:t>
      </w:r>
      <w:r>
        <w:rPr>
          <w:rFonts w:ascii="Amiri" w:hAnsi="Amiri" w:eastAsia="Amiri" w:cs="Amiri"/>
          <w:color w:val="111111"/>
          <w:sz w:val="28"/>
          <w:sz w:val="28"/>
          <w:szCs w:val="28"/>
          <w:rtl w:val="true"/>
          <w:lang w:bidi="ar-SA"/>
        </w:rPr>
        <w:t xml:space="preserve">؛ نُسخت في عام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لم يُعلم اسم ناسخها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تشاهد في هوامشها علامات التصحيح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الرسالة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12923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مركز إحياء التراث الإسلامي بقمّ‌، المرقّمة </w:t>
      </w:r>
      <w:r>
        <w:rPr>
          <w:rFonts w:eastAsia="Amiri" w:cs="Amiri" w:ascii="Amiri" w:hAnsi="Amiri"/>
          <w:color w:val="111111"/>
          <w:sz w:val="28"/>
          <w:szCs w:val="28"/>
          <w:lang w:bidi="ar-SA"/>
        </w:rPr>
        <w:t>2719/8</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lang w:bidi="ar-SA"/>
        </w:rPr>
        <w:t>6914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541/14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821" w:name="pg16425_221915"/>
    </w:p>
    <w:p>
      <w:pPr>
        <w:pStyle w:val="BookText"/>
        <w:rPr/>
      </w:pPr>
      <w:bookmarkEnd w:id="82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20995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الإمام الحكيم العامّة بالعراق، المرقّمة </w:t>
      </w:r>
      <w:r>
        <w:rPr>
          <w:rFonts w:eastAsia="Amiri" w:cs="Amiri" w:ascii="Amiri" w:hAnsi="Amiri"/>
          <w:color w:val="111111"/>
          <w:sz w:val="28"/>
          <w:szCs w:val="28"/>
          <w:lang w:bidi="ar-SA"/>
        </w:rPr>
        <w:t>438/10</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7830439_1280447820"/>
      <w:bookmarkStart w:id="823" w:name="_Toc268"/>
      <w:bookmarkEnd w:id="822"/>
      <w:r>
        <w:rPr>
          <w:rtl w:val="true"/>
        </w:rPr>
        <w:t>ب</w:t>
      </w:r>
      <w:r>
        <w:rPr>
          <w:rtl w:val="true"/>
        </w:rPr>
        <w:t xml:space="preserve">) </w:t>
      </w:r>
      <w:r>
        <w:rPr>
          <w:rtl w:val="true"/>
        </w:rPr>
        <w:t>سائر النسخ</w:t>
      </w:r>
      <w:r>
        <w:rPr>
          <w:rtl w:val="true"/>
        </w:rPr>
        <w:t>:</w:t>
      </w:r>
      <w:bookmarkEnd w:id="8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400017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39684</w:t>
      </w:r>
      <w:r>
        <w:rPr>
          <w:rFonts w:ascii="Amiri" w:hAnsi="Amiri" w:eastAsia="Amiri" w:cs="Amiri"/>
          <w:color w:val="111111"/>
          <w:sz w:val="28"/>
          <w:sz w:val="28"/>
          <w:szCs w:val="28"/>
          <w:rtl w:val="true"/>
          <w:lang w:bidi="ar-SA"/>
        </w:rPr>
        <w:t xml:space="preserve">؛ 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 بن محمّد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الرسالة تقع في خمس صفحات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بطهران، المرقّمة </w:t>
      </w:r>
      <w:r>
        <w:rPr>
          <w:rFonts w:eastAsia="Amiri" w:cs="Amiri" w:ascii="Amiri" w:hAnsi="Amiri"/>
          <w:color w:val="111111"/>
          <w:sz w:val="28"/>
          <w:szCs w:val="28"/>
          <w:lang w:bidi="ar-SA"/>
        </w:rPr>
        <w:t>5187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مدرسة الشهيد المطهّري رحمه اللّٰه بطهران، المرقّمة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السيّد حسن الصدر رحمه اللّٰه، المرقّمة </w:t>
      </w:r>
      <w:r>
        <w:rPr>
          <w:rFonts w:eastAsia="Amiri" w:cs="Amiri" w:ascii="Amiri" w:hAnsi="Amiri"/>
          <w:color w:val="111111"/>
          <w:sz w:val="28"/>
          <w:szCs w:val="28"/>
          <w:lang w:bidi="ar-SA"/>
        </w:rPr>
        <w:t>587/3</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المكتبة المركزيّة بجامعة طهران،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 xml:space="preserve">. </w:t>
      </w:r>
      <w:bookmarkStart w:id="824" w:name="pg16425_221916"/>
    </w:p>
    <w:p>
      <w:pPr>
        <w:pStyle w:val="BookText"/>
        <w:rPr/>
      </w:pPr>
      <w:bookmarkEnd w:id="824"/>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5" w:name="__RefHeading___Toc7830441_1280447820"/>
      <w:bookmarkStart w:id="826" w:name="_Toc269"/>
      <w:bookmarkEnd w:id="825"/>
      <w:r>
        <w:rPr>
          <w:rtl w:val="true"/>
        </w:rPr>
        <w:t>رسالةٌ في غَيبةِ الحُجّةِ‌</w:t>
      </w:r>
      <w:bookmarkEnd w:id="826"/>
    </w:p>
    <w:p>
      <w:pPr>
        <w:pStyle w:val="Heading5"/>
        <w:numPr>
          <w:ilvl w:val="4"/>
          <w:numId w:val="1"/>
        </w:numPr>
        <w:rPr/>
      </w:pPr>
      <w:bookmarkStart w:id="827" w:name="__RefHeading___Toc7830443_1280447820"/>
      <w:bookmarkStart w:id="828" w:name="_Toc270"/>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رسالةٌ في غَيبةِ الحُجّةِ‌</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حَمدَ مُرتَبِطٍ</w:t>
      </w:r>
      <w:r>
        <w:rPr>
          <w:rStyle w:val="FootnoteAnchor"/>
          <w:rtl w:val="true"/>
        </w:rPr>
        <w:footnoteReference w:id="1670"/>
      </w:r>
      <w:r>
        <w:rPr>
          <w:rFonts w:ascii="Amiri" w:hAnsi="Amiri" w:eastAsia="Amiri" w:cs="Amiri"/>
          <w:color w:val="111111"/>
          <w:sz w:val="28"/>
          <w:sz w:val="28"/>
          <w:szCs w:val="28"/>
          <w:rtl w:val="true"/>
          <w:lang w:bidi="ar-SA"/>
        </w:rPr>
        <w:t>للنِّعَمِ‌، مُستَدفِعٍ‌</w:t>
      </w:r>
      <w:r>
        <w:rPr>
          <w:rStyle w:val="FootnoteAnchor"/>
          <w:rtl w:val="true"/>
        </w:rPr>
        <w:footnoteReference w:id="1671"/>
      </w:r>
      <w:r>
        <w:rPr>
          <w:rFonts w:ascii="Amiri" w:hAnsi="Amiri" w:eastAsia="Amiri" w:cs="Amiri"/>
          <w:color w:val="111111"/>
          <w:sz w:val="28"/>
          <w:sz w:val="28"/>
          <w:szCs w:val="28"/>
          <w:rtl w:val="true"/>
          <w:lang w:bidi="ar-SA"/>
        </w:rPr>
        <w:t>للنِّقَمِ‌، و صَلَّى اللّٰهُ علىٰ خَيرِ العَرَبِ و العَجَمِ‌، المبعوثِ إلىٰ سائرِ الأُمَمِ‌، محمّدٍ، و علىٰ آلِه الطاهري النَّسَمِ‌، الظاهري الفَضلِ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المُخالِفينَ لنا</w:t>
      </w:r>
      <w:r>
        <w:rPr>
          <w:rStyle w:val="FootnoteAnchor"/>
          <w:rtl w:val="true"/>
        </w:rPr>
        <w:footnoteReference w:id="1672"/>
      </w:r>
      <w:r>
        <w:rPr>
          <w:rFonts w:ascii="Amiri" w:hAnsi="Amiri" w:eastAsia="Amiri" w:cs="Amiri"/>
          <w:color w:val="111111"/>
          <w:sz w:val="28"/>
          <w:sz w:val="28"/>
          <w:szCs w:val="28"/>
          <w:rtl w:val="true"/>
          <w:lang w:bidi="ar-SA"/>
        </w:rPr>
        <w:t>في الِاعتقادِ يَتوهَّمونَ صُعوبةَ الكلامِ علينا في الغَيبةِ و سُهولتَه عليهم، و لَيسَ بأوّلِ اعتقادِ جَهلٍ اعتَقَدوه، و عندَ التأمُّلِ يَبينُ‌</w:t>
      </w:r>
      <w:r>
        <w:rPr>
          <w:rStyle w:val="FootnoteAnchor"/>
          <w:rtl w:val="true"/>
        </w:rPr>
        <w:footnoteReference w:id="1673"/>
      </w:r>
      <w:r>
        <w:rPr>
          <w:rFonts w:ascii="Amiri" w:hAnsi="Amiri" w:eastAsia="Amiri" w:cs="Amiri"/>
          <w:color w:val="111111"/>
          <w:sz w:val="28"/>
          <w:sz w:val="28"/>
          <w:szCs w:val="28"/>
          <w:rtl w:val="true"/>
          <w:lang w:bidi="ar-SA"/>
        </w:rPr>
        <w:t>عَكسُ ما تَوهَّموه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الغَيبةَ فَرعٌ لأُصولٍ‌؛ إن صَحَّت فالكلامُ في الغَيبةِ أسهَلُ شَيءٍ و أوضَحُه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مَبنيّةٌ‌</w:t>
      </w:r>
      <w:r>
        <w:rPr>
          <w:rStyle w:val="FootnoteAnchor"/>
          <w:rtl w:val="true"/>
        </w:rPr>
        <w:footnoteReference w:id="1674"/>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غيرَ صحيحةٍ فالكلامُ في الغَيبةِ‌ </w:t>
      </w:r>
      <w:bookmarkStart w:id="829" w:name="pg16425_221917"/>
    </w:p>
    <w:p>
      <w:pPr>
        <w:pStyle w:val="BookText"/>
        <w:rPr/>
      </w:pPr>
      <w:bookmarkEnd w:id="829"/>
      <w:r>
        <w:rPr>
          <w:rFonts w:ascii="Amiri" w:hAnsi="Amiri" w:eastAsia="Amiri" w:cs="Amiri"/>
          <w:color w:val="111111"/>
          <w:sz w:val="28"/>
          <w:sz w:val="28"/>
          <w:szCs w:val="28"/>
          <w:rtl w:val="true"/>
          <w:lang w:bidi="ar-SA"/>
        </w:rPr>
        <w:t>لَعَمري</w:t>
      </w:r>
      <w:r>
        <w:rPr>
          <w:rStyle w:val="FootnoteAnchor"/>
          <w:rtl w:val="true"/>
        </w:rPr>
        <w:footnoteReference w:id="1675"/>
      </w:r>
      <w:r>
        <w:rPr>
          <w:rFonts w:ascii="Amiri" w:hAnsi="Amiri" w:eastAsia="Amiri" w:cs="Amiri"/>
          <w:color w:val="111111"/>
          <w:sz w:val="28"/>
          <w:sz w:val="28"/>
          <w:szCs w:val="28"/>
          <w:rtl w:val="true"/>
          <w:lang w:bidi="ar-SA"/>
        </w:rPr>
        <w:t>صَعبٌ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يَقتَضي</w:t>
      </w:r>
      <w:r>
        <w:rPr>
          <w:rStyle w:val="FootnoteAnchor"/>
          <w:rtl w:val="true"/>
        </w:rPr>
        <w:footnoteReference w:id="1676"/>
      </w:r>
      <w:r>
        <w:rPr>
          <w:rFonts w:ascii="Amiri" w:hAnsi="Amiri" w:eastAsia="Amiri" w:cs="Amiri"/>
          <w:color w:val="111111"/>
          <w:sz w:val="28"/>
          <w:sz w:val="28"/>
          <w:szCs w:val="28"/>
          <w:rtl w:val="true"/>
          <w:lang w:bidi="ar-SA"/>
        </w:rPr>
        <w:t>بوُجوبِ الرئاسةِ في كُلِّ زمانٍ‌، و أنّ الرئيسَ لا بُدَّ مِن كَونِه معصوماً مأموناً منه كُلُّ فِعلٍ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هذانِ الأصلانِ لَم تَبقَ‌</w:t>
      </w:r>
      <w:r>
        <w:rPr>
          <w:rStyle w:val="FootnoteAnchor"/>
          <w:rtl w:val="true"/>
        </w:rPr>
        <w:footnoteReference w:id="1677"/>
      </w:r>
      <w:r>
        <w:rPr>
          <w:rFonts w:ascii="Amiri" w:hAnsi="Amiri" w:eastAsia="Amiri" w:cs="Amiri"/>
          <w:color w:val="111111"/>
          <w:sz w:val="28"/>
          <w:sz w:val="28"/>
          <w:szCs w:val="28"/>
          <w:rtl w:val="true"/>
          <w:lang w:bidi="ar-SA"/>
        </w:rPr>
        <w:t>إلّاإمامةُ مَن نُشيرُ إلىٰ إمامتِه؛ لأنّ الصفةَ التي اقتَضاها العقلُ‌</w:t>
      </w:r>
      <w:r>
        <w:rPr>
          <w:rStyle w:val="FootnoteAnchor"/>
          <w:rtl w:val="true"/>
        </w:rPr>
        <w:footnoteReference w:id="1678"/>
      </w:r>
      <w:r>
        <w:rPr>
          <w:rFonts w:ascii="Amiri" w:hAnsi="Amiri" w:eastAsia="Amiri" w:cs="Amiri"/>
          <w:color w:val="111111"/>
          <w:sz w:val="28"/>
          <w:sz w:val="28"/>
          <w:szCs w:val="28"/>
          <w:rtl w:val="true"/>
          <w:lang w:bidi="ar-SA"/>
        </w:rPr>
        <w:t>و دَلَّ علىٰ وجوبِها لا توجَدُ إلّافيه، و تَنساقُ‌</w:t>
      </w:r>
      <w:r>
        <w:rPr>
          <w:rStyle w:val="FootnoteAnchor"/>
          <w:rtl w:val="true"/>
        </w:rPr>
        <w:footnoteReference w:id="1679"/>
      </w:r>
      <w:r>
        <w:rPr>
          <w:rFonts w:ascii="Amiri" w:hAnsi="Amiri" w:eastAsia="Amiri" w:cs="Amiri"/>
          <w:color w:val="111111"/>
          <w:sz w:val="28"/>
          <w:sz w:val="28"/>
          <w:szCs w:val="28"/>
          <w:rtl w:val="true"/>
          <w:lang w:bidi="ar-SA"/>
        </w:rPr>
        <w:t>الغَيبةُ بهذا سَوقاً ضَروريّاً لا تَقرُبُ منه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فيُحتاجُ أن نَدُلَّ‌</w:t>
      </w:r>
      <w:r>
        <w:rPr>
          <w:rStyle w:val="FootnoteAnchor"/>
          <w:rtl w:val="true"/>
        </w:rPr>
        <w:footnoteReference w:id="1680"/>
      </w:r>
      <w:r>
        <w:rPr>
          <w:rFonts w:ascii="Amiri" w:hAnsi="Amiri" w:eastAsia="Amiri" w:cs="Amiri"/>
          <w:color w:val="111111"/>
          <w:sz w:val="28"/>
          <w:sz w:val="28"/>
          <w:szCs w:val="28"/>
          <w:rtl w:val="true"/>
          <w:lang w:bidi="ar-SA"/>
        </w:rPr>
        <w:t>علىٰ صحّةِ الأصلَينِ المذكورَينِ‌، فنَقولَ‌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7830445_1280447820"/>
      <w:bookmarkStart w:id="831" w:name="_Toc271"/>
      <w:bookmarkEnd w:id="830"/>
      <w:r>
        <w:rPr>
          <w:rtl w:val="true"/>
        </w:rPr>
        <w:t>وجوب الإمامة في كلّ زمان</w:t>
      </w:r>
      <w:bookmarkEnd w:id="831"/>
    </w:p>
    <w:p>
      <w:pPr>
        <w:pStyle w:val="BookText"/>
        <w:rPr/>
      </w:pPr>
      <w:r>
        <w:rPr>
          <w:rFonts w:ascii="Amiri" w:hAnsi="Amiri" w:eastAsia="Amiri" w:cs="Amiri"/>
          <w:color w:val="111111"/>
          <w:sz w:val="28"/>
          <w:sz w:val="28"/>
          <w:szCs w:val="28"/>
          <w:rtl w:val="true"/>
          <w:lang w:bidi="ar-SA"/>
        </w:rPr>
        <w:t>أمّا الذي يَدُلُّ علىٰ وجوبِ الإمامةِ في كُلِّ زمانٍ‌، فهو أنّا نَعلَمُ عِلماً</w:t>
      </w:r>
      <w:r>
        <w:rPr>
          <w:rStyle w:val="FootnoteAnchor"/>
          <w:rtl w:val="true"/>
        </w:rPr>
        <w:footnoteReference w:id="1681"/>
      </w:r>
      <w:r>
        <w:rPr>
          <w:rFonts w:ascii="Amiri" w:hAnsi="Amiri" w:eastAsia="Amiri" w:cs="Amiri"/>
          <w:color w:val="111111"/>
          <w:sz w:val="28"/>
          <w:sz w:val="28"/>
          <w:szCs w:val="28"/>
          <w:rtl w:val="true"/>
          <w:lang w:bidi="ar-SA"/>
        </w:rPr>
        <w:t>لا طَريقَ للشكِّ عليه</w:t>
      </w:r>
      <w:r>
        <w:rPr>
          <w:rStyle w:val="FootnoteAnchor"/>
          <w:rtl w:val="true"/>
        </w:rPr>
        <w:footnoteReference w:id="1682"/>
      </w:r>
      <w:r>
        <w:rPr>
          <w:rFonts w:ascii="Amiri" w:hAnsi="Amiri" w:eastAsia="Amiri" w:cs="Amiri"/>
          <w:color w:val="111111"/>
          <w:sz w:val="28"/>
          <w:sz w:val="28"/>
          <w:szCs w:val="28"/>
          <w:rtl w:val="true"/>
          <w:lang w:bidi="ar-SA"/>
        </w:rPr>
        <w:t>أنّ وجودَ الرئيسِ المُطاعِ المَهيبِ المُنبَسِطِ اليدِ أدْعىٰ إلىٰ فِعلِ الحَسَنِ و أردَعُ عن فِعلِ القَبيحِ‌، و أنّ التظالُمَ‌</w:t>
      </w:r>
      <w:r>
        <w:rPr>
          <w:rStyle w:val="FootnoteAnchor"/>
          <w:rtl w:val="true"/>
        </w:rPr>
        <w:footnoteReference w:id="1683"/>
      </w:r>
      <w:r>
        <w:rPr>
          <w:rFonts w:ascii="Amiri" w:hAnsi="Amiri" w:eastAsia="Amiri" w:cs="Amiri"/>
          <w:color w:val="111111"/>
          <w:sz w:val="28"/>
          <w:sz w:val="28"/>
          <w:szCs w:val="28"/>
          <w:rtl w:val="true"/>
          <w:lang w:bidi="ar-SA"/>
        </w:rPr>
        <w:t>بَينَ الناسِ إمّا أن يَرتَفِعَ‌</w:t>
      </w:r>
      <w:r>
        <w:rPr>
          <w:rStyle w:val="FootnoteAnchor"/>
          <w:rtl w:val="true"/>
        </w:rPr>
        <w:footnoteReference w:id="1684"/>
      </w:r>
      <w:r>
        <w:rPr>
          <w:rFonts w:ascii="Amiri" w:hAnsi="Amiri" w:eastAsia="Amiri" w:cs="Amiri"/>
          <w:color w:val="111111"/>
          <w:sz w:val="28"/>
          <w:sz w:val="28"/>
          <w:szCs w:val="28"/>
          <w:rtl w:val="true"/>
          <w:lang w:bidi="ar-SA"/>
        </w:rPr>
        <w:t>عندَ وجودِ مَن وَصَفناه، أو يَقِلَّ‌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الناسَ عند الإهمالِ و فَقدِ الرؤساءِ يُبالِغونَ‌</w:t>
      </w:r>
      <w:r>
        <w:rPr>
          <w:rStyle w:val="FootnoteAnchor"/>
          <w:rtl w:val="true"/>
        </w:rPr>
        <w:footnoteReference w:id="1685"/>
      </w:r>
      <w:r>
        <w:rPr>
          <w:rFonts w:ascii="Amiri" w:hAnsi="Amiri" w:eastAsia="Amiri" w:cs="Amiri"/>
          <w:color w:val="111111"/>
          <w:sz w:val="28"/>
          <w:sz w:val="28"/>
          <w:szCs w:val="28"/>
          <w:rtl w:val="true"/>
          <w:lang w:bidi="ar-SA"/>
        </w:rPr>
        <w:t>في القَبيحِ‌، و تَفسُدُ أحوالُهم، و يَختَلُّ نِظامُهم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ذلكَ أظهَرُ مِن أن يَحتاجَ إلىٰ دليلٍ‌، و الإشارةُ إليه كافيةٌ‌، و استقصاؤه</w:t>
      </w:r>
      <w:r>
        <w:rPr>
          <w:rStyle w:val="FootnoteAnchor"/>
          <w:rtl w:val="true"/>
        </w:rPr>
        <w:footnoteReference w:id="1686"/>
      </w:r>
      <w:r>
        <w:rPr>
          <w:rFonts w:ascii="Amiri" w:hAnsi="Amiri" w:eastAsia="Amiri" w:cs="Amiri"/>
          <w:color w:val="111111"/>
          <w:sz w:val="28"/>
          <w:sz w:val="28"/>
          <w:szCs w:val="28"/>
          <w:rtl w:val="true"/>
          <w:lang w:bidi="ar-SA"/>
        </w:rPr>
        <w:t>في مَظانِّه</w:t>
      </w:r>
      <w:r>
        <w:rPr>
          <w:rFonts w:eastAsia="Amiri" w:cs="Amiri" w:ascii="Amiri" w:hAnsi="Amiri"/>
          <w:color w:val="111111"/>
          <w:sz w:val="28"/>
          <w:szCs w:val="28"/>
          <w:rtl w:val="true"/>
          <w:lang w:bidi="ar-SA"/>
        </w:rPr>
        <w:t xml:space="preserve">. </w:t>
      </w:r>
      <w:bookmarkStart w:id="832" w:name="pg16425_221918"/>
    </w:p>
    <w:p>
      <w:pPr>
        <w:pStyle w:val="BookText"/>
        <w:rPr/>
      </w:pPr>
      <w:bookmarkEnd w:id="832"/>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7830447_1280447820"/>
      <w:bookmarkStart w:id="834" w:name="_Toc272"/>
      <w:bookmarkEnd w:id="833"/>
      <w:r>
        <w:rPr>
          <w:rtl w:val="true"/>
        </w:rPr>
        <w:t>وجوب عصمة الإمام</w:t>
      </w:r>
      <w:bookmarkEnd w:id="834"/>
    </w:p>
    <w:p>
      <w:pPr>
        <w:pStyle w:val="BookText"/>
        <w:rPr/>
      </w:pPr>
      <w:r>
        <w:rPr>
          <w:rFonts w:ascii="Amiri" w:hAnsi="Amiri" w:eastAsia="Amiri" w:cs="Amiri"/>
          <w:color w:val="111111"/>
          <w:sz w:val="28"/>
          <w:sz w:val="28"/>
          <w:szCs w:val="28"/>
          <w:rtl w:val="true"/>
          <w:lang w:bidi="ar-SA"/>
        </w:rPr>
        <w:t>و أمّا الذي يَدُلُّ علىٰ وجوبِ عِصمةِ الرئيسِ المذكورِ، فهو أنّ عِلّةَ الحاجةِ هي أن يَكونَ لُطفاً للرعيّةِ في الِامتناعِ مِن فِعلِ القَبيحِ و في اعتمادِ فِعلِ الحَسَنِ‌؛ فإن كانَت عِلّةُ الحاجةِ‌</w:t>
      </w:r>
      <w:r>
        <w:rPr>
          <w:rStyle w:val="FootnoteAnchor"/>
          <w:rtl w:val="true"/>
        </w:rPr>
        <w:footnoteReference w:id="1687"/>
      </w:r>
      <w:r>
        <w:rPr>
          <w:rFonts w:ascii="Amiri" w:hAnsi="Amiri" w:eastAsia="Amiri" w:cs="Amiri"/>
          <w:color w:val="111111"/>
          <w:sz w:val="28"/>
          <w:sz w:val="28"/>
          <w:szCs w:val="28"/>
          <w:rtl w:val="true"/>
          <w:lang w:bidi="ar-SA"/>
        </w:rPr>
        <w:t>إليه موجودةً فيه</w:t>
      </w:r>
      <w:r>
        <w:rPr>
          <w:rStyle w:val="FootnoteAnchor"/>
          <w:rtl w:val="true"/>
        </w:rPr>
        <w:footnoteReference w:id="1688"/>
      </w:r>
      <w:r>
        <w:rPr>
          <w:rFonts w:ascii="Amiri" w:hAnsi="Amiri" w:eastAsia="Amiri" w:cs="Amiri"/>
          <w:color w:val="111111"/>
          <w:sz w:val="28"/>
          <w:sz w:val="28"/>
          <w:szCs w:val="28"/>
          <w:rtl w:val="true"/>
          <w:lang w:bidi="ar-SA"/>
        </w:rPr>
        <w:t>، وَجَبَ أن يَحتاجَ إلىٰ رئيسٍ و إمامٍ كما احتيجَ إليه، و الكلامُ في الإمامةِ كالكلامِ فيه، و هذا يَقتَضي إمّا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القولَ بأئمّةٍ لا نِهايةَ لهم</w:t>
      </w:r>
      <w:r>
        <w:rPr>
          <w:rStyle w:val="FootnoteAnchor"/>
          <w:rtl w:val="true"/>
        </w:rPr>
        <w:footnoteReference w:id="1689"/>
      </w:r>
      <w:r>
        <w:rPr>
          <w:rFonts w:ascii="Amiri" w:hAnsi="Amiri" w:eastAsia="Amiri" w:cs="Amiri"/>
          <w:color w:val="111111"/>
          <w:sz w:val="28"/>
          <w:sz w:val="28"/>
          <w:szCs w:val="28"/>
          <w:rtl w:val="true"/>
          <w:lang w:bidi="ar-SA"/>
        </w:rPr>
        <w:t>، و هو مُحالٌ‌؛ أو القولَ بوجودِ إمامٍ تَرتَفِعُ‌</w:t>
      </w:r>
      <w:r>
        <w:rPr>
          <w:rStyle w:val="FootnoteAnchor"/>
          <w:rtl w:val="true"/>
        </w:rPr>
        <w:footnoteReference w:id="1690"/>
      </w:r>
      <w:r>
        <w:rPr>
          <w:rFonts w:ascii="Amiri" w:hAnsi="Amiri" w:eastAsia="Amiri" w:cs="Amiri"/>
          <w:color w:val="111111"/>
          <w:sz w:val="28"/>
          <w:sz w:val="28"/>
          <w:szCs w:val="28"/>
          <w:rtl w:val="true"/>
          <w:lang w:bidi="ar-SA"/>
        </w:rPr>
        <w:t>عنه عِلّةُ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ذلكَ لَم يَبقَ إلّاالقولُ بإمامٍ معصومٍ لا يَجوزُ عليه القَبيحُ‌، و هو الذي</w:t>
      </w:r>
      <w:r>
        <w:rPr>
          <w:rStyle w:val="FootnoteAnchor"/>
          <w:rtl w:val="true"/>
        </w:rPr>
        <w:footnoteReference w:id="1691"/>
      </w:r>
      <w:r>
        <w:rPr>
          <w:rFonts w:ascii="Amiri" w:hAnsi="Amiri" w:eastAsia="Amiri" w:cs="Amiri"/>
          <w:color w:val="111111"/>
          <w:sz w:val="28"/>
          <w:sz w:val="28"/>
          <w:szCs w:val="28"/>
          <w:rtl w:val="true"/>
          <w:lang w:bidi="ar-SA"/>
        </w:rPr>
        <w:t>قَصَدناه، و شَرحُ ذلكَ و بَسطُه مذكورٌ في أماكنِه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7830449_1280447820"/>
      <w:bookmarkStart w:id="836" w:name="_Toc273"/>
      <w:bookmarkEnd w:id="835"/>
      <w:r>
        <w:rPr>
          <w:rtl w:val="true"/>
        </w:rPr>
        <w:t>إثبات إمامة صاحب الزمان عليه السلام</w:t>
      </w:r>
      <w:bookmarkEnd w:id="836"/>
    </w:p>
    <w:p>
      <w:pPr>
        <w:pStyle w:val="BookText"/>
        <w:rPr/>
      </w:pPr>
      <w:r>
        <w:rPr>
          <w:rFonts w:ascii="Amiri" w:hAnsi="Amiri" w:eastAsia="Amiri" w:cs="Amiri"/>
          <w:color w:val="111111"/>
          <w:sz w:val="28"/>
          <w:sz w:val="28"/>
          <w:szCs w:val="28"/>
          <w:rtl w:val="true"/>
          <w:lang w:bidi="ar-SA"/>
        </w:rPr>
        <w:t>و إذا ثَبَتَ هذانِ الأصلانِ‌</w:t>
      </w:r>
      <w:r>
        <w:rPr>
          <w:rStyle w:val="FootnoteAnchor"/>
          <w:rtl w:val="true"/>
        </w:rPr>
        <w:footnoteReference w:id="1692"/>
      </w:r>
      <w:r>
        <w:rPr>
          <w:rFonts w:ascii="Amiri" w:hAnsi="Amiri" w:eastAsia="Amiri" w:cs="Amiri"/>
          <w:color w:val="111111"/>
          <w:sz w:val="28"/>
          <w:sz w:val="28"/>
          <w:szCs w:val="28"/>
          <w:rtl w:val="true"/>
          <w:lang w:bidi="ar-SA"/>
        </w:rPr>
        <w:t>، فلا بُدَّ مِن القولِ بأنّه صاحبُ الزمانِ بعَينِه، ثُمَّ لا بُدَّ مع</w:t>
      </w:r>
      <w:r>
        <w:rPr>
          <w:rStyle w:val="FootnoteAnchor"/>
          <w:rtl w:val="true"/>
        </w:rPr>
        <w:footnoteReference w:id="1693"/>
      </w:r>
      <w:r>
        <w:rPr>
          <w:rFonts w:ascii="Amiri" w:hAnsi="Amiri" w:eastAsia="Amiri" w:cs="Amiri"/>
          <w:color w:val="111111"/>
          <w:sz w:val="28"/>
          <w:sz w:val="28"/>
          <w:szCs w:val="28"/>
          <w:rtl w:val="true"/>
          <w:lang w:bidi="ar-SA"/>
        </w:rPr>
        <w:t>فَقدِ تَصرُّفِه و ظُهورِه مِن القَولِ بغَيبتِه؛ لأنّه إذا بَطَلَت إمامةُ مَن أُثبِتَت له الإمامةُ بالِاختيارِ؛ لفَقدِ الصفةِ التي دَلَّ العقلُ عليها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بَطَلَ قولُ مَن خالَفَ مِن شُذّاذِ الشيعةِ‌</w:t>
      </w:r>
      <w:r>
        <w:rPr>
          <w:rStyle w:val="FootnoteAnchor"/>
          <w:rtl w:val="true"/>
        </w:rPr>
        <w:footnoteReference w:id="1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إمامةِ‌</w:t>
      </w:r>
      <w:r>
        <w:rPr>
          <w:rFonts w:eastAsia="Amiri" w:cs="Amiri" w:ascii="Amiri" w:hAnsi="Amiri"/>
          <w:color w:val="111111"/>
          <w:sz w:val="28"/>
          <w:szCs w:val="28"/>
          <w:rtl w:val="true"/>
          <w:lang w:bidi="ar-SA"/>
        </w:rPr>
        <w:t>]</w:t>
      </w:r>
      <w:r>
        <w:rPr>
          <w:rStyle w:val="FootnoteAnchor"/>
          <w:rtl w:val="true"/>
        </w:rPr>
        <w:footnoteReference w:id="1695"/>
      </w:r>
      <w:r>
        <w:rPr>
          <w:rFonts w:ascii="Amiri" w:hAnsi="Amiri" w:eastAsia="Amiri" w:cs="Amiri"/>
          <w:color w:val="111111"/>
          <w:sz w:val="28"/>
          <w:sz w:val="28"/>
          <w:szCs w:val="28"/>
          <w:rtl w:val="true"/>
          <w:lang w:bidi="ar-SA"/>
        </w:rPr>
        <w:t xml:space="preserve">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كالكَيسانيّةِ‌، </w:t>
      </w:r>
      <w:bookmarkStart w:id="837" w:name="pg16425_221919"/>
    </w:p>
    <w:p>
      <w:pPr>
        <w:pStyle w:val="BookText"/>
        <w:rPr/>
      </w:pPr>
      <w:bookmarkEnd w:id="837"/>
      <w:r>
        <w:rPr>
          <w:rFonts w:ascii="Amiri" w:hAnsi="Amiri" w:eastAsia="Amiri" w:cs="Amiri"/>
          <w:color w:val="111111"/>
          <w:sz w:val="28"/>
          <w:sz w:val="28"/>
          <w:szCs w:val="28"/>
          <w:rtl w:val="true"/>
          <w:lang w:bidi="ar-SA"/>
        </w:rPr>
        <w:t xml:space="preserve">و الناووسيّةِ‌، و الواقفيّةِ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لانقراضِهم و شُذوذِهم، و لِعَودِ الضرورةِ إلىٰ فَسادِ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w:t>
      </w:r>
      <w:r>
        <w:rPr>
          <w:rStyle w:val="FootnoteAnchor"/>
          <w:rtl w:val="true"/>
        </w:rPr>
        <w:footnoteReference w:id="1696"/>
      </w:r>
      <w:r>
        <w:rPr>
          <w:rFonts w:ascii="Amiri" w:hAnsi="Amiri" w:eastAsia="Amiri" w:cs="Amiri"/>
          <w:color w:val="111111"/>
          <w:sz w:val="28"/>
          <w:sz w:val="28"/>
          <w:szCs w:val="28"/>
          <w:rtl w:val="true"/>
          <w:lang w:bidi="ar-SA"/>
        </w:rPr>
        <w:t>مَندوحةَ عن</w:t>
      </w:r>
      <w:r>
        <w:rPr>
          <w:rStyle w:val="FootnoteAnchor"/>
          <w:rtl w:val="true"/>
        </w:rPr>
        <w:footnoteReference w:id="1697"/>
      </w:r>
      <w:r>
        <w:rPr>
          <w:rFonts w:ascii="Amiri" w:hAnsi="Amiri" w:eastAsia="Amiri" w:cs="Amiri"/>
          <w:color w:val="111111"/>
          <w:sz w:val="28"/>
          <w:sz w:val="28"/>
          <w:szCs w:val="28"/>
          <w:rtl w:val="true"/>
          <w:lang w:bidi="ar-SA"/>
        </w:rPr>
        <w:t>مَذهَبِنا، فلا بُدَّ</w:t>
      </w:r>
      <w:r>
        <w:rPr>
          <w:rStyle w:val="FootnoteAnchor"/>
          <w:rtl w:val="true"/>
        </w:rPr>
        <w:footnoteReference w:id="1698"/>
      </w:r>
      <w:r>
        <w:rPr>
          <w:rFonts w:ascii="Amiri" w:hAnsi="Amiri" w:eastAsia="Amiri" w:cs="Amiri"/>
          <w:color w:val="111111"/>
          <w:sz w:val="28"/>
          <w:sz w:val="28"/>
          <w:szCs w:val="28"/>
          <w:rtl w:val="true"/>
          <w:lang w:bidi="ar-SA"/>
        </w:rPr>
        <w:t>مِن صحّتِه؛ و إلّاخَرَجَ الحَقُّ عن الأُمّةِ‌</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7830451_1280447820"/>
      <w:bookmarkStart w:id="839" w:name="_Toc274"/>
      <w:bookmarkEnd w:id="838"/>
      <w:r>
        <w:rPr>
          <w:rtl w:val="true"/>
        </w:rPr>
        <w:t>بيان الوجه في الغَيبة</w:t>
      </w:r>
      <w:bookmarkEnd w:id="839"/>
    </w:p>
    <w:p>
      <w:pPr>
        <w:pStyle w:val="BookText"/>
        <w:rPr/>
      </w:pPr>
      <w:r>
        <w:rPr>
          <w:rFonts w:ascii="Amiri" w:hAnsi="Amiri" w:eastAsia="Amiri" w:cs="Amiri"/>
          <w:color w:val="111111"/>
          <w:sz w:val="28"/>
          <w:sz w:val="28"/>
          <w:szCs w:val="28"/>
          <w:rtl w:val="true"/>
          <w:lang w:bidi="ar-SA"/>
        </w:rPr>
        <w:t>و إذا عَلِمنا بالسياقةِ التي ساقَ الأصلانِ إليها</w:t>
      </w:r>
      <w:r>
        <w:rPr>
          <w:rStyle w:val="FootnoteAnchor"/>
          <w:rtl w:val="true"/>
        </w:rPr>
        <w:footnoteReference w:id="1700"/>
      </w:r>
      <w:r>
        <w:rPr>
          <w:rFonts w:ascii="Amiri" w:hAnsi="Amiri" w:eastAsia="Amiri" w:cs="Amiri"/>
          <w:color w:val="111111"/>
          <w:sz w:val="28"/>
          <w:sz w:val="28"/>
          <w:szCs w:val="28"/>
          <w:rtl w:val="true"/>
          <w:lang w:bidi="ar-SA"/>
        </w:rPr>
        <w:t xml:space="preserve">أنّ الإمامَ هو ابنُ الحَسَنِ عليه السلامُ دونَ غيرِه، و رأيناه غائباً عن الأبصارِ، عَلِمنا أنّه لَم يَغِبْ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عِصمتِه و تَعيُّنِ فَرضِ الإمامةِ فيه 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إلّالسببٍ‌</w:t>
      </w:r>
      <w:r>
        <w:rPr>
          <w:rStyle w:val="FootnoteAnchor"/>
          <w:rtl w:val="true"/>
        </w:rPr>
        <w:footnoteReference w:id="1701"/>
      </w:r>
      <w:r>
        <w:rPr>
          <w:rFonts w:ascii="Amiri" w:hAnsi="Amiri" w:eastAsia="Amiri" w:cs="Amiri"/>
          <w:color w:val="111111"/>
          <w:sz w:val="28"/>
          <w:sz w:val="28"/>
          <w:szCs w:val="28"/>
          <w:rtl w:val="true"/>
          <w:lang w:bidi="ar-SA"/>
        </w:rPr>
        <w:t>اقتَضىٰ ذلكَ‌، و مَصلَحةٍ استَدعَته، و حالٍ أوجَبَته، و إن</w:t>
      </w:r>
      <w:r>
        <w:rPr>
          <w:rStyle w:val="FootnoteAnchor"/>
          <w:rtl w:val="true"/>
        </w:rPr>
        <w:footnoteReference w:id="1702"/>
      </w:r>
      <w:r>
        <w:rPr>
          <w:rFonts w:ascii="Amiri" w:hAnsi="Amiri" w:eastAsia="Amiri" w:cs="Amiri"/>
          <w:color w:val="111111"/>
          <w:sz w:val="28"/>
          <w:sz w:val="28"/>
          <w:szCs w:val="28"/>
          <w:rtl w:val="true"/>
          <w:lang w:bidi="ar-SA"/>
        </w:rPr>
        <w:t>لَم نَعلَمْ‌</w:t>
      </w:r>
      <w:r>
        <w:rPr>
          <w:rStyle w:val="FootnoteAnchor"/>
          <w:rtl w:val="true"/>
        </w:rPr>
        <w:footnoteReference w:id="1703"/>
      </w:r>
      <w:r>
        <w:rPr>
          <w:rFonts w:ascii="Amiri" w:hAnsi="Amiri" w:eastAsia="Amiri" w:cs="Amiri"/>
          <w:color w:val="111111"/>
          <w:sz w:val="28"/>
          <w:sz w:val="28"/>
          <w:szCs w:val="28"/>
          <w:rtl w:val="true"/>
          <w:lang w:bidi="ar-SA"/>
        </w:rPr>
        <w:t>وجهَ ذلكَ مُفصَّلاً؛ لأنّ ذلكَ ممّا لا يَلزَمُ عِلمُه، و إن تَكلَّفناه</w:t>
      </w:r>
      <w:r>
        <w:rPr>
          <w:rStyle w:val="FootnoteAnchor"/>
          <w:rtl w:val="true"/>
        </w:rPr>
        <w:footnoteReference w:id="1704"/>
      </w:r>
      <w:r>
        <w:rPr>
          <w:rFonts w:ascii="Amiri" w:hAnsi="Amiri" w:eastAsia="Amiri" w:cs="Amiri"/>
          <w:color w:val="111111"/>
          <w:sz w:val="28"/>
          <w:sz w:val="28"/>
          <w:szCs w:val="28"/>
          <w:rtl w:val="true"/>
          <w:lang w:bidi="ar-SA"/>
        </w:rPr>
        <w:t>و تَبرَّعنا بذِكرِه كان تَفضُّلاً، كما</w:t>
      </w:r>
      <w:r>
        <w:rPr>
          <w:rStyle w:val="FootnoteAnchor"/>
          <w:rtl w:val="true"/>
        </w:rPr>
        <w:footnoteReference w:id="1705"/>
      </w:r>
      <w:r>
        <w:rPr>
          <w:rFonts w:ascii="Amiri" w:hAnsi="Amiri" w:eastAsia="Amiri" w:cs="Amiri"/>
          <w:color w:val="111111"/>
          <w:sz w:val="28"/>
          <w:sz w:val="28"/>
          <w:szCs w:val="28"/>
          <w:rtl w:val="true"/>
          <w:lang w:bidi="ar-SA"/>
        </w:rPr>
        <w:t>إذا تَبرَّعنا بذِكرِ وُجوهِ المُتَشابِهِ مِن الآيِ بَعدَ العِلمِ بحِكمةِ‌</w:t>
      </w:r>
      <w:r>
        <w:rPr>
          <w:rStyle w:val="FootnoteAnchor"/>
          <w:rtl w:val="true"/>
        </w:rPr>
        <w:footnoteReference w:id="1706"/>
      </w:r>
      <w:r>
        <w:rPr>
          <w:rFonts w:ascii="Amiri" w:hAnsi="Amiri" w:eastAsia="Amiri" w:cs="Amiri"/>
          <w:color w:val="111111"/>
          <w:sz w:val="28"/>
          <w:sz w:val="28"/>
          <w:szCs w:val="28"/>
          <w:rtl w:val="true"/>
          <w:lang w:bidi="ar-SA"/>
        </w:rPr>
        <w:t>اللّٰهِ تَعالىٰ سُبحانَه كانَ ذلكَ تَفضُّلاً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الغَيبةِ هو إخافةُ الظالِمينَ له</w:t>
      </w:r>
      <w:r>
        <w:rPr>
          <w:rStyle w:val="FootnoteAnchor"/>
          <w:rtl w:val="true"/>
        </w:rPr>
        <w:footnoteReference w:id="1707"/>
      </w:r>
      <w:r>
        <w:rPr>
          <w:rFonts w:ascii="Amiri" w:hAnsi="Amiri" w:eastAsia="Amiri" w:cs="Amiri"/>
          <w:color w:val="111111"/>
          <w:sz w:val="28"/>
          <w:sz w:val="28"/>
          <w:szCs w:val="28"/>
          <w:rtl w:val="true"/>
          <w:lang w:bidi="ar-SA"/>
        </w:rPr>
        <w:t>، و مَنعُهم يَدَه مِن التصرُّفِ‌</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فيما جُعِلَ إليه التصرُّفُ فيه؛ لأنّ الإمامَ إنّما يُنتَفَعُ به النفعَ الكُلّيَّ إذا كانَ مُتمكِّناً مُطاعاً، مُخَلّىً بَينَه و بَينَ أغراضِه؛ ليُقوِّمَ‌</w:t>
      </w:r>
      <w:r>
        <w:rPr>
          <w:rStyle w:val="FootnoteAnchor"/>
          <w:rtl w:val="true"/>
        </w:rPr>
        <w:footnoteReference w:id="1709"/>
      </w:r>
      <w:r>
        <w:rPr>
          <w:rFonts w:ascii="Amiri" w:hAnsi="Amiri" w:eastAsia="Amiri" w:cs="Amiri"/>
          <w:color w:val="111111"/>
          <w:sz w:val="28"/>
          <w:sz w:val="28"/>
          <w:szCs w:val="28"/>
          <w:rtl w:val="true"/>
          <w:lang w:bidi="ar-SA"/>
        </w:rPr>
        <w:t>الجُناةَ‌</w:t>
      </w:r>
      <w:r>
        <w:rPr>
          <w:rStyle w:val="FootnoteAnchor"/>
          <w:rtl w:val="true"/>
        </w:rPr>
        <w:footnoteReference w:id="1710"/>
      </w:r>
      <w:r>
        <w:rPr>
          <w:rFonts w:ascii="Amiri" w:hAnsi="Amiri" w:eastAsia="Amiri" w:cs="Amiri"/>
          <w:color w:val="111111"/>
          <w:sz w:val="28"/>
          <w:sz w:val="28"/>
          <w:szCs w:val="28"/>
          <w:rtl w:val="true"/>
          <w:lang w:bidi="ar-SA"/>
        </w:rPr>
        <w:t>، و يُحارِبَ البُغاةَ‌، و يُقيمَ الحدودَ، و يَسُدَّ الثُّغورَ، و يُنصِفَ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لا يَتِمُّ إلّامع التمَكُّنِ‌، فإذا حيلَ بَينَه و بَينَ أغراضِه مِن ذلكَ سَقَطَ عنه فَرضُ القيامِ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خافَ علىٰ نفسِه وَجَبَت غَيبتُه، و التحَرُّزُ مِن المَضارِّ واجبٌ عقلاً و سَمعاً، و قد استَتَرَ النبيُّ صَلَّى اللّٰهُ عليه و آلِه</w:t>
      </w:r>
      <w:r>
        <w:rPr>
          <w:rStyle w:val="FootnoteAnchor"/>
          <w:rtl w:val="true"/>
        </w:rPr>
        <w:footnoteReference w:id="1711"/>
      </w:r>
      <w:r>
        <w:rPr>
          <w:rFonts w:ascii="Amiri" w:hAnsi="Amiri" w:eastAsia="Amiri" w:cs="Amiri"/>
          <w:color w:val="111111"/>
          <w:sz w:val="28"/>
          <w:sz w:val="28"/>
          <w:szCs w:val="28"/>
          <w:rtl w:val="true"/>
          <w:lang w:bidi="ar-SA"/>
        </w:rPr>
        <w:t>في الشِّعبِ‌، و أُخرىٰ في الغارِ، و لا وجهَ لذلكَ إلّاالخَوفُ و التحرُّزُ مِن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ما استَتَرَ عن قومِه إلّابَعدَ أداءِ ما وَجَبَ عليه أداؤه، و قولُكم في الإمامِ يُخالِفُ ذلكَ‌؛ و لأنّ استتارَه عليه السلامُ لَم يَتَطاوَلْ و لَم يَتَمادَ</w:t>
      </w:r>
      <w:r>
        <w:rPr>
          <w:rStyle w:val="FootnoteAnchor"/>
          <w:rtl w:val="true"/>
        </w:rPr>
        <w:footnoteReference w:id="1712"/>
      </w:r>
      <w:r>
        <w:rPr>
          <w:rFonts w:ascii="Amiri" w:hAnsi="Amiri" w:eastAsia="Amiri" w:cs="Amiri"/>
          <w:color w:val="111111"/>
          <w:sz w:val="28"/>
          <w:sz w:val="28"/>
          <w:szCs w:val="28"/>
          <w:rtl w:val="true"/>
          <w:lang w:bidi="ar-SA"/>
        </w:rPr>
        <w:t>، و استتارُ إمامِكم قد مَضَت عليه الدهورُ</w:t>
      </w:r>
      <w:r>
        <w:rPr>
          <w:rStyle w:val="FootnoteAnchor"/>
          <w:rtl w:val="true"/>
        </w:rPr>
        <w:footnoteReference w:id="1713"/>
      </w:r>
      <w:r>
        <w:rPr>
          <w:rFonts w:ascii="Amiri" w:hAnsi="Amiri" w:eastAsia="Amiri" w:cs="Amiri"/>
          <w:color w:val="111111"/>
          <w:sz w:val="28"/>
          <w:sz w:val="28"/>
          <w:szCs w:val="28"/>
          <w:rtl w:val="true"/>
          <w:lang w:bidi="ar-SA"/>
        </w:rPr>
        <w:t>، و انقَرَضَت</w:t>
      </w:r>
      <w:r>
        <w:rPr>
          <w:rStyle w:val="FootnoteAnchor"/>
          <w:rtl w:val="true"/>
        </w:rPr>
        <w:footnoteReference w:id="1714"/>
      </w:r>
      <w:r>
        <w:rPr>
          <w:rFonts w:ascii="Amiri" w:hAnsi="Amiri" w:eastAsia="Amiri" w:cs="Amiri"/>
          <w:color w:val="111111"/>
          <w:sz w:val="28"/>
          <w:sz w:val="28"/>
          <w:szCs w:val="28"/>
          <w:rtl w:val="true"/>
          <w:lang w:bidi="ar-SA"/>
        </w:rPr>
        <w:t>دونَه العُصورُ</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علىٰ ما ذَكرتم؛ لأنّ استتارَ النبيِّ صَلَّى اللّٰهُ عليه و آلِه كانَ قَبلَ الهِجرةِ‌، و لَم يَكُن عليه السلامُ أدّىٰ‌</w:t>
      </w:r>
      <w:r>
        <w:rPr>
          <w:rStyle w:val="FootnoteAnchor"/>
          <w:rtl w:val="true"/>
        </w:rPr>
        <w:footnoteReference w:id="1716"/>
      </w:r>
      <w:r>
        <w:rPr>
          <w:rFonts w:ascii="Amiri" w:hAnsi="Amiri" w:eastAsia="Amiri" w:cs="Amiri"/>
          <w:color w:val="111111"/>
          <w:sz w:val="28"/>
          <w:sz w:val="28"/>
          <w:szCs w:val="28"/>
          <w:rtl w:val="true"/>
          <w:lang w:bidi="ar-SA"/>
        </w:rPr>
        <w:t>جميعَ الشريعةِ‌؛ فإنّ مُعظَمَ الأحكامِ و أكثَرَها نَزَلَ‌</w:t>
      </w:r>
      <w:r>
        <w:rPr>
          <w:rStyle w:val="FootnoteAnchor"/>
          <w:rtl w:val="true"/>
        </w:rPr>
        <w:footnoteReference w:id="1717"/>
      </w:r>
      <w:r>
        <w:rPr>
          <w:rFonts w:ascii="Amiri" w:hAnsi="Amiri" w:eastAsia="Amiri" w:cs="Amiri"/>
          <w:color w:val="111111"/>
          <w:sz w:val="28"/>
          <w:sz w:val="28"/>
          <w:szCs w:val="28"/>
          <w:rtl w:val="true"/>
          <w:lang w:bidi="ar-SA"/>
        </w:rPr>
        <w:t>بالمَدينةِ‌، فكَيفَ ادَّعَيتم ذلكَ؟</w:t>
      </w:r>
      <w:r>
        <w:rPr>
          <w:rFonts w:eastAsia="Amiri" w:cs="Amiri" w:ascii="Amiri" w:hAnsi="Amiri"/>
          <w:color w:val="111111"/>
          <w:sz w:val="28"/>
          <w:szCs w:val="28"/>
          <w:rtl w:val="true"/>
          <w:lang w:bidi="ar-SA"/>
        </w:rPr>
        <w:t xml:space="preserve">! </w:t>
      </w:r>
      <w:bookmarkStart w:id="840" w:name="pg16425_221921"/>
    </w:p>
    <w:p>
      <w:pPr>
        <w:pStyle w:val="BookText"/>
        <w:rPr/>
      </w:pPr>
      <w:bookmarkEnd w:id="840"/>
      <w:r>
        <w:rPr>
          <w:rFonts w:ascii="Amiri" w:hAnsi="Amiri" w:eastAsia="Amiri" w:cs="Amiri"/>
          <w:color w:val="111111"/>
          <w:sz w:val="28"/>
          <w:sz w:val="28"/>
          <w:szCs w:val="28"/>
          <w:rtl w:val="true"/>
          <w:lang w:bidi="ar-SA"/>
        </w:rPr>
        <w:t>علىٰ أنّه لَو كانَ الأمرُ علىٰ ما ادَّعَيتم مِن</w:t>
      </w:r>
      <w:r>
        <w:rPr>
          <w:rStyle w:val="FootnoteAnchor"/>
          <w:rtl w:val="true"/>
        </w:rPr>
        <w:footnoteReference w:id="1718"/>
      </w:r>
      <w:r>
        <w:rPr>
          <w:rFonts w:ascii="Amiri" w:hAnsi="Amiri" w:eastAsia="Amiri" w:cs="Amiri"/>
          <w:color w:val="111111"/>
          <w:sz w:val="28"/>
          <w:sz w:val="28"/>
          <w:szCs w:val="28"/>
          <w:rtl w:val="true"/>
          <w:lang w:bidi="ar-SA"/>
        </w:rPr>
        <w:t>الأداءِ‌</w:t>
      </w:r>
      <w:r>
        <w:rPr>
          <w:rStyle w:val="FootnoteAnchor"/>
          <w:rtl w:val="true"/>
        </w:rPr>
        <w:footnoteReference w:id="1719"/>
      </w:r>
      <w:r>
        <w:rPr>
          <w:rFonts w:ascii="Amiri" w:hAnsi="Amiri" w:eastAsia="Amiri" w:cs="Amiri"/>
          <w:color w:val="111111"/>
          <w:sz w:val="28"/>
          <w:sz w:val="28"/>
          <w:szCs w:val="28"/>
          <w:rtl w:val="true"/>
          <w:lang w:bidi="ar-SA"/>
        </w:rPr>
        <w:t>الكاملِ‌</w:t>
      </w:r>
      <w:r>
        <w:rPr>
          <w:rStyle w:val="FootnoteAnchor"/>
          <w:rtl w:val="true"/>
        </w:rPr>
        <w:footnoteReference w:id="1720"/>
      </w:r>
      <w:r>
        <w:rPr>
          <w:rFonts w:ascii="Amiri" w:hAnsi="Amiri" w:eastAsia="Amiri" w:cs="Amiri"/>
          <w:color w:val="111111"/>
          <w:sz w:val="28"/>
          <w:sz w:val="28"/>
          <w:szCs w:val="28"/>
          <w:rtl w:val="true"/>
          <w:lang w:bidi="ar-SA"/>
        </w:rPr>
        <w:t>قَبلَ الِاستتارِ، لَما كانَ ذلكَ رافعاً للحاجةِ إلىٰ تدبيرِه و سياستِه و أمرِه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غيرُ مُحتاجٍ إليه بَعدَ أداءِ الشرعِ؟ و إذا جازَ استتارُ النبيِّ صَلَّى اللّٰهُ عليه و آلِه مع تَعلُّقِ الحاجةِ به لخَوفِ الضرَرِ، و كانَت التَّبِعةُ في ذلكَ‌</w:t>
      </w:r>
      <w:r>
        <w:rPr>
          <w:rStyle w:val="FootnoteAnchor"/>
          <w:rtl w:val="true"/>
        </w:rPr>
        <w:footnoteReference w:id="1721"/>
      </w:r>
      <w:r>
        <w:rPr>
          <w:rFonts w:ascii="Amiri" w:hAnsi="Amiri" w:eastAsia="Amiri" w:cs="Amiri"/>
          <w:color w:val="111111"/>
          <w:sz w:val="28"/>
          <w:sz w:val="28"/>
          <w:szCs w:val="28"/>
          <w:rtl w:val="true"/>
          <w:lang w:bidi="ar-SA"/>
        </w:rPr>
        <w:t>لازمةً لِمَن أخافَه و أحوَجَه إلَى الِاستتارِ و ساقطةً‌</w:t>
      </w:r>
      <w:r>
        <w:rPr>
          <w:rStyle w:val="FootnoteAnchor"/>
          <w:rtl w:val="true"/>
        </w:rPr>
        <w:footnoteReference w:id="1722"/>
      </w:r>
      <w:r>
        <w:rPr>
          <w:rFonts w:ascii="Amiri" w:hAnsi="Amiri" w:eastAsia="Amiri" w:cs="Amiri"/>
          <w:color w:val="111111"/>
          <w:sz w:val="28"/>
          <w:sz w:val="28"/>
          <w:szCs w:val="28"/>
          <w:rtl w:val="true"/>
          <w:lang w:bidi="ar-SA"/>
        </w:rPr>
        <w:t>عنه، فكذلكَ القولُ في استتارِ إمامِ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التفرقةُ بطولِ الغَيبةِ و قِصَرِها ففاسدةٌ‌؛ لأنّه لا فَرقَ بَينَ القَصيرِ و المُمتَدِّ، و ذلكَ موقوفٌ علىٰ عِلّتِه و سببِه، فتَطولُ بِطولِ السببِ‌، و تَقصُرُ بقِصَرِه</w:t>
      </w:r>
      <w:r>
        <w:rPr>
          <w:rStyle w:val="FootnoteAnchor"/>
          <w:rtl w:val="true"/>
        </w:rPr>
        <w:footnoteReference w:id="1723"/>
      </w:r>
      <w:r>
        <w:rPr>
          <w:rFonts w:ascii="Amiri" w:hAnsi="Amiri" w:eastAsia="Amiri" w:cs="Amiri"/>
          <w:color w:val="111111"/>
          <w:sz w:val="28"/>
          <w:sz w:val="28"/>
          <w:szCs w:val="28"/>
          <w:rtl w:val="true"/>
          <w:lang w:bidi="ar-SA"/>
        </w:rPr>
        <w:t>، و تَزولُ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آبائه عليهم السلامُ ظاهرٌ؛ لأنّه يَظهَرُ</w:t>
      </w:r>
      <w:r>
        <w:rPr>
          <w:rStyle w:val="FootnoteAnchor"/>
          <w:rtl w:val="true"/>
        </w:rPr>
        <w:footnoteReference w:id="1724"/>
      </w:r>
      <w:r>
        <w:rPr>
          <w:rFonts w:ascii="Amiri" w:hAnsi="Amiri" w:eastAsia="Amiri" w:cs="Amiri"/>
          <w:color w:val="111111"/>
          <w:sz w:val="28"/>
          <w:sz w:val="28"/>
          <w:szCs w:val="28"/>
          <w:rtl w:val="true"/>
          <w:lang w:bidi="ar-SA"/>
        </w:rPr>
        <w:t>بالسَّيفِ‌، و يَدعو إلىٰ نفسِه، و يُجاهِدُ مَن خالَفَه، و يُزيلُ الدُّوَلَ‌؛ فأيُّ نسبةٍ بَينَ خَوفِه مِن الأعداءِ و خَوفِ آبائه عليهم السلامُ لَولا قِلّةُ 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7830453_1280447820"/>
      <w:bookmarkStart w:id="842" w:name="_Toc275"/>
      <w:bookmarkEnd w:id="841"/>
      <w:r>
        <w:rPr>
          <w:rtl w:val="true"/>
        </w:rPr>
        <w:t>بيان الفرق بين غَيبة الإمام و عدمه</w:t>
      </w:r>
      <w:bookmarkEnd w:id="84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فَرقٍ بين وُجودِه غائباً لا يَصِلُ إليه أحَدٌ و لا يَنتَفِعُ به بَشَرٌ، و بَينَ عدمِه‌؟ و ألّا جازَ إعدامُه إلىٰ حينِ عِلمِ اللّٰهِ سُبحانَه بتَمكينِ الرعيّةِ له، كما جازَ أن </w:t>
      </w:r>
    </w:p>
    <w:p>
      <w:pPr>
        <w:pStyle w:val="BookText"/>
        <w:rPr/>
      </w:pPr>
      <w:r>
        <w:rPr>
          <w:rFonts w:ascii="Amiri" w:hAnsi="Amiri" w:eastAsia="Amiri" w:cs="Amiri"/>
          <w:color w:val="111111"/>
          <w:sz w:val="28"/>
          <w:sz w:val="28"/>
          <w:szCs w:val="28"/>
          <w:rtl w:val="true"/>
          <w:lang w:bidi="ar-SA"/>
        </w:rPr>
        <w:t>يُبيحَه</w:t>
      </w:r>
      <w:r>
        <w:rPr>
          <w:rStyle w:val="FootnoteAnchor"/>
          <w:rtl w:val="true"/>
        </w:rPr>
        <w:footnoteReference w:id="1725"/>
      </w:r>
      <w:r>
        <w:rPr>
          <w:rFonts w:ascii="Amiri" w:hAnsi="Amiri" w:eastAsia="Amiri" w:cs="Amiri"/>
          <w:color w:val="111111"/>
          <w:sz w:val="28"/>
          <w:sz w:val="28"/>
          <w:szCs w:val="28"/>
          <w:rtl w:val="true"/>
          <w:lang w:bidi="ar-SA"/>
        </w:rPr>
        <w:t>الِاستتارَ حتّىٰ يَعلَمَ منهم</w:t>
      </w:r>
      <w:r>
        <w:rPr>
          <w:rStyle w:val="FootnoteAnchor"/>
          <w:rtl w:val="true"/>
        </w:rPr>
        <w:footnoteReference w:id="1726"/>
      </w:r>
      <w:r>
        <w:rPr>
          <w:rFonts w:ascii="Amiri" w:hAnsi="Amiri" w:eastAsia="Amiri" w:cs="Amiri"/>
          <w:color w:val="111111"/>
          <w:sz w:val="28"/>
          <w:sz w:val="28"/>
          <w:szCs w:val="28"/>
          <w:rtl w:val="true"/>
          <w:lang w:bidi="ar-SA"/>
        </w:rPr>
        <w:t>التمكينَ له فيَظهَرَ؟</w:t>
      </w:r>
    </w:p>
    <w:p>
      <w:pPr>
        <w:pStyle w:val="BookText"/>
        <w:rPr/>
      </w:pPr>
      <w:r>
        <w:rPr>
          <w:rFonts w:ascii="Amiri" w:hAnsi="Amiri" w:eastAsia="Amiri" w:cs="Amiri"/>
          <w:color w:val="111111"/>
          <w:sz w:val="28"/>
          <w:sz w:val="28"/>
          <w:szCs w:val="28"/>
          <w:rtl w:val="true"/>
          <w:lang w:bidi="ar-SA"/>
        </w:rPr>
        <w:t>قيلَ له</w:t>
      </w:r>
      <w:r>
        <w:rPr>
          <w:rStyle w:val="FootnoteAnchor"/>
          <w:rtl w:val="true"/>
        </w:rPr>
        <w:footnoteReference w:id="1727"/>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نُجوِّزُ أن يَصِلَ إليه كَثيرٌ مِن أوليائه و القائلينَ بإمامتِه فيَنتَفِعونَ به، و مَن لا يَصِلُ إليه منهم و لا يَلقاه مِن شيعتِه و مُعتَقِدي إمامتِه فهُم يَنتَفِعونَ به في حالِ الغَيبةِ النفعَ الذي نَقولُ إنّه لا بُدَّ في التكليفِ منه؛ لأنّهم مع عِلمِهم بوُجودِه بَينَهم و قَطعِهم علىٰ وجوبِ طاعتِه عليهم و لُزومِها لهم لا بُدّ مِن أن يَخافوه و يَهابوه</w:t>
      </w:r>
      <w:r>
        <w:rPr>
          <w:rStyle w:val="FootnoteAnchor"/>
          <w:rtl w:val="true"/>
        </w:rPr>
        <w:footnoteReference w:id="1728"/>
      </w:r>
      <w:r>
        <w:rPr>
          <w:rFonts w:ascii="Amiri" w:hAnsi="Amiri" w:eastAsia="Amiri" w:cs="Amiri"/>
          <w:color w:val="111111"/>
          <w:sz w:val="28"/>
          <w:sz w:val="28"/>
          <w:szCs w:val="28"/>
          <w:rtl w:val="true"/>
          <w:lang w:bidi="ar-SA"/>
        </w:rPr>
        <w:t>في ارتكابِ القَبائحِ‌، و يَخشَوا تأديبَه و مؤاخَذَتَه، فيَقِلَّ منهم فِعلُ القَبيحِ و يَكثُرَ فِعلُ الحَسَنِ‌، أو يَكونَ ذلكَ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جهةُ الحاجةِ العقليّةِ إلَى الإمامِ‌، فهو و إن لَم يَظهَرْ لأعدائه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لخَوفِه منهم، و سَدِّهم علىٰ أنفُسِهم طُرُقَ 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بيّنّا في هذا الكلامِ الانتفاعَ به لأوليائه علَى الوجهَينِ المذكورَينِ‌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وجودِ الإمامِ غائباً</w:t>
      </w:r>
      <w:r>
        <w:rPr>
          <w:rStyle w:val="FootnoteAnchor"/>
          <w:rtl w:val="true"/>
        </w:rPr>
        <w:footnoteReference w:id="1729"/>
      </w:r>
      <w:r>
        <w:rPr>
          <w:rFonts w:ascii="Amiri" w:hAnsi="Amiri" w:eastAsia="Amiri" w:cs="Amiri"/>
          <w:color w:val="111111"/>
          <w:sz w:val="28"/>
          <w:sz w:val="28"/>
          <w:szCs w:val="28"/>
          <w:rtl w:val="true"/>
          <w:lang w:bidi="ar-SA"/>
        </w:rPr>
        <w:t xml:space="preserve">مِن أجلِ الخَوفِ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يَتوقَّعُ في هذه الحالةِ أن يُمكِّنوه فيَظهَرَ و يَقومَ بما فُوِّضَ‌</w:t>
      </w:r>
      <w:r>
        <w:rPr>
          <w:rStyle w:val="FootnoteAnchor"/>
          <w:rtl w:val="true"/>
        </w:rPr>
        <w:footnoteReference w:id="1730"/>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عدمِه جَليٌّ واضحٌ‌؛ لأنّه إذا كانَ معدوماً كانَ ما</w:t>
      </w:r>
      <w:r>
        <w:rPr>
          <w:rStyle w:val="FootnoteAnchor"/>
          <w:rtl w:val="true"/>
        </w:rPr>
        <w:footnoteReference w:id="1731"/>
      </w:r>
      <w:r>
        <w:rPr>
          <w:rFonts w:ascii="Amiri" w:hAnsi="Amiri" w:eastAsia="Amiri" w:cs="Amiri"/>
          <w:color w:val="111111"/>
          <w:sz w:val="28"/>
          <w:sz w:val="28"/>
          <w:szCs w:val="28"/>
          <w:rtl w:val="true"/>
          <w:lang w:bidi="ar-SA"/>
        </w:rPr>
        <w:t>يَفوتُ العبادَ مِن مَصالِحِهم و يُعدَمونَه مِن مَراشِدِهم و يُحرَمونَه مِن لُطفِهم منسوباً إلَى اللّٰهِ سُبحانَه، لا حُجّةَ فيه علَى العبادِ و لا لَومَ لهم</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موجوداً مُستَتِراً بإخافتِهم إيّاه كانَ ما يَفوتُهم مِن المَصالحِ‌ </w:t>
      </w:r>
      <w:bookmarkStart w:id="843" w:name="pg16425_221923"/>
    </w:p>
    <w:p>
      <w:pPr>
        <w:pStyle w:val="BookText"/>
        <w:rPr/>
      </w:pPr>
      <w:bookmarkEnd w:id="843"/>
      <w:r>
        <w:rPr>
          <w:rFonts w:ascii="Amiri" w:hAnsi="Amiri" w:eastAsia="Amiri" w:cs="Amiri"/>
          <w:color w:val="111111"/>
          <w:sz w:val="28"/>
          <w:sz w:val="28"/>
          <w:szCs w:val="28"/>
          <w:rtl w:val="true"/>
          <w:lang w:bidi="ar-SA"/>
        </w:rPr>
        <w:t>و يَرتَفِعُ عنهم مِن المَنافعِ منسوباً إليهم، و هُم المَلومونَ‌</w:t>
      </w:r>
      <w:r>
        <w:rPr>
          <w:rStyle w:val="FootnoteAnchor"/>
          <w:rtl w:val="true"/>
        </w:rPr>
        <w:footnoteReference w:id="1733"/>
      </w:r>
      <w:r>
        <w:rPr>
          <w:rFonts w:ascii="Amiri" w:hAnsi="Amiri" w:eastAsia="Amiri" w:cs="Amiri"/>
          <w:color w:val="111111"/>
          <w:sz w:val="28"/>
          <w:sz w:val="28"/>
          <w:szCs w:val="28"/>
          <w:rtl w:val="true"/>
          <w:lang w:bidi="ar-SA"/>
        </w:rPr>
        <w:t>عليه المؤاخَذونَ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يَنعَكِسُ عليهم في استتارِ النبيِّ صَلَّى اللّٰهُ عليه و آلِه؛ فأيُّ شَيءٍ قالوه فيه أجَبناهم بمِثلِه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4" w:name="__RefHeading___Toc7830455_1280447820"/>
      <w:bookmarkStart w:id="845" w:name="_Toc276"/>
      <w:bookmarkEnd w:id="844"/>
      <w:r>
        <w:rPr>
          <w:rtl w:val="true"/>
        </w:rPr>
        <w:t>بيان حال الحدود في عصر الغيبة</w:t>
      </w:r>
      <w:bookmarkEnd w:id="845"/>
    </w:p>
    <w:p>
      <w:pPr>
        <w:pStyle w:val="BookText"/>
        <w:rPr/>
      </w:pPr>
      <w:r>
        <w:rPr>
          <w:rFonts w:ascii="Amiri" w:hAnsi="Amiri" w:eastAsia="Amiri" w:cs="Amiri"/>
          <w:color w:val="111111"/>
          <w:sz w:val="28"/>
          <w:sz w:val="28"/>
          <w:szCs w:val="28"/>
          <w:rtl w:val="true"/>
          <w:lang w:bidi="ar-SA"/>
        </w:rPr>
        <w:t>و القولُ في الحدودِ</w:t>
      </w:r>
      <w:r>
        <w:rPr>
          <w:rStyle w:val="FootnoteAnchor"/>
          <w:rtl w:val="true"/>
        </w:rPr>
        <w:footnoteReference w:id="1734"/>
      </w:r>
      <w:r>
        <w:rPr>
          <w:rFonts w:ascii="Amiri" w:hAnsi="Amiri" w:eastAsia="Amiri" w:cs="Amiri"/>
          <w:color w:val="111111"/>
          <w:sz w:val="28"/>
          <w:sz w:val="28"/>
          <w:szCs w:val="28"/>
          <w:rtl w:val="true"/>
          <w:lang w:bidi="ar-SA"/>
        </w:rPr>
        <w:t>في حالِ الغَيبةِ ظاهرٌ، و هو أنّها في جُنوبِ‌</w:t>
      </w:r>
      <w:r>
        <w:rPr>
          <w:rStyle w:val="FootnoteAnchor"/>
          <w:rtl w:val="true"/>
        </w:rPr>
        <w:footnoteReference w:id="1735"/>
      </w:r>
      <w:r>
        <w:rPr>
          <w:rFonts w:ascii="Amiri" w:hAnsi="Amiri" w:eastAsia="Amiri" w:cs="Amiri"/>
          <w:color w:val="111111"/>
          <w:sz w:val="28"/>
          <w:sz w:val="28"/>
          <w:szCs w:val="28"/>
          <w:rtl w:val="true"/>
          <w:lang w:bidi="ar-SA"/>
        </w:rPr>
        <w:t>فاعِليها</w:t>
      </w:r>
      <w:r>
        <w:rPr>
          <w:rStyle w:val="FootnoteAnchor"/>
          <w:rtl w:val="true"/>
        </w:rPr>
        <w:footnoteReference w:id="1736"/>
      </w:r>
      <w:r>
        <w:rPr>
          <w:rFonts w:ascii="Amiri" w:hAnsi="Amiri" w:eastAsia="Amiri" w:cs="Amiri"/>
          <w:color w:val="111111"/>
          <w:sz w:val="28"/>
          <w:sz w:val="28"/>
          <w:szCs w:val="28"/>
          <w:rtl w:val="true"/>
          <w:lang w:bidi="ar-SA"/>
        </w:rPr>
        <w:t>و جُناتِها</w:t>
      </w:r>
      <w:r>
        <w:rPr>
          <w:rStyle w:val="FootnoteAnchor"/>
          <w:rtl w:val="true"/>
        </w:rPr>
        <w:footnoteReference w:id="1737"/>
      </w:r>
      <w:r>
        <w:rPr>
          <w:rFonts w:ascii="Amiri" w:hAnsi="Amiri" w:eastAsia="Amiri" w:cs="Amiri"/>
          <w:color w:val="111111"/>
          <w:sz w:val="28"/>
          <w:sz w:val="28"/>
          <w:szCs w:val="28"/>
          <w:rtl w:val="true"/>
          <w:lang w:bidi="ar-SA"/>
        </w:rPr>
        <w:t>فإن ظَهَرَ الإمامُ و المُستَحِقُّ للحدودِ باقٍ‌، و هي ثابتةٌ عليه</w:t>
      </w:r>
      <w:r>
        <w:rPr>
          <w:rStyle w:val="FootnoteAnchor"/>
          <w:rtl w:val="true"/>
        </w:rPr>
        <w:footnoteReference w:id="1738"/>
      </w:r>
      <w:r>
        <w:rPr>
          <w:rFonts w:ascii="Amiri" w:hAnsi="Amiri" w:eastAsia="Amiri" w:cs="Amiri"/>
          <w:color w:val="111111"/>
          <w:sz w:val="28"/>
          <w:sz w:val="28"/>
          <w:szCs w:val="28"/>
          <w:rtl w:val="true"/>
          <w:lang w:bidi="ar-SA"/>
        </w:rPr>
        <w:t>بالبيِّنةِ أو الإقرارِ</w:t>
      </w:r>
      <w:r>
        <w:rPr>
          <w:rStyle w:val="FootnoteAnchor"/>
          <w:rtl w:val="true"/>
        </w:rPr>
        <w:footnoteReference w:id="1739"/>
      </w:r>
      <w:r>
        <w:rPr>
          <w:rFonts w:ascii="Amiri" w:hAnsi="Amiri" w:eastAsia="Amiri" w:cs="Amiri"/>
          <w:color w:val="111111"/>
          <w:sz w:val="28"/>
          <w:sz w:val="28"/>
          <w:szCs w:val="28"/>
          <w:rtl w:val="true"/>
          <w:lang w:bidi="ar-SA"/>
        </w:rPr>
        <w:t>، استَوفاها منه؛ و إن فاتَ ذلكَ بمَوتِه، كانَ الإثمُ علىٰ مَن أخافَ الإمامَ و ألجَأَه</w:t>
      </w:r>
      <w:r>
        <w:rPr>
          <w:rStyle w:val="FootnoteAnchor"/>
          <w:rtl w:val="true"/>
        </w:rPr>
        <w:footnoteReference w:id="1740"/>
      </w:r>
      <w:r>
        <w:rPr>
          <w:rFonts w:ascii="Amiri" w:hAnsi="Amiri" w:eastAsia="Amiri" w:cs="Amiri"/>
          <w:color w:val="111111"/>
          <w:sz w:val="28"/>
          <w:sz w:val="28"/>
          <w:szCs w:val="28"/>
          <w:rtl w:val="true"/>
          <w:lang w:bidi="ar-SA"/>
        </w:rPr>
        <w:t>إلَى الغَيبةِ‌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1741"/>
      </w:r>
      <w:r>
        <w:rPr>
          <w:rFonts w:ascii="Amiri" w:hAnsi="Amiri" w:eastAsia="Amiri" w:cs="Amiri"/>
          <w:color w:val="111111"/>
          <w:sz w:val="28"/>
          <w:sz w:val="28"/>
          <w:szCs w:val="28"/>
          <w:rtl w:val="true"/>
          <w:lang w:bidi="ar-SA"/>
        </w:rPr>
        <w:t>بنَسخِ الشريعةِ في إقامةِ الحدودِ</w:t>
      </w:r>
      <w:r>
        <w:rPr>
          <w:rStyle w:val="FootnoteAnchor"/>
          <w:rtl w:val="true"/>
        </w:rPr>
        <w:footnoteReference w:id="1742"/>
      </w:r>
      <w:r>
        <w:rPr>
          <w:rFonts w:ascii="Amiri" w:hAnsi="Amiri" w:eastAsia="Amiri" w:cs="Amiri"/>
          <w:color w:val="111111"/>
          <w:sz w:val="28"/>
          <w:sz w:val="28"/>
          <w:szCs w:val="28"/>
          <w:rtl w:val="true"/>
          <w:lang w:bidi="ar-SA"/>
        </w:rPr>
        <w:t>لأنّه إنّما يَكونُ‌</w:t>
      </w:r>
      <w:r>
        <w:rPr>
          <w:rStyle w:val="FootnoteAnchor"/>
          <w:rtl w:val="true"/>
        </w:rPr>
        <w:footnoteReference w:id="1743"/>
      </w:r>
      <w:r>
        <w:rPr>
          <w:rFonts w:ascii="Amiri" w:hAnsi="Amiri" w:eastAsia="Amiri" w:cs="Amiri"/>
          <w:color w:val="111111"/>
          <w:sz w:val="28"/>
          <w:sz w:val="28"/>
          <w:szCs w:val="28"/>
          <w:rtl w:val="true"/>
          <w:lang w:bidi="ar-SA"/>
        </w:rPr>
        <w:t>نَسخاً</w:t>
      </w:r>
      <w:r>
        <w:rPr>
          <w:rStyle w:val="FootnoteAnchor"/>
          <w:rtl w:val="true"/>
        </w:rPr>
        <w:footnoteReference w:id="1744"/>
      </w:r>
      <w:r>
        <w:rPr>
          <w:rFonts w:ascii="Amiri" w:hAnsi="Amiri" w:eastAsia="Amiri" w:cs="Amiri"/>
          <w:color w:val="111111"/>
          <w:sz w:val="28"/>
          <w:sz w:val="28"/>
          <w:szCs w:val="28"/>
          <w:rtl w:val="true"/>
          <w:lang w:bidi="ar-SA"/>
        </w:rPr>
        <w:t>لَو سَقَطَ فَرضُ إقامتِها مع التمكينِ و زَوالِ الأسبابِ المانعةِ مِن إقامتِها، فأمّا</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و الحالُ‌</w:t>
      </w:r>
      <w:r>
        <w:rPr>
          <w:rStyle w:val="FootnoteAnchor"/>
          <w:rtl w:val="true"/>
        </w:rPr>
        <w:footnoteReference w:id="1746"/>
      </w:r>
      <w:r>
        <w:rPr>
          <w:rFonts w:ascii="Amiri" w:hAnsi="Amiri" w:eastAsia="Amiri" w:cs="Amiri"/>
          <w:color w:val="111111"/>
          <w:sz w:val="28"/>
          <w:sz w:val="28"/>
          <w:szCs w:val="28"/>
          <w:rtl w:val="true"/>
          <w:lang w:bidi="ar-SA"/>
        </w:rPr>
        <w:t>ما ذَكرناه</w:t>
      </w:r>
      <w:r>
        <w:rPr>
          <w:rStyle w:val="FootnoteAnchor"/>
          <w:rtl w:val="true"/>
        </w:rPr>
        <w:footnoteReference w:id="1747"/>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جُملةٌ مُقنِعةٌ في الكلامِ في</w:t>
      </w:r>
      <w:r>
        <w:rPr>
          <w:rStyle w:val="FootnoteAnchor"/>
          <w:rtl w:val="true"/>
        </w:rPr>
        <w:footnoteReference w:id="1748"/>
      </w:r>
      <w:r>
        <w:rPr>
          <w:rFonts w:ascii="Amiri" w:hAnsi="Amiri" w:eastAsia="Amiri" w:cs="Amiri"/>
          <w:color w:val="111111"/>
          <w:sz w:val="28"/>
          <w:sz w:val="28"/>
          <w:szCs w:val="28"/>
          <w:rtl w:val="true"/>
          <w:lang w:bidi="ar-SA"/>
        </w:rPr>
        <w:t>هذه المسألةِ‌، و اللّٰهُ المُستَعانُ‌</w:t>
      </w:r>
      <w:r>
        <w:rPr>
          <w:rStyle w:val="FootnoteAnchor"/>
          <w:rtl w:val="true"/>
        </w:rPr>
        <w:footnoteReference w:id="1749"/>
      </w:r>
      <w:r>
        <w:rPr>
          <w:rFonts w:ascii="Amiri" w:hAnsi="Amiri" w:eastAsia="Amiri" w:cs="Amiri"/>
          <w:color w:val="111111"/>
          <w:sz w:val="28"/>
          <w:sz w:val="28"/>
          <w:szCs w:val="28"/>
          <w:rtl w:val="true"/>
          <w:lang w:bidi="ar-SA"/>
        </w:rPr>
        <w:t>، و به التوفيقُ‌</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6" w:name="pg16425_221926"/>
      <w:bookmarkStart w:id="847" w:name="pg16425_221926"/>
      <w:bookmarkEnd w:id="847"/>
    </w:p>
    <w:p>
      <w:pPr>
        <w:pStyle w:val="Heading3"/>
        <w:numPr>
          <w:ilvl w:val="2"/>
          <w:numId w:val="1"/>
        </w:numPr>
        <w:rPr/>
      </w:pPr>
      <w:bookmarkStart w:id="848" w:name="pg16425_221926"/>
      <w:bookmarkStart w:id="849" w:name="__RefHeading___Toc7830457_1280447820"/>
      <w:bookmarkStart w:id="850" w:name="_Toc277"/>
      <w:bookmarkEnd w:id="848"/>
      <w:bookmarkEnd w:id="849"/>
      <w:r>
        <w:rPr>
          <w:rtl w:val="true"/>
        </w:rPr>
        <w:t>(</w:t>
      </w:r>
      <w:r>
        <w:rPr/>
        <w:t>70</w:t>
      </w:r>
      <w:r>
        <w:rPr>
          <w:rtl w:val="true"/>
        </w:rPr>
        <w:t xml:space="preserve">) </w:t>
      </w:r>
      <w:r>
        <w:rPr>
          <w:rtl w:val="true"/>
        </w:rPr>
        <w:t>فَصلٌ في الغَيبةِ‌</w:t>
      </w:r>
      <w:bookmarkEnd w:id="85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1" w:name="__RefHeading___Toc7830459_1280447820"/>
      <w:bookmarkStart w:id="852" w:name="_Toc278"/>
      <w:bookmarkEnd w:id="851"/>
      <w:r>
        <w:rPr>
          <w:rtl w:val="true"/>
        </w:rPr>
        <w:t>اشارة</w:t>
      </w:r>
      <w:bookmarkEnd w:id="85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3" w:name="pg16425_221928"/>
      <w:bookmarkStart w:id="854" w:name="pg16425_221928"/>
      <w:bookmarkEnd w:id="854"/>
    </w:p>
    <w:p>
      <w:pPr>
        <w:pStyle w:val="Heading4"/>
        <w:numPr>
          <w:ilvl w:val="3"/>
          <w:numId w:val="1"/>
        </w:numPr>
        <w:rPr/>
      </w:pPr>
      <w:bookmarkStart w:id="855" w:name="pg16425_221928"/>
      <w:bookmarkStart w:id="856" w:name="__RefHeading___Toc7830461_1280447820"/>
      <w:bookmarkStart w:id="857" w:name="_Toc279"/>
      <w:bookmarkEnd w:id="855"/>
      <w:bookmarkEnd w:id="856"/>
      <w:r>
        <w:rPr>
          <w:rtl w:val="true"/>
        </w:rPr>
        <w:t>مقدّمة التحقيق</w:t>
      </w:r>
      <w:bookmarkEnd w:id="857"/>
    </w:p>
    <w:p>
      <w:pPr>
        <w:pStyle w:val="Heading5"/>
        <w:numPr>
          <w:ilvl w:val="4"/>
          <w:numId w:val="1"/>
        </w:numPr>
        <w:rPr/>
      </w:pPr>
      <w:bookmarkStart w:id="858" w:name="__RefHeading___Toc7830463_1280447820"/>
      <w:bookmarkStart w:id="859" w:name="_Toc280"/>
      <w:bookmarkEnd w:id="858"/>
      <w:r>
        <w:rPr>
          <w:rtl w:val="true"/>
        </w:rPr>
        <w:t>اشارة</w:t>
      </w:r>
      <w:bookmarkEnd w:id="859"/>
    </w:p>
    <w:p>
      <w:pPr>
        <w:pStyle w:val="BookText"/>
        <w:rPr/>
      </w:pPr>
      <w:r>
        <w:rPr>
          <w:rFonts w:ascii="Amiri" w:hAnsi="Amiri" w:eastAsia="Amiri" w:cs="Amiri"/>
          <w:color w:val="111111"/>
          <w:sz w:val="28"/>
          <w:sz w:val="28"/>
          <w:szCs w:val="28"/>
          <w:rtl w:val="true"/>
          <w:lang w:bidi="ar-SA"/>
        </w:rPr>
        <w:t>بعد وقوع ظاهرة الغيبة و حصول الانقطاع بين الإمام و بين الإماميّة انهالت الإشكالات عليهم من قِبَل المخالفين، حيث عدّوا تلك الظاهرة دليلاً على بطلان القول بالإمامة، و ساووا بين غيبة الإمام و بين عدمه</w:t>
      </w:r>
      <w:r>
        <w:rPr>
          <w:rStyle w:val="FootnoteAnchor"/>
          <w:rtl w:val="true"/>
        </w:rPr>
        <w:footnoteReference w:id="1750"/>
      </w:r>
      <w:r>
        <w:rPr>
          <w:rFonts w:ascii="Amiri" w:hAnsi="Amiri" w:eastAsia="Amiri" w:cs="Amiri"/>
          <w:color w:val="111111"/>
          <w:sz w:val="28"/>
          <w:sz w:val="28"/>
          <w:szCs w:val="28"/>
          <w:rtl w:val="true"/>
          <w:lang w:bidi="ar-SA"/>
        </w:rPr>
        <w:t>، ناسين بذلك غيبات الأنبياء عليهم السلامُ التي طال بعضها</w:t>
      </w:r>
      <w:r>
        <w:rPr>
          <w:rStyle w:val="FootnoteAnchor"/>
          <w:rtl w:val="true"/>
        </w:rPr>
        <w:footnoteReference w:id="1751"/>
      </w:r>
      <w:r>
        <w:rPr>
          <w:rFonts w:ascii="Amiri" w:hAnsi="Amiri" w:eastAsia="Amiri" w:cs="Amiri"/>
          <w:color w:val="111111"/>
          <w:sz w:val="28"/>
          <w:sz w:val="28"/>
          <w:szCs w:val="28"/>
          <w:rtl w:val="true"/>
          <w:lang w:bidi="ar-SA"/>
        </w:rPr>
        <w:t>، و مستبعدين ذلك على قدرة اللّٰه تعالى، إلّاأنّ الإماميّة أخذوا على عاتقهم الدفاع عن عقيدتهم، و صاروا يبحثون و يبيّنون المبرّرات و الأسباب التي دعت الإمام إلى الغيبة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وصلت النوبة إلى الشريف المرتضى، فتصدّى للدفاع عن معتقدات الإماميّة، و منها الغيبة، و قام بإبداع دليل جديد للدفاع عن عقيدة الغيبة، فذهب إلى أنّه لا ضرورة للبحث عن مبرّرات الغيبة و عللها و أسبابها؛ و ذلك لأنّه قد ثبت بالدليل وجوب الإمامة في كلّ عصر، و أنّ الإمام معصومٌ‌، و لا يجوز عليه فعلُ القبيح، فلو غاب و استتر عَلِمنا أنّ لغيبته مبرّراً و سبباً معيّناً، و أنّ غيبته هذه حسنة و ليست قبيحة، بل لها أسبابها و مبرّراتها و إن لم نعلمها على نحو الدقّة، و بذلك سوف يكون البحث عن أسباب الغيبة أمراً زائداً، و لا حاجة إليه إلّااستظهاراً على المخالفين، و إتماماً للحجّة، و هذا كلّه يدلّ على أهمّية بحث العصمة في موضوع الإمامة، و </w:t>
      </w:r>
    </w:p>
    <w:p>
      <w:pPr>
        <w:pStyle w:val="BookText"/>
        <w:rPr/>
      </w:pPr>
      <w:r>
        <w:rPr>
          <w:rFonts w:ascii="Amiri" w:hAnsi="Amiri" w:eastAsia="Amiri" w:cs="Amiri"/>
          <w:color w:val="111111"/>
          <w:sz w:val="28"/>
          <w:sz w:val="28"/>
          <w:szCs w:val="28"/>
          <w:rtl w:val="true"/>
          <w:lang w:bidi="ar-SA"/>
        </w:rPr>
        <w:t>ضرورة الاهتمام به، و الاشتغال بإثباته و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الشريف المرتضى في المقنع و زيادتِه هذه الفكرة بعينها، أي فكرة الاستغناء بعصمة الإمام عن البحث عن أسباب الغيبة و دواعيها</w:t>
      </w:r>
      <w:r>
        <w:rPr>
          <w:rStyle w:val="FootnoteAnchor"/>
          <w:rtl w:val="true"/>
        </w:rPr>
        <w:footnoteReference w:id="1752"/>
      </w:r>
      <w:r>
        <w:rPr>
          <w:rFonts w:ascii="Amiri" w:hAnsi="Amiri" w:eastAsia="Amiri" w:cs="Amiri"/>
          <w:color w:val="111111"/>
          <w:sz w:val="28"/>
          <w:sz w:val="28"/>
          <w:szCs w:val="28"/>
          <w:rtl w:val="true"/>
          <w:lang w:bidi="ar-SA"/>
        </w:rPr>
        <w:t>، و أشار في زيادة المقنع إلى أنّ هذه الفكرة لم يُسبق إليها،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استأنفنا في المقنع طريقة غريبة لم نُسبَق إليها، و دللنا على أنّه لا يجب علينا بيان السبب في غيبته على التعيين، بل يكفي في العلم بحُسن الغيبة منه عِلمُنا بعصمته، و أنّه ممّن لا يَفعل قبيحاً، و لا يَترك واجباً</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يتعرّض في الرسالة محلّ البحث إلى سبب الغيبة؛ لكنّه أشار إليه في مواضع أُخرى من كتبه، نذكره هنا للفائدة، و هو أنّ سبب الغيبة إخافة الظالمين للإمام عليه السلامُ‌، و منعه من التصرّف فيما جُعل إليه التصرّف فيه، و عدم تمكينه منه</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أُخرى، أشار في هذه الرسالة إلى إشكال آخر، و هو أنّه إذا كان الإمام لطفاً في فعل الواجبات و ترك القبائح، فإنّ غيبته سوف تنقض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بأنّه لا يمتنع أن يكون هذا اللطف في أثناء غيبته أقوى من حضوره، و ذلك لأنّ أولياء الإمام عليه السلامُ على الرغم من أنّهم لا يَعرفون مكانه و لا شخصه، لكنّهم يعلمون أنّه موجود معهم، و لا يشكّون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 من جهة أُخرى أنّهم يجوّزون في مَن يشاهدونه أن يكون هو الإمام عليه السلامُ‌، فلا يأمنون حينئذ من أنّهم إذا فعلوا القبائح أن يقوم بتأديبهم، و لذلك سوف يبتعدون عن القبائح، و يقتربون إلى فعل الواجبات، و هو اللطف</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في نهاية كلامه أنّ هذا الجواب ليس لأحد من الأصحاب، بمعنى أنّه من </w:t>
      </w:r>
      <w:bookmarkStart w:id="860" w:name="pg16425_221930"/>
    </w:p>
    <w:p>
      <w:pPr>
        <w:pStyle w:val="BookText"/>
        <w:rPr/>
      </w:pPr>
      <w:bookmarkEnd w:id="860"/>
      <w:r>
        <w:rPr>
          <w:rFonts w:ascii="Amiri" w:hAnsi="Amiri" w:eastAsia="Amiri" w:cs="Amiri"/>
          <w:color w:val="111111"/>
          <w:sz w:val="28"/>
          <w:sz w:val="28"/>
          <w:szCs w:val="28"/>
          <w:rtl w:val="true"/>
          <w:lang w:bidi="ar-SA"/>
        </w:rPr>
        <w:t>إ بداعاته، كما أنّه ذكر هذا الجواب أيضاً في زيادة المقنع</w:t>
      </w:r>
      <w:r>
        <w:rPr>
          <w:rStyle w:val="FootnoteAnchor"/>
          <w:rtl w:val="true"/>
        </w:rPr>
        <w:footnoteReference w:id="175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خطر ببالنا الآن ما لابدّ من ذكره ليُعرف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6"/>
      </w:r>
      <w:r>
        <w:rPr>
          <w:rFonts w:ascii="Amiri" w:hAnsi="Amiri" w:eastAsia="Amiri" w:cs="Amiri"/>
          <w:color w:val="111111"/>
          <w:sz w:val="28"/>
          <w:sz w:val="28"/>
          <w:szCs w:val="28"/>
          <w:rtl w:val="true"/>
          <w:lang w:bidi="ar-SA"/>
        </w:rPr>
        <w:t>و هذا يعني أيضاً أنّ الجواب من إبداعاته، و هو يدلّ على تصحيح نسبة الرسالة محلّ البحث إليه؛ فإنّه قد ذكر فيها جواباً نعلم من خلال كتبه المعلومة النسبة إليه أنّه من إبداعاته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7830465_1280447820"/>
      <w:bookmarkStart w:id="862" w:name="_Toc281"/>
      <w:bookmarkEnd w:id="861"/>
      <w:r>
        <w:rPr>
          <w:rtl w:val="true"/>
        </w:rPr>
        <w:t>مخطوطات الرسالة</w:t>
      </w:r>
      <w:bookmarkEnd w:id="8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3" w:name="pg16425_221932"/>
      <w:bookmarkStart w:id="864" w:name="pg16425_221932"/>
      <w:bookmarkEnd w:id="864"/>
    </w:p>
    <w:p>
      <w:pPr>
        <w:pStyle w:val="Heading4"/>
        <w:numPr>
          <w:ilvl w:val="3"/>
          <w:numId w:val="1"/>
        </w:numPr>
        <w:rPr/>
      </w:pPr>
      <w:bookmarkStart w:id="865" w:name="pg16425_221932"/>
      <w:bookmarkStart w:id="866" w:name="__RefHeading___Toc7830467_1280447820"/>
      <w:bookmarkStart w:id="867" w:name="_Toc282"/>
      <w:bookmarkEnd w:id="865"/>
      <w:bookmarkEnd w:id="866"/>
      <w:r>
        <w:rPr>
          <w:rtl w:val="true"/>
        </w:rPr>
        <w:t>فَصلٌ في الغَيبةِ‌</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قَبِلتم</w:t>
      </w:r>
      <w:r>
        <w:rPr>
          <w:rStyle w:val="FootnoteAnchor"/>
          <w:rtl w:val="true"/>
        </w:rPr>
        <w:footnoteReference w:id="1757"/>
      </w:r>
      <w:r>
        <w:rPr>
          <w:rFonts w:ascii="Amiri" w:hAnsi="Amiri" w:eastAsia="Amiri" w:cs="Amiri"/>
          <w:color w:val="111111"/>
          <w:sz w:val="28"/>
          <w:sz w:val="28"/>
          <w:szCs w:val="28"/>
          <w:rtl w:val="true"/>
          <w:lang w:bidi="ar-SA"/>
        </w:rPr>
        <w:t>أنّ الإمامَ موجودٌ، و أنّه يَظهَرُ و يَفعَلُ و يَصنَعُ‌، فأيُّ شَيءٍ يَمنَعُ مِن ظهورِه‌؟ بيِّنوا ما الموجِبُ لِاستتارِه و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 أنّ مِن صفتِه أن يَكونَ معصوماً لا يَجوزُ أن يَقَعَ منه الفعلُ القَبيحُ‌؛ و إذا كانَ كذلكَ‌، و قد بيّنّا أنّ الإمامَ يَجِبُ كَونُه موجوداً، و الآنَ ما بَقيَ إلّا</w:t>
      </w:r>
      <w:r>
        <w:rPr>
          <w:rStyle w:val="FootnoteAnchor"/>
          <w:rtl w:val="true"/>
        </w:rPr>
        <w:footnoteReference w:id="1758"/>
      </w:r>
      <w:r>
        <w:rPr>
          <w:rFonts w:ascii="Amiri" w:hAnsi="Amiri" w:eastAsia="Amiri" w:cs="Amiri"/>
          <w:color w:val="111111"/>
          <w:sz w:val="28"/>
          <w:sz w:val="28"/>
          <w:szCs w:val="28"/>
          <w:rtl w:val="true"/>
          <w:lang w:bidi="ar-SA"/>
        </w:rPr>
        <w:t>ظهورُه و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عِصمتُه ثُمّ استَتَرَ و لَم يَظهَرْ، وَجَبَ أن يَكونَ ذلكَ لعُذرٍ؛ لأنّ القَبيحَ لا يَجوزُ وقوعُه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يَجِبُ علينا بيانُ ذلكَ العُذرِ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Style w:val="FootnoteAnchor"/>
          <w:rtl w:val="true"/>
        </w:rPr>
        <w:footnoteReference w:id="1759"/>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مِثلُ 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لمُخالِفينا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المُلحِدةُ حينَ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الحِكمةُ في رَميِ الحِجارةِ و الهَروَلةِ و استلامِ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يَسألونَ عنه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لَسنا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صانعَ العالَمِ قد ثَبَتَت حِكمتُه بالدليلِ الباهرِ القاهرِ؛ و مع </w:t>
      </w:r>
    </w:p>
    <w:p>
      <w:pPr>
        <w:pStyle w:val="BookText"/>
        <w:rPr/>
      </w:pPr>
      <w:r>
        <w:rPr>
          <w:rFonts w:ascii="Amiri" w:hAnsi="Amiri" w:eastAsia="Amiri" w:cs="Amiri"/>
          <w:color w:val="111111"/>
          <w:sz w:val="28"/>
          <w:sz w:val="28"/>
          <w:szCs w:val="28"/>
          <w:rtl w:val="true"/>
          <w:lang w:bidi="ar-SA"/>
        </w:rPr>
        <w:t>حِكمتِه إذا أُمِرنا بمِثلِ هذه الأشياءِ‌، عَلِمنا أنّ الحِكمةَ أَوجَبَت ذلكَ الأمرَ؟</w:t>
      </w:r>
    </w:p>
    <w:p>
      <w:pPr>
        <w:pStyle w:val="BookText"/>
        <w:rPr/>
      </w:pPr>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الأمرُ؟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علينا بيانُه؛ مِن حَيثُ عَلِمنا أنّ القَبيحَ لا يَحصُلُ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الطريقانِ واحدٌ علىٰ ما تَرىٰ‌؛ و هذا هو سَدُّ البابِ علىٰ مُخالِفينا، و قَطعُ التطويلاتِ عنهم و الإسهاباتِ‌</w:t>
      </w:r>
      <w:r>
        <w:rPr>
          <w:rStyle w:val="FootnoteAnchor"/>
          <w:rtl w:val="true"/>
        </w:rPr>
        <w:footnoteReference w:id="1760"/>
      </w:r>
      <w:r>
        <w:rPr>
          <w:rFonts w:ascii="Amiri" w:hAnsi="Amiri" w:eastAsia="Amiri" w:cs="Amiri"/>
          <w:color w:val="111111"/>
          <w:sz w:val="28"/>
          <w:sz w:val="28"/>
          <w:szCs w:val="28"/>
          <w:rtl w:val="true"/>
          <w:lang w:bidi="ar-SA"/>
        </w:rPr>
        <w:t>، و بهذا يَنبَغي</w:t>
      </w:r>
      <w:r>
        <w:rPr>
          <w:rStyle w:val="FootnoteAnchor"/>
          <w:rtl w:val="true"/>
        </w:rPr>
        <w:footnoteReference w:id="1761"/>
      </w:r>
      <w:r>
        <w:rPr>
          <w:rFonts w:ascii="Amiri" w:hAnsi="Amiri" w:eastAsia="Amiri" w:cs="Amiri"/>
          <w:color w:val="111111"/>
          <w:sz w:val="28"/>
          <w:sz w:val="28"/>
          <w:szCs w:val="28"/>
          <w:rtl w:val="true"/>
          <w:lang w:bidi="ar-SA"/>
        </w:rPr>
        <w:t>أن يُستَعمَلَ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 الإمامِ إذا كانَ لُطفاً للمُكلَّفينَ في فعلِ الواجباتِ و تَجنُّبِ المُقبَّحاتِ‌، فإنّ استتارَه و غَيبتَه يَنقُضانِ هذا البِناءَ‌، و يُبطِلانِ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أن يَقَعَ هذا اللطفُ مع غَيبتِه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لأنّ المُكلَّفَ إذا لَم يَعلَمْ مكانَه، و لَم يَقِفْ علىٰ‌</w:t>
      </w:r>
      <w:r>
        <w:rPr>
          <w:rStyle w:val="FootnoteAnchor"/>
          <w:rtl w:val="true"/>
        </w:rPr>
        <w:footnoteReference w:id="1762"/>
      </w:r>
      <w:r>
        <w:rPr>
          <w:rFonts w:ascii="Amiri" w:hAnsi="Amiri" w:eastAsia="Amiri" w:cs="Amiri"/>
          <w:color w:val="111111"/>
          <w:sz w:val="28"/>
          <w:sz w:val="28"/>
          <w:szCs w:val="28"/>
          <w:rtl w:val="true"/>
          <w:lang w:bidi="ar-SA"/>
        </w:rPr>
        <w:t>مَوضِعِه، و يُجوِّزُ فيمن لا يَعرِفُه أنّه</w:t>
      </w:r>
      <w:r>
        <w:rPr>
          <w:rStyle w:val="FootnoteAnchor"/>
          <w:rtl w:val="true"/>
        </w:rPr>
        <w:footnoteReference w:id="1763"/>
      </w:r>
      <w:r>
        <w:rPr>
          <w:rFonts w:ascii="Amiri" w:hAnsi="Amiri" w:eastAsia="Amiri" w:cs="Amiri"/>
          <w:color w:val="111111"/>
          <w:sz w:val="28"/>
          <w:sz w:val="28"/>
          <w:szCs w:val="28"/>
          <w:rtl w:val="true"/>
          <w:lang w:bidi="ar-SA"/>
        </w:rPr>
        <w:t>الإمامُ‌، يَكونُ إلىٰ أن لا يَفعَلَ القَبيحَ و لا يُقصِّرَ في فعلِ الواجبِ أقرَبَ منه لَو عَرَفَه و لَم</w:t>
      </w:r>
      <w:r>
        <w:rPr>
          <w:rStyle w:val="FootnoteAnchor"/>
          <w:rtl w:val="true"/>
        </w:rPr>
        <w:footnoteReference w:id="1764"/>
      </w:r>
      <w:r>
        <w:rPr>
          <w:rFonts w:ascii="Amiri" w:hAnsi="Amiri" w:eastAsia="Amiri" w:cs="Amiri"/>
          <w:color w:val="111111"/>
          <w:sz w:val="28"/>
          <w:sz w:val="28"/>
          <w:szCs w:val="28"/>
          <w:rtl w:val="true"/>
          <w:lang w:bidi="ar-SA"/>
        </w:rPr>
        <w:t>يُجوِّزْ فيه كَونَه إماماً</w:t>
      </w:r>
      <w:r>
        <w:rPr>
          <w:rFonts w:eastAsia="Amiri" w:cs="Amiri" w:ascii="Amiri" w:hAnsi="Amiri"/>
          <w:color w:val="111111"/>
          <w:sz w:val="28"/>
          <w:szCs w:val="28"/>
          <w:rtl w:val="true"/>
          <w:lang w:bidi="ar-SA"/>
        </w:rPr>
        <w:t>.</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و هذا جوابٌ ظاهرٌ لَيسَ لأحَدٍ مِن أصحابِنا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العصمةُ في صِفاتِ الإمامِ من أكبَرِ الأُصولِ في الإمامةِ‌؛ إن ثَبَتَت</w:t>
      </w:r>
      <w:r>
        <w:rPr>
          <w:rStyle w:val="FootnoteAnchor"/>
          <w:rtl w:val="true"/>
        </w:rPr>
        <w:footnoteReference w:id="1766"/>
      </w:r>
      <w:r>
        <w:rPr>
          <w:rFonts w:ascii="Amiri" w:hAnsi="Amiri" w:eastAsia="Amiri" w:cs="Amiri"/>
          <w:color w:val="111111"/>
          <w:sz w:val="28"/>
          <w:sz w:val="28"/>
          <w:szCs w:val="28"/>
          <w:rtl w:val="true"/>
          <w:lang w:bidi="ar-SA"/>
        </w:rPr>
        <w:t>يَكفي كَثيراً مِن المؤَنِ‌، فالواجبُ أن يَكونَ الاشتغالُ بتصحيحِها أكثَرَ</w:t>
      </w:r>
      <w:r>
        <w:rPr>
          <w:rFonts w:eastAsia="Amiri" w:cs="Amiri" w:ascii="Amiri" w:hAnsi="Amiri"/>
          <w:color w:val="111111"/>
          <w:sz w:val="28"/>
          <w:szCs w:val="28"/>
          <w:rtl w:val="true"/>
          <w:lang w:bidi="ar-SA"/>
        </w:rPr>
        <w:t xml:space="preserve">. </w:t>
      </w:r>
      <w:bookmarkStart w:id="868" w:name="pg16425_221934"/>
    </w:p>
    <w:p>
      <w:pPr>
        <w:pStyle w:val="Heading3"/>
        <w:numPr>
          <w:ilvl w:val="2"/>
          <w:numId w:val="1"/>
        </w:numPr>
        <w:rPr/>
      </w:pPr>
      <w:bookmarkStart w:id="869" w:name="__RefHeading___Toc7830469_1280447820"/>
      <w:bookmarkStart w:id="870" w:name="_Toc283"/>
      <w:bookmarkEnd w:id="868"/>
      <w:bookmarkEnd w:id="869"/>
      <w:r>
        <w:rPr>
          <w:rtl w:val="true"/>
        </w:rPr>
        <w:t>(</w:t>
      </w:r>
      <w:r>
        <w:rPr/>
        <w:t>71</w:t>
      </w:r>
      <w:r>
        <w:rPr>
          <w:rtl w:val="true"/>
        </w:rPr>
        <w:t xml:space="preserve">) </w:t>
      </w:r>
      <w:r>
        <w:rPr>
          <w:rtl w:val="true"/>
        </w:rPr>
        <w:t>فَصلٌ في الإمامة بَعدَ القائمِ عليه السلام</w:t>
      </w:r>
      <w:bookmarkEnd w:id="87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1" w:name="__RefHeading___Toc7830471_1280447820"/>
      <w:bookmarkStart w:id="872" w:name="_Toc284"/>
      <w:bookmarkEnd w:id="871"/>
      <w:r>
        <w:rPr>
          <w:rtl w:val="true"/>
        </w:rPr>
        <w:t>اشارة</w:t>
      </w:r>
      <w:bookmarkEnd w:id="87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3" w:name="pg16425_221936"/>
      <w:bookmarkStart w:id="874" w:name="pg16425_221936"/>
      <w:bookmarkEnd w:id="874"/>
    </w:p>
    <w:p>
      <w:pPr>
        <w:pStyle w:val="Heading4"/>
        <w:numPr>
          <w:ilvl w:val="3"/>
          <w:numId w:val="1"/>
        </w:numPr>
        <w:rPr/>
      </w:pPr>
      <w:bookmarkStart w:id="875" w:name="pg16425_221936"/>
      <w:bookmarkStart w:id="876" w:name="__RefHeading___Toc7830473_1280447820"/>
      <w:bookmarkStart w:id="877" w:name="_Toc285"/>
      <w:bookmarkEnd w:id="875"/>
      <w:bookmarkEnd w:id="876"/>
      <w:r>
        <w:rPr>
          <w:rtl w:val="true"/>
        </w:rPr>
        <w:t>مقدّمة التحقيق</w:t>
      </w:r>
      <w:bookmarkEnd w:id="877"/>
    </w:p>
    <w:p>
      <w:pPr>
        <w:pStyle w:val="Heading5"/>
        <w:numPr>
          <w:ilvl w:val="4"/>
          <w:numId w:val="1"/>
        </w:numPr>
        <w:rPr/>
      </w:pPr>
      <w:bookmarkStart w:id="878" w:name="__RefHeading___Toc7830475_1280447820"/>
      <w:bookmarkStart w:id="879" w:name="_Toc286"/>
      <w:bookmarkEnd w:id="878"/>
      <w:r>
        <w:rPr>
          <w:rtl w:val="true"/>
        </w:rPr>
        <w:t>اشارة</w:t>
      </w:r>
      <w:bookmarkEnd w:id="879"/>
    </w:p>
    <w:p>
      <w:pPr>
        <w:pStyle w:val="BookText"/>
        <w:rPr/>
      </w:pPr>
      <w:r>
        <w:rPr>
          <w:rFonts w:ascii="Amiri" w:hAnsi="Amiri" w:eastAsia="Amiri" w:cs="Amiri"/>
          <w:color w:val="111111"/>
          <w:sz w:val="28"/>
          <w:sz w:val="28"/>
          <w:szCs w:val="28"/>
          <w:rtl w:val="true"/>
          <w:lang w:bidi="ar-SA"/>
        </w:rPr>
        <w:t xml:space="preserve">قد تؤدّي بعض النظريّات التي يؤمن بها المتكلّمون من مختلف الفرق إلى إثارة إشكالات ينبغي عليهم الإجابة عليها، كي يتمكّنوا من التمسّك بتلك النظريّات، و منها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خلوّ الزمان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نظريّة آمن الإماميّة بها، و بنوا عليها نظريّات مهمّة أُخرى، مثل إثبات إمامة الأئمّة الاثني عشر عليهم السلامُ‌</w:t>
      </w:r>
      <w:r>
        <w:rPr>
          <w:rStyle w:val="FootnoteAnchor"/>
          <w:rtl w:val="true"/>
        </w:rPr>
        <w:footnoteReference w:id="1767"/>
      </w:r>
      <w:r>
        <w:rPr>
          <w:rFonts w:ascii="Amiri" w:hAnsi="Amiri" w:eastAsia="Amiri" w:cs="Amiri"/>
          <w:color w:val="111111"/>
          <w:sz w:val="28"/>
          <w:sz w:val="28"/>
          <w:szCs w:val="28"/>
          <w:rtl w:val="true"/>
          <w:lang w:bidi="ar-SA"/>
        </w:rPr>
        <w:t>، و مثل حجّيّة إجماع أهل كلّ عصر؛ لدخول الإمام فيهم الذي لا يخلو منه زمان</w:t>
      </w:r>
      <w:r>
        <w:rPr>
          <w:rStyle w:val="FootnoteAnchor"/>
          <w:rtl w:val="true"/>
        </w:rPr>
        <w:footnoteReference w:id="1768"/>
      </w:r>
      <w:r>
        <w:rPr>
          <w:rFonts w:ascii="Amiri" w:hAnsi="Amiri" w:eastAsia="Amiri" w:cs="Amiri"/>
          <w:color w:val="111111"/>
          <w:sz w:val="28"/>
          <w:sz w:val="28"/>
          <w:szCs w:val="28"/>
          <w:rtl w:val="true"/>
          <w:lang w:bidi="ar-SA"/>
        </w:rPr>
        <w:t>إضافة إلى بعض المسائل المتعلّقة بالغيبة، مثل عدم الحاجة إلى معرفة أسباب الغيبة على التفصيل بعد ثبوت عصمة الإمام</w:t>
      </w:r>
      <w:r>
        <w:rPr>
          <w:rStyle w:val="FootnoteAnchor"/>
          <w:rtl w:val="true"/>
        </w:rPr>
        <w:footnoteReference w:id="1769"/>
      </w:r>
      <w:r>
        <w:rPr>
          <w:rFonts w:ascii="Amiri" w:hAnsi="Amiri" w:eastAsia="Amiri" w:cs="Amiri"/>
          <w:color w:val="111111"/>
          <w:sz w:val="28"/>
          <w:sz w:val="28"/>
          <w:szCs w:val="28"/>
          <w:rtl w:val="true"/>
          <w:lang w:bidi="ar-SA"/>
        </w:rPr>
        <w:t>، و الدليل على طول عمر صاحب الزمان عليه السلامُ‌</w:t>
      </w:r>
      <w:r>
        <w:rPr>
          <w:rStyle w:val="FootnoteAnchor"/>
          <w:rtl w:val="true"/>
        </w:rPr>
        <w:footnoteReference w:id="1770"/>
      </w:r>
      <w:r>
        <w:rPr>
          <w:rFonts w:ascii="Amiri" w:hAnsi="Amiri" w:eastAsia="Amiri" w:cs="Amiri"/>
          <w:color w:val="111111"/>
          <w:sz w:val="28"/>
          <w:sz w:val="28"/>
          <w:szCs w:val="28"/>
          <w:rtl w:val="true"/>
          <w:lang w:bidi="ar-SA"/>
        </w:rPr>
        <w:t>، و غير ذلك من الأبحاث و 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اشترط الإماميّة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خلوّ الزمان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ثبوت التكليف، و الآخر عدم عصمة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انقطع التكليف، أو صار الناس معصومين، انتفت الحاجة إلى الإمام في كلّ عصر</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الإشكال الذي وُجّه إلى هذه النظريّة في الرسالة محلّ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يخلُ الزمان من إمام كما تقولون، فهل هذا يشمل حالة ما بعد الإمام الثاني عشر عليه السلامُ أيضاً، أو لا؟ خاصّة و إنّه لا دليل على انقطاع التكليف بعده حتّى يقال بعدم الحاجة إلى إمام آخر، بحجّة أنّ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إصلاح الدين، و القيام بمصالح المسلمين </w:t>
      </w:r>
      <w:bookmarkStart w:id="880" w:name="pg16425_221937"/>
    </w:p>
    <w:p>
      <w:pPr>
        <w:pStyle w:val="BookText"/>
        <w:rPr/>
      </w:pPr>
      <w:bookmarkEnd w:id="8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انتفت بانقطاع التكليف؛ و حينئذ إذا قلنا بعدم وجود دليل على انقطاع التكليف، فإن قلنا بعدم وجود إمام بعد الإمام الثاني عشر عليه السلامُ‌، سقطت نظريّة عدم خلوّ الزمان من الإمام من الاعتبار، و إن قلنا بوجود امام جديد يأتي من بعده، تعرّضت نظريّة أُخرى للخطر، و هي نظريّة أنّ عدد الأئمّة اثنا عشر إماماً، لأنّه سوف يزيد عدد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مجيء الإمام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الجواب تمسّك الشريف المرتضى بنظريّة عدم خلوّ الزمان من الإمام، و بأنّه لا دليل على انقطاع التكليف بعد الإمام الثاني عشر عليه السلامُ‌، لكنّه جوّز أن يكون بعد الإمام الثاني عشر عليه السلامُ عدّة أئمّة، يقومون بحفظ الدين و مصالح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نظريّة الاثني عشر إماماً، فبحسب رأيه سوف لن تتعرّض إلى خطر؛ لأنّ المقصود بهذه النظريّة هو الإيمان باثني عشر إماماً، لا أقلّ من ذلك، و أمّا الإيمان بأكثر من هذا العدد، فسوف لن يخرجنا من الإيمان باثني عشر إماماً، و هو المطلوب، فإنّ المطلوب هو هذا العدد، لا نفي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7830477_1280447820"/>
      <w:bookmarkStart w:id="882" w:name="_Toc287"/>
      <w:bookmarkEnd w:id="881"/>
      <w:r>
        <w:rPr>
          <w:rtl w:val="true"/>
        </w:rPr>
        <w:t>مخطوطات الرسالة</w:t>
      </w:r>
      <w:bookmarkEnd w:id="8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883" w:name="pg16425_221938"/>
    </w:p>
    <w:p>
      <w:pPr>
        <w:pStyle w:val="Heading4"/>
        <w:numPr>
          <w:ilvl w:val="3"/>
          <w:numId w:val="1"/>
        </w:numPr>
        <w:rPr/>
      </w:pPr>
      <w:bookmarkStart w:id="884" w:name="__RefHeading___Toc7830479_1280447820"/>
      <w:bookmarkStart w:id="885" w:name="_Toc288"/>
      <w:bookmarkEnd w:id="883"/>
      <w:bookmarkEnd w:id="884"/>
      <w:r>
        <w:rPr>
          <w:rtl w:val="true"/>
        </w:rPr>
        <w:t>فَصلٌ في الإمامة بَعدَ القائمِ عليه السلام</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الحالِ بَعدَ إمامِ الزمانِ عليه السلامُ في الإمامةِ فقالَ‌</w:t>
      </w:r>
      <w:r>
        <w:rPr>
          <w:rStyle w:val="FootnoteAnchor"/>
          <w:rtl w:val="true"/>
        </w:rPr>
        <w:footnoteReference w:id="1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المَذهبِ المعلومِ أنّ كُلَّ زمانٍ لا يَجوزُ أن يَخلوَ مِن إمامٍ يَقومُ بإصلاحِ الدينِ و مَصالحِ المُسلِمينَ‌، 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بالدليلِ الصحيحِ أنّ خروجَ القائمِ يُطابِقُ زوالَ التكليفِ‌، فلا يَخلو الزمانُ بَعدَه عليه السلامُ مِن أن يَكونَ فيه إمامٌ مُفتَرَضُ الطاعةِ‌، أو لَيسَ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بوجود إمامٍ بَعدَه، خَرَجنا مِن القولِ بالِاثنَي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نَقُلْ بوجودِ إمامٍ بَعدَه، أبطَلنا الأصلَ الذي هو عِمادُ المَذهبِ‌؛ و هو قُبحُ خُلوِّ</w:t>
      </w:r>
      <w:r>
        <w:rPr>
          <w:rStyle w:val="FootnoteAnchor"/>
          <w:rtl w:val="true"/>
        </w:rPr>
        <w:footnoteReference w:id="1773"/>
      </w:r>
      <w:r>
        <w:rPr>
          <w:rFonts w:ascii="Amiri" w:hAnsi="Amiri" w:eastAsia="Amiri" w:cs="Amiri"/>
          <w:color w:val="111111"/>
          <w:sz w:val="28"/>
          <w:sz w:val="28"/>
          <w:szCs w:val="28"/>
          <w:rtl w:val="true"/>
          <w:lang w:bidi="ar-SA"/>
        </w:rPr>
        <w:t>الزمانِ مِن إمامٍ‌</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نَقطَعُ علىٰ مُصادَفةِ خروجِ صاحبِ الزمانِ مُحمّدِ بنِ الحَسَنِ عليهما السلامُ زوالَ التكليفِ‌؛ بَل يَجوزُ أن يَبقَى العالَمُ بَعدَه زماناً كَثيراً، و لا يَجوزُ خُلوُّ الزمانِ بَعدَه مِن الأئمّةِ‌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أن يَكونَ بَعدَه عِدّةُ أئمّةٍ يَقومونَ بحِفظِ الدينِ و مَصالحِ أهلِه، </w:t>
      </w:r>
    </w:p>
    <w:p>
      <w:pPr>
        <w:pStyle w:val="BookText"/>
        <w:rPr/>
      </w:pPr>
      <w:r>
        <w:rPr>
          <w:rFonts w:ascii="Amiri" w:hAnsi="Amiri" w:eastAsia="Amiri" w:cs="Amiri"/>
          <w:color w:val="111111"/>
          <w:sz w:val="28"/>
          <w:sz w:val="28"/>
          <w:szCs w:val="28"/>
          <w:rtl w:val="true"/>
          <w:lang w:bidi="ar-SA"/>
        </w:rPr>
        <w:t>و لَيسَ يَضُرُّنا ذلكَ فيما سَلَكناه مِن طُرُقِ الإمامةِ‌؛ لأنّ الذي كُلِّفنا إيّاه و تُعُبِّدنا منه</w:t>
      </w:r>
      <w:r>
        <w:rPr>
          <w:rStyle w:val="FootnoteAnchor"/>
          <w:rtl w:val="true"/>
        </w:rPr>
        <w:footnoteReference w:id="1775"/>
      </w:r>
      <w:r>
        <w:rPr>
          <w:rFonts w:ascii="Amiri" w:hAnsi="Amiri" w:eastAsia="Amiri" w:cs="Amiri"/>
          <w:color w:val="111111"/>
          <w:sz w:val="28"/>
          <w:sz w:val="28"/>
          <w:szCs w:val="28"/>
          <w:rtl w:val="true"/>
          <w:lang w:bidi="ar-SA"/>
        </w:rPr>
        <w:t>أن نَعلَمَ إمامةَ هؤلاءِ الِاثنَي عَشَرَ، و نُبيِّنَه بياناً شافياً؛ إذ هو مَوضِعُ الخِلافِ و الحاجةِ‌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يُخرِجُنا هذا القولُ عن التسَمّي بالِاثنَي عَشَريّةِ‌؛ لأنّ هذا الِاسمَ عندَنا يُطلَقُ علىٰ مَن يُثبِتُ إمامةَ اثنَي عَشَرَ إماماً، و قد أثبَتنا نَحنُ‌؛ و لا مُوافِقَ لنا في هذا المَذهبِ‌، فانفَرَدنا نَحنُ بهذا الِاسمِ دونَ غيرِنا</w:t>
      </w:r>
      <w:r>
        <w:rPr>
          <w:rFonts w:eastAsia="Amiri" w:cs="Amiri" w:ascii="Amiri" w:hAnsi="Amiri"/>
          <w:color w:val="111111"/>
          <w:sz w:val="28"/>
          <w:szCs w:val="28"/>
          <w:rtl w:val="true"/>
          <w:lang w:bidi="ar-SA"/>
        </w:rPr>
        <w:t xml:space="preserve">. </w:t>
      </w:r>
      <w:bookmarkStart w:id="886" w:name="pg16425_221940"/>
    </w:p>
    <w:p>
      <w:pPr>
        <w:pStyle w:val="Heading3"/>
        <w:numPr>
          <w:ilvl w:val="2"/>
          <w:numId w:val="1"/>
        </w:numPr>
        <w:rPr/>
      </w:pPr>
      <w:bookmarkStart w:id="887" w:name="__RefHeading___Toc7830481_1280447820"/>
      <w:bookmarkStart w:id="888" w:name="_Toc289"/>
      <w:bookmarkEnd w:id="886"/>
      <w:bookmarkEnd w:id="887"/>
      <w:r>
        <w:rPr>
          <w:rtl w:val="true"/>
        </w:rPr>
        <w:t>(</w:t>
      </w:r>
      <w:r>
        <w:rPr/>
        <w:t>72</w:t>
      </w:r>
      <w:r>
        <w:rPr>
          <w:rtl w:val="true"/>
        </w:rPr>
        <w:t xml:space="preserve">) </w:t>
      </w:r>
      <w:r>
        <w:rPr>
          <w:rtl w:val="true"/>
        </w:rPr>
        <w:t xml:space="preserve">مسألةٌ فيِ الرَّجعةِ مِن جُملةِ </w:t>
      </w:r>
      <w:r>
        <w:rPr>
          <w:rtl w:val="true"/>
        </w:rPr>
        <w:t>«</w:t>
      </w:r>
      <w:r>
        <w:rPr>
          <w:rtl w:val="true"/>
        </w:rPr>
        <w:t>الدِّمَشقيّاتِ‌</w:t>
      </w:r>
      <w:r>
        <w:rPr>
          <w:rtl w:val="true"/>
        </w:rPr>
        <w:t>»</w:t>
      </w:r>
      <w:bookmarkEnd w:id="88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9" w:name="__RefHeading___Toc7830483_1280447820"/>
      <w:bookmarkStart w:id="890" w:name="_Toc290"/>
      <w:bookmarkEnd w:id="889"/>
      <w:r>
        <w:rPr>
          <w:rtl w:val="true"/>
        </w:rPr>
        <w:t>اشارة</w:t>
      </w:r>
      <w:bookmarkEnd w:id="89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1" w:name="pg16425_221942"/>
      <w:bookmarkStart w:id="892" w:name="pg16425_221942"/>
      <w:bookmarkEnd w:id="892"/>
    </w:p>
    <w:p>
      <w:pPr>
        <w:pStyle w:val="Heading4"/>
        <w:numPr>
          <w:ilvl w:val="3"/>
          <w:numId w:val="1"/>
        </w:numPr>
        <w:rPr/>
      </w:pPr>
      <w:bookmarkStart w:id="893" w:name="pg16425_221942"/>
      <w:bookmarkStart w:id="894" w:name="__RefHeading___Toc7830485_1280447820"/>
      <w:bookmarkStart w:id="895" w:name="_Toc291"/>
      <w:bookmarkEnd w:id="893"/>
      <w:bookmarkEnd w:id="894"/>
      <w:r>
        <w:rPr>
          <w:rtl w:val="true"/>
        </w:rPr>
        <w:t>مقدّمة التحقيق</w:t>
      </w:r>
      <w:bookmarkEnd w:id="895"/>
    </w:p>
    <w:p>
      <w:pPr>
        <w:pStyle w:val="Heading5"/>
        <w:numPr>
          <w:ilvl w:val="4"/>
          <w:numId w:val="1"/>
        </w:numPr>
        <w:rPr/>
      </w:pPr>
      <w:bookmarkStart w:id="896" w:name="__RefHeading___Toc7830487_1280447820"/>
      <w:bookmarkStart w:id="897" w:name="_Toc292"/>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 xml:space="preserve">أجاب الشريف المرتضى على مجموعة مسائل وردت عليه من دمشق، عُرفت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الدمشقيّات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ذكرها البُصروي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الدمشقيّة، و هي الناصريّة</w:t>
      </w:r>
      <w:r>
        <w:rPr>
          <w:rFonts w:eastAsia="Amiri" w:cs="Amiri" w:ascii="Amiri" w:hAnsi="Amiri"/>
          <w:color w:val="111111"/>
          <w:sz w:val="28"/>
          <w:szCs w:val="28"/>
          <w:rtl w:val="true"/>
          <w:lang w:bidi="ar-SA"/>
        </w:rPr>
        <w:t>»</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المسائل هي غير الناصريّات المعروفة التي هي أيضاً من تأليفات الشريف المرتضى؛ فإنّ الناصريّات المعروفة ليست دمشقيّة، بل طبريّة أُرسلت من طبرستان، و تحتوي على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فقهيّة، و هي موجودة بأيدينا و كاملة، و ليست فيها مسألة في الرجعة، و التي سوف يأتي أنّها تشكّل المسألة الوحيدة المتبقّية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 الطبريّة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عدم الخلط بينهما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المحتمل أنّ المُرسل للناصريّة الدمشقيّة هو الأمير الحسن بن الحسين بن حمدان الملقّب بناصر الدولة، و الذي ولي دمشق في سنة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777"/>
      </w:r>
      <w:r>
        <w:rPr>
          <w:rFonts w:ascii="Amiri" w:hAnsi="Amiri" w:eastAsia="Amiri" w:cs="Amiri"/>
          <w:color w:val="111111"/>
          <w:sz w:val="28"/>
          <w:sz w:val="28"/>
          <w:szCs w:val="28"/>
          <w:rtl w:val="true"/>
          <w:lang w:bidi="ar-SA"/>
        </w:rPr>
        <w:t xml:space="preserve">، و هو الذي ألّف له المحقّق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الناصريّة</w:t>
      </w:r>
      <w:r>
        <w:rPr>
          <w:rStyle w:val="FootnoteAnchor"/>
          <w:rtl w:val="true"/>
        </w:rPr>
        <w:footnoteReference w:id="1778"/>
      </w:r>
      <w:r>
        <w:rPr>
          <w:rFonts w:ascii="Amiri" w:hAnsi="Amiri" w:eastAsia="Amiri" w:cs="Amiri"/>
          <w:color w:val="111111"/>
          <w:sz w:val="28"/>
          <w:sz w:val="28"/>
          <w:szCs w:val="28"/>
          <w:rtl w:val="true"/>
          <w:lang w:bidi="ar-SA"/>
        </w:rPr>
        <w:t>و لهذا سمّيت الدمشقيّة بالناصريّة، باعتبار لقب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ناصر الدولة هو السائل حقّاً، و قد أرسل </w:t>
      </w:r>
      <w:bookmarkStart w:id="898" w:name="pg16425_221943"/>
    </w:p>
    <w:p>
      <w:pPr>
        <w:pStyle w:val="BookText"/>
        <w:rPr/>
      </w:pPr>
      <w:bookmarkEnd w:id="898"/>
      <w:r>
        <w:rPr>
          <w:rFonts w:ascii="Amiri" w:hAnsi="Amiri" w:eastAsia="Amiri" w:cs="Amiri"/>
          <w:color w:val="111111"/>
          <w:sz w:val="28"/>
          <w:sz w:val="28"/>
          <w:szCs w:val="28"/>
          <w:rtl w:val="true"/>
          <w:lang w:bidi="ar-SA"/>
        </w:rPr>
        <w:t xml:space="preserve">مسائله إلى الشريف المرتضى في أثناء ولايته على دمشق، فهذا يعني أنّ هذه المسائل هي من 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ألّفه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أجاب عليه 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تصحيح نسبة هذه المسائل إلى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ذكر البُصروي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أرجع فيها إلى كتاب الذخيرة، و هي قرينة داخليّة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تبقّى من الدمشقيّة مسألة واحدة، و لا نعلم عدد ما سقط منها 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تتحدّث المسألة المتبقّية عن موضوع الرجعة، و هي تبدأ بكلام الشريف المرتضى من دون بيان سؤال السائل، و ربّما قام النسّاخ بحذف السؤال لاعتبارات خاصّة، و أبقوا على الجواب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هناك نصّاً آخر مُنتزعاً ممّا سُمّي بالمسائل الناصريّة للشريف المرتضى، و هو يتحدّث أيضاً عن الرجعة</w:t>
      </w:r>
      <w:r>
        <w:rPr>
          <w:rStyle w:val="FootnoteAnchor"/>
          <w:rtl w:val="true"/>
        </w:rPr>
        <w:footnoteReference w:id="1779"/>
      </w:r>
      <w:r>
        <w:rPr>
          <w:rFonts w:ascii="Amiri" w:hAnsi="Amiri" w:eastAsia="Amiri" w:cs="Amiri"/>
          <w:color w:val="111111"/>
          <w:sz w:val="28"/>
          <w:sz w:val="28"/>
          <w:szCs w:val="28"/>
          <w:rtl w:val="true"/>
          <w:lang w:bidi="ar-SA"/>
        </w:rPr>
        <w:t xml:space="preserve">، و إذا لاحظنا ما تقدّم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 الطبريّة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فيها مسألة حول الرجعة، و أنّ ما تبقّى من الدمشقيّة يحتوي على بحث حول الرجعة، علمنا أنّ النص المنقول من الناصريّة منتزع في الحقيقة من الدمشقيّة</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7830489_1280447820"/>
      <w:bookmarkStart w:id="900" w:name="_Toc293"/>
      <w:bookmarkEnd w:id="899"/>
      <w:r>
        <w:rPr>
          <w:rtl w:val="true"/>
        </w:rPr>
        <w:t>محتوى الرسالة</w:t>
      </w:r>
      <w:bookmarkEnd w:id="900"/>
    </w:p>
    <w:p>
      <w:pPr>
        <w:pStyle w:val="BookText"/>
        <w:rPr/>
      </w:pPr>
      <w:r>
        <w:rPr>
          <w:rFonts w:ascii="Amiri" w:hAnsi="Amiri" w:eastAsia="Amiri" w:cs="Amiri"/>
          <w:color w:val="111111"/>
          <w:sz w:val="28"/>
          <w:sz w:val="28"/>
          <w:szCs w:val="28"/>
          <w:rtl w:val="true"/>
          <w:lang w:bidi="ar-SA"/>
        </w:rPr>
        <w:t>و قد تعرّض الشريف المرتضى في المسألة الوحيدة المتبقّية من المسائل الدمشقيّة إلى بحث الرجعة، كما أنّه تعرّض إلى الرجعة في المسألة الثامنة من المسائل الرازيّة، بحيث يمكن مشاهدة تشابه في الأبحاث بين ما هو موجود هناك و بين المسألة محلّ بحثنا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ركّز في هذه المسألة على بعض النقاط المهمّة، نشير إليها باختصار</w:t>
      </w:r>
      <w:r>
        <w:rPr>
          <w:rFonts w:eastAsia="Amiri" w:cs="Amiri" w:ascii="Amiri" w:hAnsi="Amiri"/>
          <w:color w:val="111111"/>
          <w:sz w:val="28"/>
          <w:szCs w:val="28"/>
          <w:rtl w:val="true"/>
          <w:lang w:bidi="ar-SA"/>
        </w:rPr>
        <w:t xml:space="preserve">: </w:t>
      </w:r>
      <w:bookmarkStart w:id="901" w:name="pg16425_221944"/>
    </w:p>
    <w:p>
      <w:pPr>
        <w:pStyle w:val="BookText"/>
        <w:rPr/>
      </w:pPr>
      <w:bookmarkEnd w:id="90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الرجعة أمر ممكن، و غير خارج عن قدرة اللّٰه تعالى، فلا معنى للقول باستحالتها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الرجعة أنّ اللّٰه تعالى يُرجع إلى الدنيا عند ظهور الإمام المهدي عليه السلامُ قوماً من أوليائه لنصرته و الابتهاج بدولته، و قوماً من أعدائه للانتقام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على ثبوت الرجعة هو إجماع الإماميّة فقط، و ليس هناك دليل آخر معتبر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الرجعة لا تنافي التكليف كما قد يتصوّر البعض، فإنّ البعض ظنّ أنّ مَن شاهد أهوال البرزخ ثمّ رجع إلى الدنيا، فسوف يكون مُلجأ إلى الطاعة، خوفاً ممّا شاهده من أهوالٍ بقيت في ذاكرته و لم ينسَها، لكن الشريف المرتضى رفض هذا التحليل، و أكّد على أنّ الدواعي إلى الطاعة و المعصية تبقى موجودة بعد الرجعة، و أنّ الرجعة لا تكون مُلجئة إلى الطاعة، كما أنّ مَن يشاهد المعجزات الباهرة من الكفّار يبقى مخيّراً بين الإيمان و الكفر، و لا يصير مُلجأ إلى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الشريف المرتضى استدلال بعض الإماميّة على الرجعة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7830491_1280447820"/>
      <w:bookmarkStart w:id="903" w:name="_Toc294"/>
      <w:bookmarkEnd w:id="902"/>
      <w:r>
        <w:rPr>
          <w:rtl w:val="true"/>
        </w:rPr>
        <w:t>مخطوطات الرسالة</w:t>
      </w:r>
      <w:bookmarkEnd w:id="9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البروجردي،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904" w:name="pg16425_221946"/>
    </w:p>
    <w:p>
      <w:pPr>
        <w:pStyle w:val="Heading4"/>
        <w:numPr>
          <w:ilvl w:val="3"/>
          <w:numId w:val="1"/>
        </w:numPr>
        <w:rPr/>
      </w:pPr>
      <w:bookmarkStart w:id="905" w:name="__RefHeading___Toc7830493_1280447820"/>
      <w:bookmarkStart w:id="906" w:name="_Toc295"/>
      <w:bookmarkEnd w:id="904"/>
      <w:bookmarkEnd w:id="905"/>
      <w:r>
        <w:rPr>
          <w:rtl w:val="true"/>
        </w:rPr>
        <w:t xml:space="preserve">مسألةٌ فيِ الرَّجعةِ مِن جُملةِ </w:t>
      </w:r>
      <w:r>
        <w:rPr>
          <w:rtl w:val="true"/>
        </w:rPr>
        <w:t>«</w:t>
      </w:r>
      <w:r>
        <w:rPr>
          <w:rtl w:val="true"/>
        </w:rPr>
        <w:t>الدِّمَشقيّاتِ‌</w:t>
      </w:r>
      <w:r>
        <w:rPr>
          <w:rtl w:val="true"/>
        </w:rPr>
        <w:t>»</w:t>
      </w:r>
      <w:bookmarkEnd w:id="906"/>
    </w:p>
    <w:p>
      <w:pPr>
        <w:pStyle w:val="Heading5"/>
        <w:numPr>
          <w:ilvl w:val="4"/>
          <w:numId w:val="1"/>
        </w:numPr>
        <w:rPr/>
      </w:pPr>
      <w:bookmarkStart w:id="907" w:name="__RefHeading___Toc7830495_1280447820"/>
      <w:bookmarkStart w:id="908" w:name="_Toc296"/>
      <w:bookmarkEnd w:id="907"/>
      <w:r>
        <w:rPr>
          <w:rtl w:val="true"/>
        </w:rPr>
        <w:t>اشارة</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الأجَلُّ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الذي تَقولُه</w:t>
      </w:r>
      <w:r>
        <w:rPr>
          <w:rStyle w:val="FootnoteAnchor"/>
          <w:rtl w:val="true"/>
        </w:rPr>
        <w:footnoteReference w:id="1781"/>
      </w:r>
      <w:r>
        <w:rPr>
          <w:rFonts w:ascii="Amiri" w:hAnsi="Amiri" w:eastAsia="Amiri" w:cs="Amiri"/>
          <w:color w:val="111111"/>
          <w:sz w:val="28"/>
          <w:sz w:val="28"/>
          <w:szCs w:val="28"/>
          <w:rtl w:val="true"/>
          <w:lang w:bidi="ar-SA"/>
        </w:rPr>
        <w:t>الإماميّةُ مِن</w:t>
      </w:r>
      <w:r>
        <w:rPr>
          <w:rStyle w:val="FootnoteAnchor"/>
          <w:rtl w:val="true"/>
        </w:rPr>
        <w:footnoteReference w:id="1782"/>
      </w:r>
      <w:r>
        <w:rPr>
          <w:rFonts w:ascii="Amiri" w:hAnsi="Amiri" w:eastAsia="Amiri" w:cs="Amiri"/>
          <w:color w:val="111111"/>
          <w:sz w:val="28"/>
          <w:sz w:val="28"/>
          <w:szCs w:val="28"/>
          <w:rtl w:val="true"/>
          <w:lang w:bidi="ar-SA"/>
        </w:rPr>
        <w:t xml:space="preserve">الرَّجعةِ‌، لا خِلافَ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جَوازِه، و أنّه مقدورٌ للّٰهِ تَعالىٰ‌، و إنّما الخِلافُ بَينَهم في أنّه سيوجَدُ</w:t>
      </w:r>
      <w:r>
        <w:rPr>
          <w:rStyle w:val="FootnoteAnchor"/>
          <w:rtl w:val="true"/>
        </w:rPr>
        <w:footnoteReference w:id="1783"/>
      </w:r>
      <w:r>
        <w:rPr>
          <w:rFonts w:ascii="Amiri" w:hAnsi="Amiri" w:eastAsia="Amiri" w:cs="Amiri"/>
          <w:color w:val="111111"/>
          <w:sz w:val="28"/>
          <w:sz w:val="28"/>
          <w:szCs w:val="28"/>
          <w:rtl w:val="true"/>
          <w:lang w:bidi="ar-SA"/>
        </w:rPr>
        <w:t>لا مَحالةَ‌، أو لَيسَ كذلكَ؟</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7830497_1280447820"/>
      <w:bookmarkStart w:id="910" w:name="_Toc297"/>
      <w:bookmarkEnd w:id="909"/>
      <w:r>
        <w:rPr>
          <w:rtl w:val="true"/>
        </w:rPr>
        <w:t>في بيان إمكان الرجعة و وقوعها</w:t>
      </w:r>
      <w:bookmarkEnd w:id="910"/>
    </w:p>
    <w:p>
      <w:pPr>
        <w:pStyle w:val="BookText"/>
        <w:rPr/>
      </w:pPr>
      <w:r>
        <w:rPr>
          <w:rFonts w:ascii="Amiri" w:hAnsi="Amiri" w:eastAsia="Amiri" w:cs="Amiri"/>
          <w:color w:val="111111"/>
          <w:sz w:val="28"/>
          <w:sz w:val="28"/>
          <w:szCs w:val="28"/>
          <w:rtl w:val="true"/>
          <w:lang w:bidi="ar-SA"/>
        </w:rPr>
        <w:t xml:space="preserve">و لا يُخالِفُ في صِحّةِ رَجعةِ الأمواتِ إلّامُلحِدٌ و خارجٌ عن أقوالِ أهلِ التوحيدِ؛ لأنّ اللّٰهَ تَعالىٰ قادرٌ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بَعدَ إعدامِها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عليها قادراً، جازَ أن يوجِدَها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الأعراضُ التي بها يَكونُ أحَدُنا حَيّاً مخصوصاً علىٰ ضَربَينِ‌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إعادتَه</w:t>
      </w:r>
      <w:r>
        <w:rPr>
          <w:rStyle w:val="FootnoteAnchor"/>
          <w:rtl w:val="true"/>
        </w:rPr>
        <w:footnoteReference w:id="1784"/>
      </w:r>
      <w:r>
        <w:rPr>
          <w:rFonts w:ascii="Amiri" w:hAnsi="Amiri" w:eastAsia="Amiri" w:cs="Amiri"/>
          <w:color w:val="111111"/>
          <w:sz w:val="28"/>
          <w:sz w:val="28"/>
          <w:szCs w:val="28"/>
          <w:rtl w:val="true"/>
          <w:lang w:bidi="ar-SA"/>
        </w:rPr>
        <w:t xml:space="preserve">بعَينِه غيرُ واجبةٍ‌؛ كالكَونِ‌، و الاعتمادِ، و ما </w:t>
      </w:r>
      <w:bookmarkStart w:id="911" w:name="pg16425_221947"/>
    </w:p>
    <w:p>
      <w:pPr>
        <w:pStyle w:val="BookText"/>
        <w:rPr/>
      </w:pPr>
      <w:bookmarkEnd w:id="911"/>
      <w:r>
        <w:rPr>
          <w:rFonts w:ascii="Amiri" w:hAnsi="Amiri" w:eastAsia="Amiri" w:cs="Amiri"/>
          <w:color w:val="111111"/>
          <w:sz w:val="28"/>
          <w:sz w:val="28"/>
          <w:szCs w:val="28"/>
          <w:rtl w:val="true"/>
          <w:lang w:bidi="ar-SA"/>
        </w:rPr>
        <w:t>يَجري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وجوبِ إعادتِه بعَينِه، و هو الحياةُ و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إعادتَهما بعَينِهما</w:t>
      </w:r>
      <w:r>
        <w:rPr>
          <w:rStyle w:val="FootnoteAnchor"/>
          <w:rtl w:val="true"/>
        </w:rPr>
        <w:footnoteReference w:id="1785"/>
      </w:r>
      <w:r>
        <w:rPr>
          <w:rFonts w:ascii="Amiri" w:hAnsi="Amiri" w:eastAsia="Amiri" w:cs="Amiri"/>
          <w:color w:val="111111"/>
          <w:sz w:val="28"/>
          <w:sz w:val="28"/>
          <w:szCs w:val="28"/>
          <w:rtl w:val="true"/>
          <w:lang w:bidi="ar-SA"/>
        </w:rPr>
        <w:t>غيرُ واجبةٍ‌،</w:t>
      </w:r>
      <w:r>
        <w:rPr>
          <w:rStyle w:val="FootnoteAnchor"/>
          <w:rtl w:val="true"/>
        </w:rPr>
        <w:footnoteReference w:id="1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أنّ الحياةَ و التأليفَ مِن الأجناسِ الباقيةِ‌؛ ففي ذلك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فالإعادةُ جائزةٌ صَحيحةٌ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اجتَمَعَت الإماميّةُ علىٰ أنّ اللّٰهَ تَعالىٰ عندَ ظُهورِ القائمِ صاحبِ الزمانِ عليه السلامُ يُعيدُ قوماً مِن أوليائه لنُصرتِه و الابتهاجِ بدَولتِه، و قوماً مِن أعدائه ليَفعلَ بِهم بعضَ‌</w:t>
      </w:r>
      <w:r>
        <w:rPr>
          <w:rStyle w:val="FootnoteAnchor"/>
          <w:rtl w:val="true"/>
        </w:rPr>
        <w:footnoteReference w:id="1787"/>
      </w:r>
      <w:r>
        <w:rPr>
          <w:rFonts w:ascii="Amiri" w:hAnsi="Amiri" w:eastAsia="Amiri" w:cs="Amiri"/>
          <w:color w:val="111111"/>
          <w:sz w:val="28"/>
          <w:sz w:val="28"/>
          <w:szCs w:val="28"/>
          <w:rtl w:val="true"/>
          <w:lang w:bidi="ar-SA"/>
        </w:rPr>
        <w:t>ما يَستَحِقّونَه</w:t>
      </w:r>
      <w:r>
        <w:rPr>
          <w:rStyle w:val="FootnoteAnchor"/>
          <w:rtl w:val="true"/>
        </w:rPr>
        <w:footnoteReference w:id="1788"/>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هذه الطائفةِ قد بيّنّا في غيرِ مَوضِعٍ مِن كُتُبِنا أنّه حُجّةٌ‌؛ لأنّ المعصومَ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القَطعُ علىٰ ثُبوتِ الرَّجعةِ‌، مُضافاً إلىٰ جَوازِها في القُدرةِ‌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7830499_1280447820"/>
      <w:bookmarkStart w:id="913" w:name="_Toc298"/>
      <w:bookmarkEnd w:id="912"/>
      <w:r>
        <w:rPr>
          <w:rtl w:val="true"/>
        </w:rPr>
        <w:t>عدم منافاة الرجعة للتكليف</w:t>
      </w:r>
      <w:bookmarkEnd w:id="91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الرَّجعةُ ممّا يُنافي التكليفَ و يُحيلُ الإجماعَ معه؛</w:t>
      </w:r>
      <w:r>
        <w:rPr>
          <w:rStyle w:val="FootnoteAnchor"/>
          <w:rtl w:val="true"/>
        </w:rPr>
        <w:footnoteReference w:id="1789"/>
      </w:r>
      <w:r>
        <w:rPr>
          <w:rFonts w:ascii="Amiri" w:hAnsi="Amiri" w:eastAsia="Amiri" w:cs="Amiri"/>
          <w:color w:val="111111"/>
          <w:sz w:val="28"/>
          <w:sz w:val="28"/>
          <w:szCs w:val="28"/>
          <w:rtl w:val="true"/>
          <w:lang w:bidi="ar-SA"/>
        </w:rPr>
        <w:t>و ذلكَ أنّ الدواعيَ مع الرَّجعةِ مُتردِّدةٌ‌، و العِلمَ باللّٰهِ تَعالىٰ في تلكَ الحالِ لا يَكونُ إلّامُكتَسَباً غيرَ ضَروريٍّ‌؛ كَما أنّ العِلمَ به تَعالىٰ‌</w:t>
      </w:r>
      <w:r>
        <w:rPr>
          <w:rStyle w:val="FootnoteAnchor"/>
          <w:rtl w:val="true"/>
        </w:rPr>
        <w:footnoteReference w:id="1790"/>
      </w:r>
      <w:r>
        <w:rPr>
          <w:rFonts w:ascii="Amiri" w:hAnsi="Amiri" w:eastAsia="Amiri" w:cs="Amiri"/>
          <w:color w:val="111111"/>
          <w:sz w:val="28"/>
          <w:sz w:val="28"/>
          <w:szCs w:val="28"/>
          <w:rtl w:val="true"/>
          <w:lang w:bidi="ar-SA"/>
        </w:rPr>
        <w:t>يَكونُ مُكتَسَباً غيرَ ضَروريٍّ‌، و الدواعيَ‌</w:t>
      </w:r>
      <w:r>
        <w:rPr>
          <w:rStyle w:val="FootnoteAnchor"/>
          <w:rtl w:val="true"/>
        </w:rPr>
        <w:footnoteReference w:id="1791"/>
      </w:r>
      <w:r>
        <w:rPr>
          <w:rFonts w:ascii="Amiri" w:hAnsi="Amiri" w:eastAsia="Amiri" w:cs="Amiri"/>
          <w:color w:val="111111"/>
          <w:sz w:val="28"/>
          <w:sz w:val="28"/>
          <w:szCs w:val="28"/>
          <w:rtl w:val="true"/>
          <w:lang w:bidi="ar-SA"/>
        </w:rPr>
        <w:t xml:space="preserve">ثابتةً مع </w:t>
      </w:r>
    </w:p>
    <w:p>
      <w:pPr>
        <w:pStyle w:val="BookText"/>
        <w:rPr/>
      </w:pPr>
      <w:r>
        <w:rPr>
          <w:rFonts w:ascii="Amiri" w:hAnsi="Amiri" w:eastAsia="Amiri" w:cs="Amiri"/>
          <w:color w:val="111111"/>
          <w:sz w:val="28"/>
          <w:sz w:val="28"/>
          <w:szCs w:val="28"/>
          <w:rtl w:val="true"/>
          <w:lang w:bidi="ar-SA"/>
        </w:rPr>
        <w:t>تَواتُرِ المُعجِزاتِ و تَرادُفِ باهِرِ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هَرَبَ مِن أصحابِنا مِن القولِ بثَباتِ التكليفِ علىٰ أهلِ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لِاعتقادِه أنّ التكليفَ في تلكَ الحالِ لا يَصِحُّ‌</w:t>
      </w:r>
      <w:r>
        <w:rPr>
          <w:rStyle w:val="FootnoteAnchor"/>
          <w:rtl w:val="true"/>
        </w:rPr>
        <w:footnoteReference w:id="17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بالرَّجعةِ إنّما هي علىٰ طَريقِ الثوابِ و إدخالِ المَسَرّةِ علَى المؤمنينَ ممّا يُشاهَدُ</w:t>
      </w:r>
      <w:r>
        <w:rPr>
          <w:rStyle w:val="FootnoteAnchor"/>
          <w:rtl w:val="true"/>
        </w:rPr>
        <w:footnoteReference w:id="1793"/>
      </w:r>
      <w:r>
        <w:rPr>
          <w:rFonts w:ascii="Amiri" w:hAnsi="Amiri" w:eastAsia="Amiri" w:cs="Amiri"/>
          <w:color w:val="111111"/>
          <w:sz w:val="28"/>
          <w:sz w:val="28"/>
          <w:szCs w:val="28"/>
          <w:rtl w:val="true"/>
          <w:lang w:bidi="ar-SA"/>
        </w:rPr>
        <w:t xml:space="preserve">مِن ظُهورِ كلمةِ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مُصيبٍ‌؛ لأنّه لا خِلافَ بَينَ أصحابِنا في أنّ اللّٰهَ تَعالىٰ يُعيدُ</w:t>
      </w:r>
      <w:r>
        <w:rPr>
          <w:rStyle w:val="FootnoteAnchor"/>
          <w:rtl w:val="true"/>
        </w:rPr>
        <w:footnoteReference w:id="1794"/>
      </w:r>
      <w:r>
        <w:rPr>
          <w:rFonts w:ascii="Amiri" w:hAnsi="Amiri" w:eastAsia="Amiri" w:cs="Amiri"/>
          <w:color w:val="111111"/>
          <w:sz w:val="28"/>
          <w:sz w:val="28"/>
          <w:szCs w:val="28"/>
          <w:rtl w:val="true"/>
          <w:lang w:bidi="ar-SA"/>
        </w:rPr>
        <w:t>مَن سَبَقَت وفاتُه مِن المؤمنينَ ليَنصُروا الإمامَ و ليُشارِكوا إخوانَهم مِن ناصِريه و مُحارِبي أعدائه، و أنّهم بالرجعةِ‌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أدرَكوا مِن نُصرتِه و مَعونَتِه</w:t>
      </w:r>
      <w:r>
        <w:rPr>
          <w:rStyle w:val="FootnoteAnchor"/>
          <w:rtl w:val="true"/>
        </w:rPr>
        <w:footnoteReference w:id="1795"/>
      </w:r>
      <w:r>
        <w:rPr>
          <w:rFonts w:ascii="Amiri" w:hAnsi="Amiri" w:eastAsia="Amiri" w:cs="Amiri"/>
          <w:color w:val="111111"/>
          <w:sz w:val="28"/>
          <w:sz w:val="28"/>
          <w:szCs w:val="28"/>
          <w:rtl w:val="true"/>
          <w:lang w:bidi="ar-SA"/>
        </w:rPr>
        <w:t>ما كان يَفوتُهم</w:t>
      </w:r>
      <w:r>
        <w:rPr>
          <w:rStyle w:val="FootnoteAnchor"/>
          <w:rtl w:val="true"/>
        </w:rPr>
        <w:footnoteReference w:id="1796"/>
      </w:r>
      <w:r>
        <w:rPr>
          <w:rFonts w:ascii="Amiri" w:hAnsi="Amiri" w:eastAsia="Amiri" w:cs="Amiri"/>
          <w:color w:val="111111"/>
          <w:sz w:val="28"/>
          <w:sz w:val="28"/>
          <w:szCs w:val="28"/>
          <w:rtl w:val="true"/>
          <w:lang w:bidi="ar-SA"/>
        </w:rPr>
        <w:t>لَولاها؛ و مَن أُعيدَ للثوابِ المَحضِ‌، لا</w:t>
      </w:r>
      <w:r>
        <w:rPr>
          <w:rStyle w:val="FootnoteAnchor"/>
          <w:rtl w:val="true"/>
        </w:rPr>
        <w:footnoteReference w:id="1797"/>
      </w:r>
      <w:r>
        <w:rPr>
          <w:rFonts w:ascii="Amiri" w:hAnsi="Amiri" w:eastAsia="Amiri" w:cs="Amiri"/>
          <w:color w:val="111111"/>
          <w:sz w:val="28"/>
          <w:sz w:val="28"/>
          <w:szCs w:val="28"/>
          <w:rtl w:val="true"/>
          <w:lang w:bidi="ar-SA"/>
        </w:rPr>
        <w:t>يَجِبُ عليه نُصرةُ الإمامِ عليه السلامُ و القِتالُ عنه و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أغنَى اللّٰهُ تَعالىٰ عن القولِ بما لَيسَ بصَحيحٍ هَرَباً ممّا هو غيرُ لازمٍ و لا مُشتَبِهٍ‌</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التكليفُ ثابتاً علىٰ أهلِ الرجعةِ‌، فجَوِّزوا</w:t>
      </w:r>
      <w:r>
        <w:rPr>
          <w:rStyle w:val="FootnoteAnchor"/>
          <w:rtl w:val="true"/>
        </w:rPr>
        <w:footnoteReference w:id="1799"/>
      </w:r>
      <w:r>
        <w:rPr>
          <w:rFonts w:ascii="Amiri" w:hAnsi="Amiri" w:eastAsia="Amiri" w:cs="Amiri"/>
          <w:color w:val="111111"/>
          <w:sz w:val="28"/>
          <w:sz w:val="28"/>
          <w:szCs w:val="28"/>
          <w:rtl w:val="true"/>
          <w:lang w:bidi="ar-SA"/>
        </w:rPr>
        <w:t>ثُبوتَ تكليفِ الكُفّارِ الذينَ أُعيدوا</w:t>
      </w:r>
      <w:r>
        <w:rPr>
          <w:rStyle w:val="FootnoteAnchor"/>
          <w:rtl w:val="true"/>
        </w:rPr>
        <w:footnoteReference w:id="1800"/>
      </w:r>
      <w:r>
        <w:rPr>
          <w:rFonts w:ascii="Amiri" w:hAnsi="Amiri" w:eastAsia="Amiri" w:cs="Amiri"/>
          <w:color w:val="111111"/>
          <w:sz w:val="28"/>
          <w:sz w:val="28"/>
          <w:szCs w:val="28"/>
          <w:rtl w:val="true"/>
          <w:lang w:bidi="ar-SA"/>
        </w:rPr>
        <w:t>لنُزولِ‌</w:t>
      </w:r>
      <w:r>
        <w:rPr>
          <w:rStyle w:val="FootnoteAnchor"/>
          <w:rtl w:val="true"/>
        </w:rPr>
        <w:footnoteReference w:id="1801"/>
      </w:r>
      <w:r>
        <w:rPr>
          <w:rFonts w:ascii="Amiri" w:hAnsi="Amiri" w:eastAsia="Amiri" w:cs="Amiri"/>
          <w:color w:val="111111"/>
          <w:sz w:val="28"/>
          <w:sz w:val="28"/>
          <w:szCs w:val="28"/>
          <w:rtl w:val="true"/>
          <w:lang w:bidi="ar-SA"/>
        </w:rPr>
        <w:t>استحقاقِ‌</w:t>
      </w:r>
      <w:r>
        <w:rPr>
          <w:rStyle w:val="FootnoteAnchor"/>
          <w:rtl w:val="true"/>
        </w:rPr>
        <w:footnoteReference w:id="1802"/>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أُعيدَ مِن الأعداءِ للنَّكالِ و العِقابِ‌، لا 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التكليفَ باقٍ علَى الأولياءِ‌؛ لأجلِ النُّصرةِ و الدفاعِ و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و إن كانَ ثابتاً عليهم، فيَجوزُ أن يَعلَمَ‌</w:t>
      </w:r>
      <w:r>
        <w:rPr>
          <w:rStyle w:val="FootnoteAnchor"/>
          <w:rtl w:val="true"/>
        </w:rPr>
        <w:footnoteReference w:id="1803"/>
      </w:r>
      <w:r>
        <w:rPr>
          <w:rFonts w:ascii="Amiri" w:hAnsi="Amiri" w:eastAsia="Amiri" w:cs="Amiri"/>
          <w:color w:val="111111"/>
          <w:sz w:val="28"/>
          <w:sz w:val="28"/>
          <w:szCs w:val="28"/>
          <w:rtl w:val="true"/>
          <w:lang w:bidi="ar-SA"/>
        </w:rPr>
        <w:t>اللّٰهُ تَعالىٰ أنّهم لا يَختارونَ التوبةَ‌؛ لأنّا قد بيّنّا أنّ الرجعةَ غيرُ مُلجِئةٍ إلىٰ تَركِ‌</w:t>
      </w:r>
      <w:r>
        <w:rPr>
          <w:rStyle w:val="FootnoteAnchor"/>
          <w:rtl w:val="true"/>
        </w:rPr>
        <w:footnoteReference w:id="1804"/>
      </w:r>
      <w:r>
        <w:rPr>
          <w:rFonts w:ascii="Amiri" w:hAnsi="Amiri" w:eastAsia="Amiri" w:cs="Amiri"/>
          <w:color w:val="111111"/>
          <w:sz w:val="28"/>
          <w:sz w:val="28"/>
          <w:szCs w:val="28"/>
          <w:rtl w:val="true"/>
          <w:lang w:bidi="ar-SA"/>
        </w:rPr>
        <w:t>القَبيحِ و فعلِ الواجبِ‌، و أنّ الدواعيَ مُتردِّدةٌ‌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وجهُ القَطعِ علىٰ أنّهم لا يَختارونَ ذلكَ‌</w:t>
      </w:r>
      <w:r>
        <w:rPr>
          <w:rStyle w:val="FootnoteAnchor"/>
          <w:rtl w:val="true"/>
        </w:rPr>
        <w:footnoteReference w:id="1805"/>
      </w:r>
      <w:r>
        <w:rPr>
          <w:rFonts w:ascii="IRNazanin" w:hAnsi="IRNazanin" w:eastAsia="IRNazanin"/>
          <w:color w:val="111111"/>
          <w:sz w:val="28"/>
          <w:sz w:val="28"/>
          <w:szCs w:val="28"/>
          <w:rtl w:val="true"/>
          <w:lang w:bidi="fa-IR"/>
        </w:rPr>
        <w:t>ما</w:t>
      </w:r>
      <w:r>
        <w:rPr>
          <w:rStyle w:val="FootnoteAnchor"/>
          <w:rtl w:val="true"/>
        </w:rPr>
        <w:footnoteReference w:id="1806"/>
      </w:r>
      <w:r>
        <w:rPr>
          <w:rFonts w:ascii="Amiri" w:hAnsi="Amiri" w:eastAsia="Amiri" w:cs="Amiri"/>
          <w:color w:val="111111"/>
          <w:sz w:val="28"/>
          <w:sz w:val="28"/>
          <w:szCs w:val="28"/>
          <w:rtl w:val="true"/>
          <w:lang w:bidi="ar-SA"/>
        </w:rPr>
        <w:t>عَلِمنا و قَطَعنا عليه مِن أنّهم مُخَلَّدونَ لا مَحالةَ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ذلك نُجيبُ‌</w:t>
      </w:r>
      <w:r>
        <w:rPr>
          <w:rStyle w:val="FootnoteAnchor"/>
          <w:rtl w:val="true"/>
        </w:rPr>
        <w:footnoteReference w:id="1807"/>
      </w:r>
      <w:r>
        <w:rPr>
          <w:rFonts w:ascii="Amiri" w:hAnsi="Amiri" w:eastAsia="Amiri" w:cs="Amiri"/>
          <w:color w:val="111111"/>
          <w:sz w:val="28"/>
          <w:sz w:val="28"/>
          <w:szCs w:val="28"/>
          <w:rtl w:val="true"/>
          <w:lang w:bidi="ar-SA"/>
        </w:rPr>
        <w:t>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جَوِّزوا في بعضِ هؤلاءِ الأعداءِ أو كُلِّهم أن يَكونَ قَبلَ مَوتِه بساعةٍ تابَ‌، فأَسقَطَت التوبةُ عِقابَه، و لا تَقطَعوا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هذا التجويزِ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لا مَحالةَ مُخلَّدونَ في النارِ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عندَكم فيما تَستَدِلُّ به الإماميّةُ علىٰ ثُبوتِ الرجعةِ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08"/>
      </w:r>
      <w:r>
        <w:rPr>
          <w:rFonts w:ascii="Amiri" w:hAnsi="Amiri" w:eastAsia="Amiri" w:cs="Amiri"/>
          <w:color w:val="111111"/>
          <w:sz w:val="28"/>
          <w:sz w:val="28"/>
          <w:szCs w:val="28"/>
          <w:rtl w:val="true"/>
          <w:lang w:bidi="ar-SA"/>
        </w:rPr>
        <w:t>و ظاهرُ</w:t>
      </w:r>
      <w:r>
        <w:rPr>
          <w:rStyle w:val="FootnoteAnchor"/>
          <w:rtl w:val="true"/>
        </w:rPr>
        <w:footnoteReference w:id="1809"/>
      </w:r>
      <w:r>
        <w:rPr>
          <w:rFonts w:ascii="Amiri" w:hAnsi="Amiri" w:eastAsia="Amiri" w:cs="Amiri"/>
          <w:color w:val="111111"/>
          <w:sz w:val="28"/>
          <w:sz w:val="28"/>
          <w:szCs w:val="28"/>
          <w:rtl w:val="true"/>
          <w:lang w:bidi="ar-SA"/>
        </w:rPr>
        <w:t>هذا الكلامِ يَقتَضي الاستقبالَ‌، فلا يَجوزُ أن يُحمَلَ علىٰ أنّ المُرادَ به موسىٰ عليه السلامُ و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حَمَلنا فِرعَونَ و هامانَ علىٰ‌ </w:t>
      </w:r>
    </w:p>
    <w:p>
      <w:pPr>
        <w:pStyle w:val="BookText"/>
        <w:rPr/>
      </w:pPr>
      <w:r>
        <w:rPr>
          <w:rFonts w:ascii="Amiri" w:hAnsi="Amiri" w:eastAsia="Amiri" w:cs="Amiri"/>
          <w:color w:val="111111"/>
          <w:sz w:val="28"/>
          <w:sz w:val="28"/>
          <w:szCs w:val="28"/>
          <w:rtl w:val="true"/>
          <w:lang w:bidi="ar-SA"/>
        </w:rPr>
        <w:t>أنّهما الرجُلانِ المعروفانِ اللذانِ كانا في عَهدِ موسىٰ عليه السلامُ و شيعتِه</w:t>
      </w:r>
      <w:r>
        <w:rPr>
          <w:rStyle w:val="FootnoteAnchor"/>
          <w:rtl w:val="true"/>
        </w:rPr>
        <w:footnoteReference w:id="1810"/>
      </w:r>
      <w:r>
        <w:rPr>
          <w:rFonts w:ascii="Amiri" w:hAnsi="Amiri" w:eastAsia="Amiri" w:cs="Amiri"/>
          <w:color w:val="111111"/>
          <w:sz w:val="28"/>
          <w:sz w:val="28"/>
          <w:szCs w:val="28"/>
          <w:rtl w:val="true"/>
          <w:lang w:bidi="ar-SA"/>
        </w:rPr>
        <w:t>، فيَجِبُ أن يُعادا لِيَرَيا ما مَنَّ اللّٰهُ تَعالىٰ به علىٰ مَن</w:t>
      </w:r>
      <w:r>
        <w:rPr>
          <w:rStyle w:val="FootnoteAnchor"/>
          <w:rtl w:val="true"/>
        </w:rPr>
        <w:footnoteReference w:id="1811"/>
      </w:r>
      <w:r>
        <w:rPr>
          <w:rFonts w:ascii="Amiri" w:hAnsi="Amiri" w:eastAsia="Amiri" w:cs="Amiri"/>
          <w:color w:val="111111"/>
          <w:sz w:val="28"/>
          <w:sz w:val="28"/>
          <w:szCs w:val="28"/>
          <w:rtl w:val="true"/>
          <w:lang w:bidi="ar-SA"/>
        </w:rPr>
        <w:t>ذَكرَه مِن المُستَضعَفينَ‌؛ و هذا يوجِبُ الرجعةَ إلىٰ ما بيّنّاه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الاستدلالُ بذلكَ مَرضيّاً، و لا دليلَ يَقتَضي ثُبوتَ الرجعةِ إلّاما بيّنّاه مِن إجماعِ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 أنّ ذلكَ لَيسَ بصَحيحٍ إذ لفظُ الاستقبالِ في الآيةِ لا يَدُلُّ علىٰ أنّ ذلكَ ما وَقَعَ‌؛ لأنّ اللّٰهَ تَعالىٰ تَكلَّمَ‌</w:t>
      </w:r>
      <w:r>
        <w:rPr>
          <w:rStyle w:val="FootnoteAnchor"/>
          <w:rtl w:val="true"/>
        </w:rPr>
        <w:footnoteReference w:id="1812"/>
      </w:r>
      <w:r>
        <w:rPr>
          <w:rFonts w:ascii="Amiri" w:hAnsi="Amiri" w:eastAsia="Amiri" w:cs="Amiri"/>
          <w:color w:val="111111"/>
          <w:sz w:val="28"/>
          <w:sz w:val="28"/>
          <w:szCs w:val="28"/>
          <w:rtl w:val="true"/>
          <w:lang w:bidi="ar-SA"/>
        </w:rPr>
        <w:t>بالقُرآنِ عندَ جَميعِ المُسلِمينَ قَبلَ خَلقِ آدمَ عليه السلامُ فَضلاً عن موسىٰ عليه السلامُ‌، و الألفاظُ التي تَقتَضي المُضيَّ في القُرآنِ هي التي نَحتاجُ‌</w:t>
      </w:r>
      <w:r>
        <w:rPr>
          <w:rStyle w:val="FootnoteAnchor"/>
          <w:rtl w:val="true"/>
        </w:rPr>
        <w:footnoteReference w:id="1813"/>
      </w:r>
      <w:r>
        <w:rPr>
          <w:rFonts w:ascii="Amiri" w:hAnsi="Amiri" w:eastAsia="Amiri" w:cs="Amiri"/>
          <w:color w:val="111111"/>
          <w:sz w:val="28"/>
          <w:sz w:val="28"/>
          <w:szCs w:val="28"/>
          <w:rtl w:val="true"/>
          <w:lang w:bidi="ar-SA"/>
        </w:rPr>
        <w:t>أن نَتأوَّلَها</w:t>
      </w:r>
      <w:r>
        <w:rPr>
          <w:rStyle w:val="FootnoteAnchor"/>
          <w:rtl w:val="true"/>
        </w:rPr>
        <w:footnoteReference w:id="1814"/>
      </w:r>
      <w:r>
        <w:rPr>
          <w:rFonts w:ascii="Amiri" w:hAnsi="Amiri" w:eastAsia="Amiri" w:cs="Amiri"/>
          <w:color w:val="111111"/>
          <w:sz w:val="28"/>
          <w:sz w:val="28"/>
          <w:szCs w:val="28"/>
          <w:rtl w:val="true"/>
          <w:lang w:bidi="ar-SA"/>
        </w:rPr>
        <w:t>إذا كانَ إيجادُه مُتقدِّماً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سَلَّمنا أنّ ذلكَ ما وَقَعَ إلَى الآنَ و أنّه مُنتَظَرٌ، مِن أينَ‌</w:t>
      </w:r>
      <w:r>
        <w:rPr>
          <w:rStyle w:val="FootnoteAnchor"/>
          <w:rtl w:val="true"/>
        </w:rPr>
        <w:footnoteReference w:id="1815"/>
      </w:r>
      <w:r>
        <w:rPr>
          <w:rFonts w:ascii="Amiri" w:hAnsi="Amiri" w:eastAsia="Amiri" w:cs="Amiri"/>
          <w:color w:val="111111"/>
          <w:sz w:val="28"/>
          <w:sz w:val="28"/>
          <w:szCs w:val="28"/>
          <w:rtl w:val="true"/>
          <w:lang w:bidi="ar-SA"/>
        </w:rPr>
        <w:t>اقتضاؤه للرجعةِ‌</w:t>
      </w:r>
      <w:r>
        <w:rPr>
          <w:rStyle w:val="FootnoteAnchor"/>
          <w:rtl w:val="true"/>
        </w:rPr>
        <w:footnoteReference w:id="1816"/>
      </w:r>
      <w:r>
        <w:rPr>
          <w:rFonts w:ascii="Amiri" w:hAnsi="Amiri" w:eastAsia="Amiri" w:cs="Amiri"/>
          <w:color w:val="111111"/>
          <w:sz w:val="28"/>
          <w:sz w:val="28"/>
          <w:szCs w:val="28"/>
          <w:rtl w:val="true"/>
          <w:lang w:bidi="ar-SA"/>
        </w:rPr>
        <w:t>في الدنيا؟ و لَعلَّ ذلكَ خبرٌ عمّا يَكونُ في الآخِرةِ و عندَ دخولِ الجَنّةِ و النارِ؛ فإنّ اللّٰهَ تَعالىٰ لا مَحالةَ يَمُنُّ علىٰ مُستَضعَفي أوليائه المؤمنينَ في الدنيا، بأن يورِثَهم الثوابَ في الجَنّةِ‌، و يُمكِّنَ لهُم في أرضِها، و يَجعَلَهم أئمّةً و أعلاماً بما</w:t>
      </w:r>
      <w:r>
        <w:rPr>
          <w:rStyle w:val="FootnoteAnchor"/>
          <w:rtl w:val="true"/>
        </w:rPr>
        <w:footnoteReference w:id="1817"/>
      </w:r>
      <w:r>
        <w:rPr>
          <w:rFonts w:ascii="Amiri" w:hAnsi="Amiri" w:eastAsia="Amiri" w:cs="Amiri"/>
          <w:color w:val="111111"/>
          <w:sz w:val="28"/>
          <w:sz w:val="28"/>
          <w:szCs w:val="28"/>
          <w:rtl w:val="true"/>
          <w:lang w:bidi="ar-SA"/>
        </w:rPr>
        <w:t>يوصِلُه</w:t>
      </w:r>
      <w:r>
        <w:rPr>
          <w:rStyle w:val="FootnoteAnchor"/>
          <w:rtl w:val="true"/>
        </w:rPr>
        <w:footnoteReference w:id="1818"/>
      </w:r>
      <w:r>
        <w:rPr>
          <w:rFonts w:ascii="Amiri" w:hAnsi="Amiri" w:eastAsia="Amiri" w:cs="Amiri"/>
          <w:color w:val="111111"/>
          <w:sz w:val="28"/>
          <w:sz w:val="28"/>
          <w:szCs w:val="28"/>
          <w:rtl w:val="true"/>
          <w:lang w:bidi="ar-SA"/>
        </w:rPr>
        <w:t xml:space="preserve">إليهم مِن </w:t>
      </w:r>
    </w:p>
    <w:p>
      <w:pPr>
        <w:pStyle w:val="BookText"/>
        <w:rPr/>
      </w:pPr>
      <w:r>
        <w:rPr>
          <w:rFonts w:ascii="Amiri" w:hAnsi="Amiri" w:eastAsia="Amiri" w:cs="Amiri"/>
          <w:color w:val="111111"/>
          <w:sz w:val="28"/>
          <w:sz w:val="28"/>
          <w:szCs w:val="28"/>
          <w:rtl w:val="true"/>
          <w:lang w:bidi="ar-SA"/>
        </w:rPr>
        <w:t>صُنوفِ‌</w:t>
      </w:r>
      <w:r>
        <w:rPr>
          <w:rStyle w:val="FootnoteAnchor"/>
          <w:rtl w:val="true"/>
        </w:rPr>
        <w:footnoteReference w:id="1819"/>
      </w:r>
      <w:r>
        <w:rPr>
          <w:rFonts w:ascii="Amiri" w:hAnsi="Amiri" w:eastAsia="Amiri" w:cs="Amiri"/>
          <w:color w:val="111111"/>
          <w:sz w:val="28"/>
          <w:sz w:val="28"/>
          <w:szCs w:val="28"/>
          <w:rtl w:val="true"/>
          <w:lang w:bidi="ar-SA"/>
        </w:rPr>
        <w:t>التعظيماتِ و فُنونِ الكَراماتِ‌، و يُعلِمُ فِرعونَ و هامانَ و جُنودَهما في النارِ ذلكَ مِن حالِهم؛ ليَزدادوا حَسرةً و غَمّاً و أسَفاً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لا يَنبو عن التأويلِ الذي ذَكرناه؛ لأنّ فِرعَونَ و هامانَ و شيعتَهما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يَحذَرونَ و يَكرَهونَ‌</w:t>
      </w:r>
      <w:r>
        <w:rPr>
          <w:rStyle w:val="FootnoteAnchor"/>
          <w:rtl w:val="true"/>
        </w:rPr>
        <w:footnoteReference w:id="1820"/>
      </w:r>
      <w:r>
        <w:rPr>
          <w:rFonts w:ascii="Amiri" w:hAnsi="Amiri" w:eastAsia="Amiri" w:cs="Amiri"/>
          <w:color w:val="111111"/>
          <w:sz w:val="28"/>
          <w:sz w:val="28"/>
          <w:szCs w:val="28"/>
          <w:rtl w:val="true"/>
          <w:lang w:bidi="ar-SA"/>
        </w:rPr>
        <w:t>وصولَ الثوابِ و المَسارِّ</w:t>
      </w:r>
      <w:r>
        <w:rPr>
          <w:rStyle w:val="FootnoteAnchor"/>
          <w:rtl w:val="true"/>
        </w:rPr>
        <w:footnoteReference w:id="1821"/>
      </w:r>
      <w:r>
        <w:rPr>
          <w:rFonts w:ascii="Amiri" w:hAnsi="Amiri" w:eastAsia="Amiri" w:cs="Amiri"/>
          <w:color w:val="111111"/>
          <w:sz w:val="28"/>
          <w:sz w:val="28"/>
          <w:szCs w:val="28"/>
          <w:rtl w:val="true"/>
          <w:lang w:bidi="ar-SA"/>
        </w:rPr>
        <w:t>و التعظيمِ و التبجيلِ إلىٰ أعدائهما مِن موسىٰ و أنصارِه و شيعتِه، و مُشاهَدتُهم لذلكَ أو عِلمُهم به زائدٌ في عِقابِهم و مُقوٍّ لعَذابِهم و مُضاعِفٌ لإيلامِهم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يَخفىٰ صِحّتُه و اطّرادُه علىٰ مُتأمِّلٍ‌</w:t>
      </w:r>
      <w:r>
        <w:rPr>
          <w:rFonts w:eastAsia="Amiri" w:cs="Amiri" w:ascii="Amiri" w:hAnsi="Amiri"/>
          <w:color w:val="111111"/>
          <w:sz w:val="28"/>
          <w:szCs w:val="28"/>
          <w:rtl w:val="true"/>
          <w:lang w:bidi="ar-SA"/>
        </w:rPr>
        <w:t xml:space="preserve">. </w:t>
      </w:r>
      <w:bookmarkStart w:id="914" w:name="pg16425_221952"/>
    </w:p>
    <w:p>
      <w:pPr>
        <w:pStyle w:val="Heading3"/>
        <w:numPr>
          <w:ilvl w:val="2"/>
          <w:numId w:val="1"/>
        </w:numPr>
        <w:rPr/>
      </w:pPr>
      <w:bookmarkStart w:id="915" w:name="__RefHeading___Toc7830501_1280447820"/>
      <w:bookmarkStart w:id="916" w:name="_Toc299"/>
      <w:bookmarkEnd w:id="914"/>
      <w:bookmarkEnd w:id="915"/>
      <w:r>
        <w:rPr>
          <w:rtl w:val="true"/>
        </w:rPr>
        <w:t>(</w:t>
      </w:r>
      <w:r>
        <w:rPr/>
        <w:t>73</w:t>
      </w:r>
      <w:r>
        <w:rPr>
          <w:rtl w:val="true"/>
        </w:rPr>
        <w:t xml:space="preserve">) </w:t>
      </w:r>
      <w:r>
        <w:rPr>
          <w:rtl w:val="true"/>
        </w:rPr>
        <w:t>مسألةٌ في حُكمِ عبادةِ ولدِ الزنا</w:t>
      </w:r>
      <w:bookmarkEnd w:id="91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7" w:name="__RefHeading___Toc7830503_1280447820"/>
      <w:bookmarkStart w:id="918" w:name="_Toc300"/>
      <w:bookmarkEnd w:id="917"/>
      <w:r>
        <w:rPr>
          <w:rtl w:val="true"/>
        </w:rPr>
        <w:t>اشارة</w:t>
      </w:r>
      <w:bookmarkEnd w:id="91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9" w:name="pg16425_221954"/>
      <w:bookmarkStart w:id="920" w:name="pg16425_221954"/>
      <w:bookmarkEnd w:id="920"/>
    </w:p>
    <w:p>
      <w:pPr>
        <w:pStyle w:val="Heading4"/>
        <w:numPr>
          <w:ilvl w:val="3"/>
          <w:numId w:val="1"/>
        </w:numPr>
        <w:rPr/>
      </w:pPr>
      <w:bookmarkStart w:id="921" w:name="pg16425_221954"/>
      <w:bookmarkStart w:id="922" w:name="__RefHeading___Toc7830505_1280447820"/>
      <w:bookmarkStart w:id="923" w:name="_Toc301"/>
      <w:bookmarkEnd w:id="921"/>
      <w:bookmarkEnd w:id="922"/>
      <w:r>
        <w:rPr>
          <w:rtl w:val="true"/>
        </w:rPr>
        <w:t>مقدّمة التحقيق</w:t>
      </w:r>
      <w:bookmarkEnd w:id="923"/>
    </w:p>
    <w:p>
      <w:pPr>
        <w:pStyle w:val="Heading5"/>
        <w:numPr>
          <w:ilvl w:val="4"/>
          <w:numId w:val="1"/>
        </w:numPr>
        <w:rPr/>
      </w:pPr>
      <w:bookmarkStart w:id="924" w:name="__RefHeading___Toc7830507_1280447820"/>
      <w:bookmarkStart w:id="925" w:name="_Toc302"/>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يحتوي تراثنا الروائي على نقاط قد تصطدم أحياناً بحسب الظاهر مع الواقع الخارجيّ المُعاش، أو مع بعض الإدراكات الواضحة البديهيّة، الأمر الذي يتطلّب القيام برفع هذا التعارض الظاهري في سبيل رفع ما قد يرد على هذا التراث من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 الشريف المرتضى بهذه الناحية؛ فإنّه على الرغم من عدم إيمانه بحجّيّة خبر الواحد، إلّاأنّه حاول في أكثر من مناسبة توجيه الكثير من أخبار الآحاد، و البحث عن تخريج للإشكالات التي قد ترد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سُئل في هذه الرسالة عن توجيه ما ورد في بعض الأخبار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ولد الزنا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لا يكون من أهل الجنّة أبداً؛ فإنّ هذا النوع من الأخبار يتصادم مع الواقع الخارجيّ‌؛ لأنّنا نشاهد الكثير من أولاد الزنا يمارسون العبادات الدينيّة من صلاة و صيام؛ و مع هذا، كيف يكونون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يكتفِ الشريف المرتضى بالإجابة على هذا الإشكال فقط؛ بل أضاف إليه إشكالات أُخرى، و أجاب عنها ما أدّى إلى إثراء البحث، و تحويله إلى بحث مُمتع</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بدأ كعادته عند الإجابة على إشكالاتٍ يكون مصدرها أخبار آحاد، ببيان أنّ هذه الأخبار غير مقطوع على صحّتها، و بالتالي فهي ساقطة عن الحجّية، و بهذا يكون </w:t>
      </w:r>
    </w:p>
    <w:p>
      <w:pPr>
        <w:pStyle w:val="BookText"/>
        <w:rPr/>
      </w:pPr>
      <w:r>
        <w:rPr>
          <w:rFonts w:ascii="Amiri" w:hAnsi="Amiri" w:eastAsia="Amiri" w:cs="Amiri"/>
          <w:color w:val="111111"/>
          <w:sz w:val="28"/>
          <w:sz w:val="28"/>
          <w:szCs w:val="28"/>
          <w:rtl w:val="true"/>
          <w:lang w:bidi="ar-SA"/>
        </w:rPr>
        <w:t>الإشكال ساقطاً من الأساس، و لكن مع ذلك قام بالبحث عن توجيه للخبر، و ذلك من خلال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دخول كلّ ولد زنا في النار الوارد في الخبر هو أنّ اللّٰه تعالى يعلم أنّ كلّ ولد زنا لا يختار الإيمان، بل يختار الكفر و يموت عليه، أي أنّ كونه ولد زنا ليس له أيّ دخالة في دخوله النار، و إنّما هو علامة عليه فحسب، فكونه ولد زنا لا يعدّ ذنباً له، و إنّما هو ذنب أبويه، و إنّما سبب دخوله النار هو اختياره الكفر، و هذا ذنب له قد فعله باختياره، فيُعاقب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البحث في الحقيقة هو إجابة على الإشكال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 ولد الزنا إلى النار يتعارض مع إدراكاتنا البديهيّة المدرِكة للحسن و القبح، فإنّ كونه ولد زنا ليس ذنباً له، فلماذا يُعاقب عليه، و يدخل النار بسببه‌؟ إنّ هذا أمر قبيح و ظلم لا يفعله العادل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الشريف المرتضى على هذا الإشكال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إشكالاً آخر، و هو ما دام أنّ اللّٰه تعالى قد علم أنّ ولد الزنا سوف يختار الكفر و يدخل النار، فما معنى تكليفه، و أمْره بالواجبات، و نهيه عن المحرّمات‌؟</w:t>
      </w:r>
    </w:p>
    <w:p>
      <w:pPr>
        <w:pStyle w:val="BookText"/>
        <w:rPr/>
      </w:pPr>
      <w:r>
        <w:rPr>
          <w:rFonts w:ascii="Amiri" w:hAnsi="Amiri" w:eastAsia="Amiri" w:cs="Amiri"/>
          <w:color w:val="111111"/>
          <w:sz w:val="28"/>
          <w:sz w:val="28"/>
          <w:szCs w:val="28"/>
          <w:rtl w:val="true"/>
          <w:lang w:bidi="ar-SA"/>
        </w:rPr>
        <w:t>و أجاب بأنّنا لا نقطع أنّه سوف لن يختار إلّاالكفر و إن كان ظاهر أمره ذلك، فإذا لم يكن هناك قطع لم يقبح التكليف</w:t>
      </w:r>
      <w:r>
        <w:rPr>
          <w:rFonts w:eastAsia="Amiri" w:cs="Amiri" w:ascii="Amiri" w:hAnsi="Amiri"/>
          <w:color w:val="111111"/>
          <w:sz w:val="28"/>
          <w:szCs w:val="28"/>
          <w:rtl w:val="true"/>
          <w:lang w:bidi="ar-SA"/>
        </w:rPr>
        <w:t>.</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النقطة أجاب على الإشكال الذي طرحه السائل، و هو أنّنا نرى في واقعنا المُعاش الكثير من ولد الزنا يمارسون العبادات بأحسن صورة، فكيف يقال إنّهم لا يستحقّون الثواب، بل هم من أهل النار؟</w:t>
      </w:r>
    </w:p>
    <w:p>
      <w:pPr>
        <w:pStyle w:val="BookText"/>
        <w:rPr/>
      </w:pPr>
      <w:r>
        <w:rPr>
          <w:rFonts w:ascii="Amiri" w:hAnsi="Amiri" w:eastAsia="Amiri" w:cs="Amiri"/>
          <w:color w:val="111111"/>
          <w:sz w:val="28"/>
          <w:sz w:val="28"/>
          <w:szCs w:val="28"/>
          <w:rtl w:val="true"/>
          <w:lang w:bidi="ar-SA"/>
        </w:rPr>
        <w:t>و أجاب بجوابين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الاعتبار بظاهر العبادات، فلعلّ مَن يمارس العبادة بصورة حسنة إنّما </w:t>
      </w:r>
      <w:bookmarkStart w:id="926" w:name="pg16425_221956"/>
    </w:p>
    <w:p>
      <w:pPr>
        <w:pStyle w:val="BookText"/>
        <w:rPr/>
      </w:pPr>
      <w:bookmarkEnd w:id="926"/>
      <w:r>
        <w:rPr>
          <w:rFonts w:ascii="Amiri" w:hAnsi="Amiri" w:eastAsia="Amiri" w:cs="Amiri"/>
          <w:color w:val="111111"/>
          <w:sz w:val="28"/>
          <w:sz w:val="28"/>
          <w:szCs w:val="28"/>
          <w:rtl w:val="true"/>
          <w:lang w:bidi="ar-SA"/>
        </w:rPr>
        <w:t>يمارسها رياء و طلباً للسمعة، و ليس عنده أيّ إخلاص في الواقع، فلا يستحقّ الثواب على هذه الأعمال، و بذلك ينبغي عدم الاغترار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نظنّه ولد زنا ليس كذلك في الحقيقة، فإنّه قد يكون مولوداً من عقد صحيح، إلّاأنّه بحسب الظاهر يعدّ ولد زنا، فتكون عباداته التي يقوم بها مقبولة، و يكون مُثاباً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يكون الشريف المرتضى قد أجاب في هذه الرسالة على أهمّ الإشكالات التي يمكن أن ترد على هذا الخبر</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7830509_1280447820"/>
      <w:bookmarkStart w:id="928" w:name="_Toc303"/>
      <w:bookmarkEnd w:id="927"/>
      <w:r>
        <w:rPr>
          <w:rtl w:val="true"/>
        </w:rPr>
        <w:t>نسبتها إلى المؤلّف</w:t>
      </w:r>
      <w:bookmarkEnd w:id="928"/>
    </w:p>
    <w:p>
      <w:pPr>
        <w:pStyle w:val="BookText"/>
        <w:rPr/>
      </w:pPr>
      <w:r>
        <w:rPr>
          <w:rFonts w:ascii="Amiri" w:hAnsi="Amiri" w:eastAsia="Amiri" w:cs="Amiri"/>
          <w:color w:val="111111"/>
          <w:sz w:val="28"/>
          <w:sz w:val="28"/>
          <w:szCs w:val="28"/>
          <w:rtl w:val="true"/>
          <w:lang w:bidi="ar-SA"/>
        </w:rPr>
        <w:t xml:space="preserve">لقد أرجع الشريف المرتضى إلى هذه الرسالة في المسألة العاشرة من المسائل الطرابلسيات الثالثة المرسلة في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أشار فيها إلى الجوابين الأخيرين المذكورين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أشار إلى هذه الرسالة في كتابه الانتصار، حيث قال عند حديثه عن ردّ شهادة ابن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موضع لطيف لابدّ من تحقيقه، و قد حقّقناه في مسألة أمليناها قديماً في الخبر الذي يُروى بأنّ ولد الزنا لا يدخل الجنّة، و بسطنا القول فيها</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تصحيح نسبة الرسالة، و على أنّ هذه الرسالة قديمة، و ليست من مؤلّفاته المتأخّرة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كانت هذه الرسالة قد طبعت في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متفرّقة من الحديث و غيره</w:t>
      </w:r>
      <w:r>
        <w:rPr>
          <w:rFonts w:eastAsia="Amiri" w:cs="Amiri" w:ascii="Amiri" w:hAnsi="Amiri"/>
          <w:color w:val="111111"/>
          <w:sz w:val="28"/>
          <w:szCs w:val="28"/>
          <w:rtl w:val="true"/>
          <w:lang w:bidi="ar-SA"/>
        </w:rPr>
        <w:t xml:space="preserve">». </w:t>
      </w:r>
      <w:bookmarkStart w:id="929" w:name="pg16425_221957"/>
    </w:p>
    <w:p>
      <w:pPr>
        <w:pStyle w:val="Heading5"/>
        <w:numPr>
          <w:ilvl w:val="4"/>
          <w:numId w:val="1"/>
        </w:numPr>
        <w:rPr/>
      </w:pPr>
      <w:bookmarkStart w:id="930" w:name="__RefHeading___Toc7830511_1280447820"/>
      <w:bookmarkStart w:id="931" w:name="_Toc304"/>
      <w:bookmarkEnd w:id="929"/>
      <w:bookmarkEnd w:id="930"/>
      <w:r>
        <w:rPr>
          <w:rtl w:val="true"/>
        </w:rPr>
        <w:t>مخطوطات الرسالة</w:t>
      </w:r>
      <w:bookmarkEnd w:id="9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البروجردي، المرقّمة </w:t>
      </w:r>
      <w:r>
        <w:rPr>
          <w:rFonts w:eastAsia="Amiri" w:cs="Amiri" w:ascii="Amiri" w:hAnsi="Amiri"/>
          <w:color w:val="111111"/>
          <w:sz w:val="28"/>
          <w:szCs w:val="28"/>
          <w:lang w:bidi="ar-SA"/>
        </w:rPr>
        <w:t>374/9</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المكتبة الرضويّة المقدّسة بمشهد، المرقّمة </w:t>
      </w:r>
      <w:r>
        <w:rPr>
          <w:rFonts w:eastAsia="Amiri" w:cs="Amiri" w:ascii="Amiri" w:hAnsi="Amiri"/>
          <w:color w:val="111111"/>
          <w:sz w:val="28"/>
          <w:szCs w:val="28"/>
          <w:lang w:bidi="ar-SA"/>
        </w:rPr>
        <w:t>26147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تكرّرت أيضاً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تكرّرت أيضاً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932" w:name="pg16425_221958"/>
    </w:p>
    <w:p>
      <w:pPr>
        <w:pStyle w:val="BookText"/>
        <w:rPr/>
      </w:pPr>
      <w:bookmarkEnd w:id="93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3" w:name="__RefHeading___Toc7830513_1280447820"/>
      <w:bookmarkStart w:id="934" w:name="_Toc305"/>
      <w:bookmarkEnd w:id="933"/>
      <w:r>
        <w:rPr>
          <w:rtl w:val="true"/>
        </w:rPr>
        <w:t>مسألةٌ في حُكمِ عبادةِ ولدِ الزنا</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يَظهَرُ مِن ولدِ الزنا مِن صَلاةٍ و صيامٍ و قيامٍ لعبادةٍ كَيفَ القولُ فيه، مع الروايةِ الظاهرةِ أنّ ولدَ الزنا في النارِ، و أنّه لا يَكونُ قَطُّ مِن أهلِ الجَنّةِ؟</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موجودةٌ في كُتُبِ أصحابِنا، إلّاأنّها</w:t>
      </w:r>
      <w:r>
        <w:rPr>
          <w:rStyle w:val="FootnoteAnchor"/>
          <w:rtl w:val="true"/>
        </w:rPr>
        <w:footnoteReference w:id="1825"/>
      </w:r>
      <w:r>
        <w:rPr>
          <w:rFonts w:ascii="Amiri" w:hAnsi="Amiri" w:eastAsia="Amiri" w:cs="Amiri"/>
          <w:color w:val="111111"/>
          <w:sz w:val="28"/>
          <w:sz w:val="28"/>
          <w:szCs w:val="28"/>
          <w:rtl w:val="true"/>
          <w:lang w:bidi="ar-SA"/>
        </w:rPr>
        <w:t>غيرُ مقطوعٍ بها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وُلِدَ مِن زَنْيةٍ‌</w:t>
      </w:r>
      <w:r>
        <w:rPr>
          <w:rStyle w:val="FootnoteAnchor"/>
          <w:rtl w:val="true"/>
        </w:rPr>
        <w:footnoteReference w:id="1826"/>
      </w:r>
      <w:r>
        <w:rPr>
          <w:rFonts w:ascii="Amiri" w:hAnsi="Amiri" w:eastAsia="Amiri" w:cs="Amiri"/>
          <w:color w:val="111111"/>
          <w:sz w:val="28"/>
          <w:sz w:val="28"/>
          <w:szCs w:val="28"/>
          <w:rtl w:val="true"/>
          <w:lang w:bidi="ar-SA"/>
        </w:rPr>
        <w:t>، لا بُدَّ مِن</w:t>
      </w:r>
      <w:r>
        <w:rPr>
          <w:rStyle w:val="FootnoteAnchor"/>
          <w:rtl w:val="true"/>
        </w:rPr>
        <w:footnoteReference w:id="1827"/>
      </w:r>
      <w:r>
        <w:rPr>
          <w:rFonts w:ascii="Amiri" w:hAnsi="Amiri" w:eastAsia="Amiri" w:cs="Amiri"/>
          <w:color w:val="111111"/>
          <w:sz w:val="28"/>
          <w:sz w:val="28"/>
          <w:szCs w:val="28"/>
          <w:rtl w:val="true"/>
          <w:lang w:bidi="ar-SA"/>
        </w:rPr>
        <w:t>أن يَكونَ في</w:t>
      </w:r>
      <w:r>
        <w:rPr>
          <w:rStyle w:val="FootnoteAnchor"/>
          <w:rtl w:val="true"/>
        </w:rPr>
        <w:footnoteReference w:id="1828"/>
      </w:r>
      <w:r>
        <w:rPr>
          <w:rFonts w:ascii="Amiri" w:hAnsi="Amiri" w:eastAsia="Amiri" w:cs="Amiri"/>
          <w:color w:val="111111"/>
          <w:sz w:val="28"/>
          <w:sz w:val="28"/>
          <w:szCs w:val="28"/>
          <w:rtl w:val="true"/>
          <w:lang w:bidi="ar-SA"/>
        </w:rPr>
        <w:t>عِلمِ اللّٰهِ تَعالىٰ أنّه يَختارُ الكُفرَ و يَموتُ‌</w:t>
      </w:r>
      <w:r>
        <w:rPr>
          <w:rStyle w:val="FootnoteAnchor"/>
          <w:rtl w:val="true"/>
        </w:rPr>
        <w:footnoteReference w:id="1829"/>
      </w:r>
      <w:r>
        <w:rPr>
          <w:rFonts w:ascii="Amiri" w:hAnsi="Amiri" w:eastAsia="Amiri" w:cs="Amiri"/>
          <w:color w:val="111111"/>
          <w:sz w:val="28"/>
          <w:sz w:val="28"/>
          <w:szCs w:val="28"/>
          <w:rtl w:val="true"/>
          <w:lang w:bidi="ar-SA"/>
        </w:rPr>
        <w:t>عليه، و أنّه لا يَختارُ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كَونُه مِن ولدِ الزَّنْيةِ ذَنباً يؤاخَذُ به؛ فإنّ ذلكَ لَيسَ بذَنبٍ له</w:t>
      </w:r>
      <w:r>
        <w:rPr>
          <w:rStyle w:val="FootnoteAnchor"/>
          <w:rtl w:val="true"/>
        </w:rPr>
        <w:footnoteReference w:id="1830"/>
      </w:r>
      <w:r>
        <w:rPr>
          <w:rFonts w:ascii="Amiri" w:hAnsi="Amiri" w:eastAsia="Amiri" w:cs="Amiri"/>
          <w:color w:val="111111"/>
          <w:sz w:val="28"/>
          <w:sz w:val="28"/>
          <w:szCs w:val="28"/>
          <w:rtl w:val="true"/>
          <w:lang w:bidi="ar-SA"/>
        </w:rPr>
        <w:t>في نفسِه، و إنّما الذنبُ فيه</w:t>
      </w:r>
      <w:r>
        <w:rPr>
          <w:rStyle w:val="FootnoteAnchor"/>
          <w:rtl w:val="true"/>
        </w:rPr>
        <w:footnoteReference w:id="1831"/>
      </w:r>
      <w:r>
        <w:rPr>
          <w:rFonts w:ascii="Amiri" w:hAnsi="Amiri" w:eastAsia="Amiri" w:cs="Amiri"/>
          <w:color w:val="111111"/>
          <w:sz w:val="28"/>
          <w:sz w:val="28"/>
          <w:szCs w:val="28"/>
          <w:rtl w:val="true"/>
          <w:lang w:bidi="ar-SA"/>
        </w:rPr>
        <w:t>لأبوَيه؛ و لكِنَّه إنّما يُعاقَبُ بأفعالِه الذميمةِ القَبيحةِ التي عَلِمَ اللّٰهُ أنّه يَختارُها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يَصيرُ</w:t>
      </w:r>
      <w:r>
        <w:rPr>
          <w:rStyle w:val="FootnoteAnchor"/>
          <w:rtl w:val="true"/>
        </w:rPr>
        <w:footnoteReference w:id="1832"/>
      </w:r>
      <w:r>
        <w:rPr>
          <w:rFonts w:ascii="Amiri" w:hAnsi="Amiri" w:eastAsia="Amiri" w:cs="Amiri"/>
          <w:color w:val="111111"/>
          <w:sz w:val="28"/>
          <w:sz w:val="28"/>
          <w:szCs w:val="28"/>
          <w:rtl w:val="true"/>
          <w:lang w:bidi="ar-SA"/>
        </w:rPr>
        <w:t>كَونُه ولدَ زِناً علامةً‌</w:t>
      </w:r>
      <w:r>
        <w:rPr>
          <w:rStyle w:val="FootnoteAnchor"/>
          <w:rtl w:val="true"/>
        </w:rPr>
        <w:footnoteReference w:id="1833"/>
      </w:r>
      <w:r>
        <w:rPr>
          <w:rFonts w:ascii="Amiri" w:hAnsi="Amiri" w:eastAsia="Amiri" w:cs="Amiri"/>
          <w:color w:val="111111"/>
          <w:sz w:val="28"/>
          <w:sz w:val="28"/>
          <w:szCs w:val="28"/>
          <w:rtl w:val="true"/>
          <w:lang w:bidi="ar-SA"/>
        </w:rPr>
        <w:t>علىٰ وقوعِ ما يُستَحَقُّ به العِقابُ منه</w:t>
      </w:r>
      <w:r>
        <w:rPr>
          <w:rStyle w:val="FootnoteAnchor"/>
          <w:rtl w:val="true"/>
        </w:rPr>
        <w:footnoteReference w:id="1834"/>
      </w:r>
      <w:r>
        <w:rPr>
          <w:rFonts w:ascii="Amiri" w:hAnsi="Amiri" w:eastAsia="Amiri" w:cs="Amiri"/>
          <w:color w:val="111111"/>
          <w:sz w:val="28"/>
          <w:sz w:val="28"/>
          <w:szCs w:val="28"/>
          <w:rtl w:val="true"/>
          <w:lang w:bidi="ar-SA"/>
        </w:rPr>
        <w:t>، و أنّه مِن أهلِ النارِ بتلكَ الأفعالِ‌</w:t>
      </w:r>
      <w:r>
        <w:rPr>
          <w:rStyle w:val="FootnoteAnchor"/>
          <w:rtl w:val="true"/>
        </w:rPr>
        <w:footnoteReference w:id="1835"/>
      </w:r>
      <w:r>
        <w:rPr>
          <w:rFonts w:ascii="Amiri" w:hAnsi="Amiri" w:eastAsia="Amiri" w:cs="Amiri"/>
          <w:color w:val="111111"/>
          <w:sz w:val="28"/>
          <w:sz w:val="28"/>
          <w:szCs w:val="28"/>
          <w:rtl w:val="true"/>
          <w:lang w:bidi="ar-SA"/>
        </w:rPr>
        <w:t>، لا لأنّه مولودٌ مِن الزنا</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يَبقَ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تكليفُ ولدِ الزنا مع عِلمِه و قَطعِه علىٰ أنّه مِن أهلِ النارِ، و أنّه لا يَنتَفِعُ بتكليفِه،</w:t>
      </w:r>
      <w:r>
        <w:rPr>
          <w:rStyle w:val="FootnoteAnchor"/>
          <w:rtl w:val="true"/>
        </w:rPr>
        <w:footnoteReference w:id="1837"/>
      </w:r>
      <w:r>
        <w:rPr>
          <w:rFonts w:ascii="Amiri" w:hAnsi="Amiri" w:eastAsia="Amiri" w:cs="Amiri"/>
          <w:color w:val="111111"/>
          <w:sz w:val="28"/>
          <w:sz w:val="28"/>
          <w:szCs w:val="28"/>
          <w:rtl w:val="true"/>
          <w:lang w:bidi="ar-SA"/>
        </w:rPr>
        <w:t>و لا يَختارُ إلّاما يُستَحَقُّ به العِقابُ؟</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يَقطَعُ‌</w:t>
      </w:r>
      <w:r>
        <w:rPr>
          <w:rStyle w:val="FootnoteAnchor"/>
          <w:rtl w:val="true"/>
        </w:rPr>
        <w:footnoteReference w:id="1838"/>
      </w:r>
      <w:r>
        <w:rPr>
          <w:rFonts w:ascii="Amiri" w:hAnsi="Amiri" w:eastAsia="Amiri" w:cs="Amiri"/>
          <w:color w:val="111111"/>
          <w:sz w:val="28"/>
          <w:sz w:val="28"/>
          <w:szCs w:val="28"/>
          <w:rtl w:val="true"/>
          <w:lang w:bidi="ar-SA"/>
        </w:rPr>
        <w:t>ولدُ الزنا أنّه كذلكَ لا مَحالةَ‌، و إن كانَ هُناكَ ظَنٌّ علىٰ ظاهرِ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قاطعاً علىٰ ذلكَ لَم يَقبُحِ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نَرىٰ كَثيراً مِن أولادِ الزنا يُصَلّونَ و يَقومونَ بالعباداتِ أحسَنَ قيامٍ‌، فكَيفَ لا يَستَحِقّونَ الثوابَ؟</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الاعتبارُ</w:t>
      </w:r>
      <w:r>
        <w:rPr>
          <w:rStyle w:val="FootnoteAnchor"/>
          <w:rtl w:val="true"/>
        </w:rPr>
        <w:footnoteReference w:id="1839"/>
      </w:r>
      <w:r>
        <w:rPr>
          <w:rFonts w:ascii="Amiri" w:hAnsi="Amiri" w:eastAsia="Amiri" w:cs="Amiri"/>
          <w:color w:val="111111"/>
          <w:sz w:val="28"/>
          <w:sz w:val="28"/>
          <w:szCs w:val="28"/>
          <w:rtl w:val="true"/>
          <w:lang w:bidi="ar-SA"/>
        </w:rPr>
        <w:t>في ذلكَ بظَواهرِ الأُمورِ؛ فرُبَّما كانَت تلكَ الأفعالُ منه رياءً و سُمعةً‌، و واقعاً</w:t>
      </w:r>
      <w:r>
        <w:rPr>
          <w:rStyle w:val="FootnoteAnchor"/>
          <w:rtl w:val="true"/>
        </w:rPr>
        <w:footnoteReference w:id="1840"/>
      </w:r>
      <w:r>
        <w:rPr>
          <w:rFonts w:ascii="Amiri" w:hAnsi="Amiri" w:eastAsia="Amiri" w:cs="Amiri"/>
          <w:color w:val="111111"/>
          <w:sz w:val="28"/>
          <w:sz w:val="28"/>
          <w:szCs w:val="28"/>
          <w:rtl w:val="true"/>
          <w:lang w:bidi="ar-SA"/>
        </w:rPr>
        <w:t>علىٰ وجهٍ لا يَقتَضي استحقاقَ الثوابِ‌</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الذي يُظَنُّ أنّه علَى</w:t>
      </w:r>
      <w:r>
        <w:rPr>
          <w:rStyle w:val="FootnoteAnchor"/>
          <w:rtl w:val="true"/>
        </w:rPr>
        <w:footnoteReference w:id="1841"/>
      </w:r>
      <w:r>
        <w:rPr>
          <w:rFonts w:ascii="Amiri" w:hAnsi="Amiri" w:eastAsia="Amiri" w:cs="Amiri"/>
          <w:color w:val="111111"/>
          <w:sz w:val="28"/>
          <w:sz w:val="28"/>
          <w:szCs w:val="28"/>
          <w:rtl w:val="true"/>
          <w:lang w:bidi="ar-SA"/>
        </w:rPr>
        <w:t>الظاهرِ ولدُ الزنا مُولَداً عن عَقدٍ صَحيحٍ‌، و إن كانَ الظاهرُ بخِلافِه، فيَجوزُ أن يَكونَ هذا الظاهرُ منه مِن الطاعاتِ مُوافِقاً للباطنِ‌</w:t>
      </w:r>
      <w:r>
        <w:rPr>
          <w:rFonts w:eastAsia="Amiri" w:cs="Amiri" w:ascii="Amiri" w:hAnsi="Amiri"/>
          <w:color w:val="111111"/>
          <w:sz w:val="28"/>
          <w:szCs w:val="28"/>
          <w:rtl w:val="true"/>
          <w:lang w:bidi="ar-SA"/>
        </w:rPr>
        <w:t xml:space="preserve">. </w:t>
      </w:r>
      <w:bookmarkStart w:id="935" w:name="pg16425_221960"/>
    </w:p>
    <w:p>
      <w:pPr>
        <w:pStyle w:val="Heading3"/>
        <w:numPr>
          <w:ilvl w:val="2"/>
          <w:numId w:val="1"/>
        </w:numPr>
        <w:rPr/>
      </w:pPr>
      <w:bookmarkStart w:id="936" w:name="__RefHeading___Toc7830515_1280447820"/>
      <w:bookmarkStart w:id="937" w:name="_Toc306"/>
      <w:bookmarkEnd w:id="935"/>
      <w:bookmarkEnd w:id="936"/>
      <w:r>
        <w:rPr/>
        <w:t>74</w:t>
      </w:r>
      <w:r>
        <w:rPr>
          <w:rtl w:val="true"/>
        </w:rPr>
        <w:t xml:space="preserve"> </w:t>
      </w:r>
      <w:r>
        <w:rPr>
          <w:rtl w:val="true"/>
        </w:rPr>
        <w:t>أقاويل العَرَبِ في الجاهليّةِ‌، و مذاهبُ عَبَدَةِ الأصنامِ‌</w:t>
      </w:r>
      <w:bookmarkEnd w:id="93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8" w:name="__RefHeading___Toc7830517_1280447820"/>
      <w:bookmarkStart w:id="939" w:name="_Toc307"/>
      <w:bookmarkEnd w:id="938"/>
      <w:r>
        <w:rPr>
          <w:rtl w:val="true"/>
        </w:rPr>
        <w:t>اشارة</w:t>
      </w:r>
      <w:bookmarkEnd w:id="939"/>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0" w:name="pg16425_221962"/>
      <w:bookmarkStart w:id="941" w:name="pg16425_221962"/>
      <w:bookmarkEnd w:id="941"/>
    </w:p>
    <w:p>
      <w:pPr>
        <w:pStyle w:val="Heading4"/>
        <w:numPr>
          <w:ilvl w:val="3"/>
          <w:numId w:val="1"/>
        </w:numPr>
        <w:rPr/>
      </w:pPr>
      <w:bookmarkStart w:id="942" w:name="pg16425_221962"/>
      <w:bookmarkStart w:id="943" w:name="__RefHeading___Toc7830519_1280447820"/>
      <w:bookmarkStart w:id="944" w:name="_Toc308"/>
      <w:bookmarkEnd w:id="942"/>
      <w:bookmarkEnd w:id="943"/>
      <w:r>
        <w:rPr>
          <w:rtl w:val="true"/>
        </w:rPr>
        <w:t>مقدّمة التحقيق</w:t>
      </w:r>
      <w:bookmarkEnd w:id="944"/>
    </w:p>
    <w:p>
      <w:pPr>
        <w:pStyle w:val="Heading5"/>
        <w:numPr>
          <w:ilvl w:val="4"/>
          <w:numId w:val="1"/>
        </w:numPr>
        <w:rPr/>
      </w:pPr>
      <w:bookmarkStart w:id="945" w:name="__RefHeading___Toc7830521_1280447820"/>
      <w:bookmarkStart w:id="946" w:name="_Toc309"/>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 xml:space="preserve">وُجِدت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بالأحرى النصّان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رسائل الشريف المرتضى، و لذلك نسبت إليه، مع أنّه لا توجد أيّ قرائن داخليّة أو خارجيّة تدلّ على نسبتها إليه؛ فإنّه لم ينسب إليه أحد من أصحاب الفهارس رسالة بهذا العنوان، كما لا يوجد عند مطالعة محتواها ما يدلّ على أنّه هو المؤلّف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تحتوي هذه الرسالة على نصّين أو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المنقول من كتاب أبي عيسى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عقائد العرب في الجاهليّة، و يتطرّق إلى مجموعة من الشخصيّات الكبيرة التي كانت تؤمن في الجاهليّة بالخالق و المعاد و الثواب و العقاب، و يبدأ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أبو عيسى الورّاق في كتابه كتاب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صنوف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أقرّوا بالخالق</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النصّ باختصار في كتابه</w:t>
      </w:r>
      <w:r>
        <w:rPr>
          <w:rStyle w:val="FootnoteAnchor"/>
          <w:rtl w:val="true"/>
        </w:rPr>
        <w:footnoteReference w:id="1842"/>
      </w:r>
      <w:r>
        <w:rPr>
          <w:rFonts w:ascii="Amiri" w:hAnsi="Amiri" w:eastAsia="Amiri" w:cs="Amiri"/>
          <w:color w:val="111111"/>
          <w:sz w:val="28"/>
          <w:sz w:val="28"/>
          <w:szCs w:val="28"/>
          <w:rtl w:val="true"/>
          <w:lang w:bidi="ar-SA"/>
        </w:rPr>
        <w:t>، كما نقله أبو المعالي العلوي في كتابه بعد أن ترجمه إلى الفارسيّة، حيث قال 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أبو عيسى الورّاق في كتابه أنّ جماعة من العرب كانوا مُقِرّين بالصانع و القيامة</w:t>
      </w:r>
      <w:r>
        <w:rPr>
          <w:rFonts w:eastAsia="Amiri" w:cs="Amiri" w:ascii="Amiri" w:hAnsi="Amiri"/>
          <w:color w:val="111111"/>
          <w:sz w:val="28"/>
          <w:szCs w:val="28"/>
          <w:rtl w:val="true"/>
          <w:lang w:bidi="ar-SA"/>
        </w:rPr>
        <w:t>...»</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النصّ أو 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منقول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و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الحسن بن موسى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ذكر مذاهب أهل الأصنام، و ذكر البيوت و النيران المعظمة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يبدأ بعد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الحسن بن موسىٰ عن قوم ممّن يعرف أُمور العالم و يبحث عن قصصهم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جعفر بن محمّد المنجّم أبو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أهل الهند و الصين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بعد ذلك سردٌ مختصر لكيفيّة نشوء عبادة الكواكب و الأصنام عند الأُمم المختلفة و استعراض لبيوت الأصنام، إضافة إلى إشارة لعبادة النار و بيوت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الرسالة مؤلّفة من نصّين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منقول من كتاب الورّاق، و الثاني من كتاب النوبختي، و لا توجد هناك أيّ إضافة على هذين النصّين</w:t>
      </w:r>
      <w:r>
        <w:rPr>
          <w:rFonts w:eastAsia="Amiri" w:cs="Amiri" w:ascii="Amiri" w:hAnsi="Amiri"/>
          <w:color w:val="111111"/>
          <w:sz w:val="28"/>
          <w:szCs w:val="28"/>
          <w:rtl w:val="true"/>
          <w:lang w:bidi="ar-SA"/>
        </w:rPr>
        <w:t>.</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و لكن ينبغي التنويه إلى وجود احتمال أن يكون النصّ الأوّل منقولاً أيضاً من كتاب النوبختي، بمعنى أنّ النوبختي قام في كتابه بنقل النصّ الأوّل من كتاب أبي عيسى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ممكن؛ فإنّ النوبختي متأخّر زمنيّاً عن الورّاق، و ليس غريباً أن يعتمد في كتابه على كتاب الأخير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لهذا الاحتمال أنّ القاضي عبد الجبّار قد نقل النصّين معاً؛ لكنّه نقلهما بتقديم و تأخير، فنقل النصّ الثاني قبل الأوّل، و عند نقله للثاني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الحسنُ بن موسى عن أبي معشر المنجّم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نهاية هذا النصّ قام بنقل النصّ الأوّل مباشرة عاطفاً له على النصّ السابق،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حكى عن أبي عيسى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bookmarkStart w:id="947" w:name="pg16425_221964"/>
    </w:p>
    <w:p>
      <w:pPr>
        <w:pStyle w:val="BookText"/>
        <w:rPr/>
      </w:pPr>
      <w:bookmarkEnd w:id="947"/>
      <w:r>
        <w:rPr>
          <w:rFonts w:ascii="Amiri" w:hAnsi="Amiri" w:eastAsia="Amiri" w:cs="Amiri"/>
          <w:color w:val="111111"/>
          <w:sz w:val="28"/>
          <w:sz w:val="28"/>
          <w:szCs w:val="28"/>
          <w:rtl w:val="true"/>
          <w:lang w:bidi="ar-SA"/>
        </w:rPr>
        <w:t>قرأنا الفعل بصورة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المبني للمعلوم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الحسنُ بن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يكون الضمير راجعاً إلى النوبختي، و بذلك يكون النوبختي قد حَكى مطلبَين عن شخصيّتين،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معشر المنجّم، و أبو عيسى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قرأناه بصورة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بالمبني للمجهول فسوف ينتفي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صحّ احتمال القراءة بالمبني للمعلوم، فهو يعني أنّ النصّين المنقولين في الرسالة محلّ بحثنا منقولان في الحقيقة من كتاب النوبختي، فيكون من المُحتمل أنّ المؤلّف للرسالة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هو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كتاب النوبختي، أو فصولاً منه على تلامذته، فقرأ هذين النصّين المنقولين من كتاب أبي معشر و أبي عيسىٰ‌، و كتب التلامذة ما قرأه عليهم الأُستاذ، ثمّ بعد مرور الزمان تصوّر البعض أنّ هذين النصّين رسالة من رسائل ذلك الأُستاذ، فوضعت في ضمن رسائله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فليس في هذه الرسالة أيّ نشاط علميّ للمؤلّف؛ فإنّه لم يقم إلّا بنقل نصوص من بعض الكتب،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كانت هذه الرسالة قد طبعت في ضمن رسائل الشريف المرتضى،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7830523_1280447820"/>
      <w:bookmarkStart w:id="949" w:name="_Toc310"/>
      <w:bookmarkEnd w:id="948"/>
      <w:r>
        <w:rPr>
          <w:rtl w:val="true"/>
        </w:rPr>
        <w:t>مخطوطات الرسالة</w:t>
      </w:r>
      <w:bookmarkEnd w:id="9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7615</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14254</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آية اللّٰه المرعشي رحمه اللّٰه بقمّ‌، المرقّمة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تقع في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المجموعة، و رمزنا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قمنا بمقابلة بعض مقاطع الفصل الثاني من الرسالة مع كتاب المعتمد لابن الملاحمي، و المغني للقاضي عبد الجبّار، و الملل و النحل للشهرستاني، و أثبتنا أهمّ الاختلافات</w:t>
      </w:r>
      <w:r>
        <w:rPr>
          <w:rFonts w:eastAsia="Amiri" w:cs="Amiri" w:ascii="Amiri" w:hAnsi="Amiri"/>
          <w:color w:val="111111"/>
          <w:sz w:val="28"/>
          <w:szCs w:val="28"/>
          <w:rtl w:val="true"/>
          <w:lang w:bidi="ar-SA"/>
        </w:rPr>
        <w:t xml:space="preserve">. </w:t>
      </w:r>
      <w:bookmarkStart w:id="950" w:name="pg16425_221966"/>
    </w:p>
    <w:p>
      <w:pPr>
        <w:pStyle w:val="Heading4"/>
        <w:numPr>
          <w:ilvl w:val="3"/>
          <w:numId w:val="1"/>
        </w:numPr>
        <w:rPr/>
      </w:pPr>
      <w:bookmarkStart w:id="951" w:name="__RefHeading___Toc7830525_1280447820"/>
      <w:bookmarkStart w:id="952" w:name="_Toc311"/>
      <w:bookmarkEnd w:id="950"/>
      <w:bookmarkEnd w:id="951"/>
      <w:r>
        <w:rPr>
          <w:rtl w:val="true"/>
        </w:rPr>
        <w:t>أقاويل العَرَبِ في الجاهليّةِ‌، و مذاهبُ عَبَدَةِ الأصنامِ‌</w:t>
      </w:r>
      <w:bookmarkEnd w:id="952"/>
    </w:p>
    <w:p>
      <w:pPr>
        <w:pStyle w:val="Heading5"/>
        <w:numPr>
          <w:ilvl w:val="4"/>
          <w:numId w:val="1"/>
        </w:numPr>
        <w:rPr/>
      </w:pPr>
      <w:bookmarkStart w:id="953" w:name="__RefHeading___Toc7830527_1280447820"/>
      <w:bookmarkStart w:id="954" w:name="_Toc312"/>
      <w:bookmarkEnd w:id="953"/>
      <w:r>
        <w:rPr>
          <w:rtl w:val="true"/>
        </w:rPr>
        <w:t>اشارة</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7830529_1280447820"/>
      <w:bookmarkStart w:id="956" w:name="_Toc313"/>
      <w:bookmarkEnd w:id="955"/>
      <w:r>
        <w:rPr/>
        <w:t>1</w:t>
      </w:r>
      <w:r>
        <w:rPr>
          <w:rtl w:val="true"/>
        </w:rPr>
        <w:t xml:space="preserve"> </w:t>
      </w:r>
      <w:r>
        <w:rPr>
          <w:rtl w:val="true"/>
        </w:rPr>
        <w:t>فصلٌ في أقاويلِ العَرَبِ في الجاهليّةِ‌</w:t>
      </w:r>
      <w:bookmarkEnd w:id="956"/>
    </w:p>
    <w:p>
      <w:pPr>
        <w:pStyle w:val="Heading6"/>
        <w:numPr>
          <w:ilvl w:val="5"/>
          <w:numId w:val="1"/>
        </w:numPr>
        <w:rPr/>
      </w:pPr>
      <w:bookmarkStart w:id="957" w:name="__RefHeading___Toc7830531_1280447820"/>
      <w:bookmarkStart w:id="958" w:name="_Toc314"/>
      <w:bookmarkEnd w:id="957"/>
      <w:r>
        <w:rPr>
          <w:rtl w:val="true"/>
        </w:rPr>
        <w:t>أديان العرب و مذاهبهم</w:t>
      </w:r>
      <w:bookmarkEnd w:id="95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أبو عيسَى الوَرّاقُ‌</w:t>
      </w:r>
      <w:r>
        <w:rPr>
          <w:rStyle w:val="FootnoteAnchor"/>
          <w:rtl w:val="true"/>
        </w:rPr>
        <w:footnoteReference w:id="1845"/>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المَقالاتِ‌</w:t>
      </w:r>
      <w:r>
        <w:rPr>
          <w:rFonts w:eastAsia="Amiri" w:cs="Amiri" w:ascii="Amiri" w:hAnsi="Amiri"/>
          <w:color w:val="111111"/>
          <w:sz w:val="28"/>
          <w:szCs w:val="28"/>
          <w:rtl w:val="true"/>
          <w:lang w:bidi="ar-SA"/>
        </w:rPr>
        <w:t>»</w:t>
      </w:r>
      <w:r>
        <w:rPr>
          <w:rStyle w:val="FootnoteAnchor"/>
          <w:rtl w:val="true"/>
        </w:rPr>
        <w:footnoteReference w:id="1846"/>
      </w:r>
      <w:r>
        <w:rPr>
          <w:rFonts w:ascii="Amiri" w:hAnsi="Amiri" w:eastAsia="Amiri" w:cs="Amiri"/>
          <w:color w:val="111111"/>
          <w:sz w:val="28"/>
          <w:sz w:val="28"/>
          <w:szCs w:val="28"/>
          <w:rtl w:val="true"/>
          <w:lang w:bidi="ar-SA"/>
        </w:rPr>
        <w:t>أنّ العَرَبَ صُنوفٌ شَتّىٰ‌</w:t>
      </w:r>
      <w:r>
        <w:rPr>
          <w:rFonts w:eastAsia="Amiri" w:cs="Amiri" w:ascii="Amiri" w:hAnsi="Amiri"/>
          <w:color w:val="111111"/>
          <w:sz w:val="28"/>
          <w:szCs w:val="28"/>
          <w:rtl w:val="true"/>
          <w:lang w:bidi="ar-SA"/>
        </w:rPr>
        <w:t xml:space="preserve">: </w:t>
      </w:r>
      <w:bookmarkStart w:id="959" w:name="pg16425_221967"/>
    </w:p>
    <w:p>
      <w:pPr>
        <w:pStyle w:val="BookText"/>
        <w:rPr/>
      </w:pPr>
      <w:bookmarkEnd w:id="95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أقَرّوا</w:t>
      </w:r>
      <w:r>
        <w:rPr>
          <w:rStyle w:val="FootnoteAnchor"/>
          <w:rtl w:val="true"/>
        </w:rPr>
        <w:footnoteReference w:id="1847"/>
      </w:r>
      <w:r>
        <w:rPr>
          <w:rFonts w:ascii="Amiri" w:hAnsi="Amiri" w:eastAsia="Amiri" w:cs="Amiri"/>
          <w:color w:val="111111"/>
          <w:sz w:val="28"/>
          <w:sz w:val="28"/>
          <w:szCs w:val="28"/>
          <w:rtl w:val="true"/>
          <w:lang w:bidi="ar-SA"/>
        </w:rPr>
        <w:t xml:space="preserve">بالخالقِ و بالابتداءِ و الإعادةِ‌، و أنكَروا الرُّسُلَ‌، و عَبَدوا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لِتُقرِّبَهُم إلَى اللّٰهِ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حَجّوا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إليها، و نَحَروا لها الهَدايا، و نَسَكوا لها النَّسائكَ‌، و أحَلّوا لها و حَرَّموا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صِنفٌ‌ أقَرّوا بالخالقِ و بابتداءِ الخَلقِ‌، و أنكَروا الإعادةَ و البَعثَ و النُّشورَ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صِنفٌ‌ أنكَروا الخالقَ و البَعثَ و الإعادةَ‌، و مالوا إلَى التعطيلِ و القولِ بالدَّهرِ؛ و هُم الذينَ أَخبَرَ القُرآنُ عن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إِلاّٰ حَيٰاتُنَا اَلدُّنْيٰا نَمُوتُ وَ نَحْيٰا وَ مٰا يُهْلِكُنٰا إِلاَّ اَلدَّهْرُ</w:t>
      </w:r>
      <w:r>
        <w:rPr>
          <w:rFonts w:eastAsia="Amiri" w:cs="Amiri" w:ascii="Amiri" w:hAnsi="Amiri"/>
          <w:color w:val="111111"/>
          <w:sz w:val="28"/>
          <w:szCs w:val="28"/>
          <w:rtl w:val="true"/>
          <w:lang w:bidi="ar-SA"/>
        </w:rPr>
        <w:t xml:space="preserve">»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صِنفٌ‌ مالوا إلَى اليَهوديّةِ‌، و آخَرُ إلَى النَّصرانيةِ‌</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7830533_1280447820"/>
      <w:bookmarkStart w:id="961" w:name="_Toc315"/>
      <w:bookmarkEnd w:id="960"/>
      <w:r>
        <w:rPr>
          <w:rtl w:val="true"/>
        </w:rPr>
        <w:t>الموحِّدون من العرب</w:t>
      </w:r>
      <w:bookmarkEnd w:id="96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كانَ يُقِرُّ بالخالقِ و ابتداءِ الخَلقِ و الإعادةِ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بنُ هاشِمِ بنِ عَبدِ مَنافٍ‌، و زَيدُ بنُ عَمرِو بنِ نُفَيلٍ‌</w:t>
      </w:r>
      <w:r>
        <w:rPr>
          <w:rStyle w:val="FootnoteAnchor"/>
          <w:rtl w:val="true"/>
        </w:rPr>
        <w:footnoteReference w:id="1849"/>
      </w:r>
      <w:r>
        <w:rPr>
          <w:rFonts w:ascii="Amiri" w:hAnsi="Amiri" w:eastAsia="Amiri" w:cs="Amiri"/>
          <w:color w:val="111111"/>
          <w:sz w:val="28"/>
          <w:sz w:val="28"/>
          <w:szCs w:val="28"/>
          <w:rtl w:val="true"/>
          <w:lang w:bidi="ar-SA"/>
        </w:rPr>
        <w:t>، و قُسُّ بنُ ساعِدةَ الإياديُّ‌</w:t>
      </w:r>
      <w:r>
        <w:rPr>
          <w:rStyle w:val="FootnoteAnchor"/>
          <w:rtl w:val="true"/>
        </w:rPr>
        <w:footnoteReference w:id="185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عامِرُ بنُ الظَّرِبِ العَدْوانيُّ‌</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المُطَّلِبِ‌ يوصي وُلدَه بتَركِ الظُّلمِ‌، و يأمُرُهم بمَكارِمِ الأخلاقِ‌، و يَنهىٰ عن دَنيِّها</w:t>
      </w:r>
      <w:r>
        <w:rPr>
          <w:rStyle w:val="FootnoteAnchor"/>
          <w:rtl w:val="true"/>
        </w:rPr>
        <w:footnoteReference w:id="1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بَدئيّاً، يَقولُ في وَصاياه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w:t>
      </w:r>
      <w:r>
        <w:rPr>
          <w:rStyle w:val="FootnoteAnchor"/>
          <w:rtl w:val="true"/>
        </w:rPr>
        <w:footnoteReference w:id="1853"/>
      </w:r>
      <w:r>
        <w:rPr>
          <w:rFonts w:ascii="Amiri" w:hAnsi="Amiri" w:eastAsia="Amiri" w:cs="Amiri"/>
          <w:color w:val="111111"/>
          <w:sz w:val="28"/>
          <w:sz w:val="28"/>
          <w:szCs w:val="28"/>
          <w:rtl w:val="true"/>
          <w:lang w:bidi="ar-SA"/>
        </w:rPr>
        <w:t>يَخرُجَ مِن الدُّنيا ظَلومٌ حَتّىٰ يَنتَقِمَ اللّٰهُ منه و يُصيبَه 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هَلَكَ رجُلٌ ظَلومٌ و ماتَ حَتفَ أنفِه لَم تُصِبْه عقوبةٌ‌، فقيلَ لعَبدِ المُطَّلِبِ ذلكَ‌، ففَكَّرَ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إنّ وَراءَ هذه الدارِ داراً، يُجزىٰ فيها</w:t>
      </w:r>
      <w:r>
        <w:rPr>
          <w:rStyle w:val="FootnoteAnchor"/>
          <w:rtl w:val="true"/>
        </w:rPr>
        <w:footnoteReference w:id="1854"/>
      </w:r>
      <w:r>
        <w:rPr>
          <w:rFonts w:ascii="Amiri" w:hAnsi="Amiri" w:eastAsia="Amiri" w:cs="Amiri"/>
          <w:color w:val="111111"/>
          <w:sz w:val="28"/>
          <w:sz w:val="28"/>
          <w:szCs w:val="28"/>
          <w:rtl w:val="true"/>
          <w:lang w:bidi="ar-SA"/>
        </w:rPr>
        <w:t>المُحسِنُ بإحسانِه، و المُسيءُ يُعاقَبُ علىٰ إساءتِه</w:t>
      </w:r>
      <w:r>
        <w:rPr>
          <w:rFonts w:eastAsia="Amiri" w:cs="Amiri" w:ascii="Amiri" w:hAnsi="Amiri"/>
          <w:color w:val="111111"/>
          <w:sz w:val="28"/>
          <w:szCs w:val="28"/>
          <w:rtl w:val="true"/>
          <w:lang w:bidi="ar-SA"/>
        </w:rPr>
        <w:t>».</w:t>
      </w:r>
      <w:r>
        <w:rPr>
          <w:rStyle w:val="FootnoteAnchor"/>
          <w:rtl w:val="true"/>
        </w:rPr>
        <w:footnoteReference w:id="1855"/>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دَلَّ علىٰ إقرارِه بالإعادةِ قولُه و هو يَضرِبُ بالقِداحِ علىٰ عبدِ اللّٰهِ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الإبِلِ‌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رَبِّ‌، أنتَ المَلِكُ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رَبّي المُبدئُ المُعيدُ</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مِن عِندِكَ‌</w:t>
      </w:r>
      <w:r>
        <w:rPr>
          <w:rStyle w:val="FootnoteAnchor"/>
          <w:rtl w:val="true"/>
        </w:rPr>
        <w:footnoteReference w:id="1857"/>
      </w:r>
      <w:r>
        <w:rPr>
          <w:rFonts w:ascii="Amiri" w:hAnsi="Amiri" w:eastAsia="Amiri" w:cs="Amiri"/>
          <w:color w:val="111111"/>
          <w:sz w:val="28"/>
          <w:sz w:val="28"/>
          <w:szCs w:val="28"/>
          <w:rtl w:val="true"/>
          <w:lang w:bidi="ar-SA"/>
        </w:rPr>
        <w:t>الطارِفُ و التَّليدُ</w:t>
      </w:r>
    </w:p>
    <w:p>
      <w:pPr>
        <w:pStyle w:val="BookText"/>
        <w:rPr/>
      </w:pPr>
      <w:r>
        <w:rPr>
          <w:rFonts w:ascii="Amiri" w:hAnsi="Amiri" w:eastAsia="Amiri" w:cs="Amiri"/>
          <w:color w:val="111111"/>
          <w:sz w:val="28"/>
          <w:sz w:val="28"/>
          <w:szCs w:val="28"/>
          <w:rtl w:val="true"/>
          <w:lang w:bidi="ar-SA"/>
        </w:rPr>
        <w:t>في أُرجوزةٍ طَويلةٍ‌</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زَعَمَ بعضُ الناسِ أنّ عَبدَ المُطَّلِبِ لَم يَعبُدْ صَنَماً، و أنّه كانَ مُوحِّداً حَنيفاً علىٰ مِلّةِ إبراهيمَ‌، و كذلكَ كانَ أبو النبيِّ صَلَّى اللّٰهُ عليه و آلِه</w:t>
      </w:r>
      <w:r>
        <w:rPr>
          <w:rFonts w:eastAsia="Amiri" w:cs="Amiri" w:ascii="Amiri" w:hAnsi="Amiri"/>
          <w:color w:val="111111"/>
          <w:sz w:val="28"/>
          <w:szCs w:val="28"/>
          <w:rtl w:val="true"/>
          <w:lang w:bidi="ar-SA"/>
        </w:rPr>
        <w:t>.</w:t>
      </w:r>
      <w:r>
        <w:rPr>
          <w:rStyle w:val="FootnoteAnchor"/>
          <w:rtl w:val="true"/>
        </w:rPr>
        <w:footnoteReference w:id="18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زَيدُ بنُ عَمرِو بنِ نُفَيلٍ‌، فكانَ يُسنِدُ ظَهرَه إلَى الكعبةِ‌،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هَلُمّوا إلَيَّ‌؛ فإنّه لَم يَبقَ علىٰ دينِ إبراهيمَ أحَدٌ غَيري</w:t>
      </w:r>
      <w:r>
        <w:rPr>
          <w:rFonts w:eastAsia="Amiri" w:cs="Amiri" w:ascii="Amiri" w:hAnsi="Amiri"/>
          <w:color w:val="111111"/>
          <w:sz w:val="28"/>
          <w:szCs w:val="28"/>
          <w:rtl w:val="true"/>
          <w:lang w:bidi="ar-SA"/>
        </w:rPr>
        <w:t>».</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و سَمِعَ أُمَيّةَ بنَ أبي الصَّلتِ‌</w:t>
      </w:r>
      <w:r>
        <w:rPr>
          <w:rStyle w:val="FootnoteAnchor"/>
          <w:rtl w:val="true"/>
        </w:rPr>
        <w:footnoteReference w:id="1861"/>
      </w:r>
      <w:r>
        <w:rPr>
          <w:rFonts w:ascii="Amiri" w:hAnsi="Amiri" w:eastAsia="Amiri" w:cs="Amiri"/>
          <w:color w:val="111111"/>
          <w:sz w:val="28"/>
          <w:sz w:val="28"/>
          <w:szCs w:val="28"/>
          <w:rtl w:val="true"/>
          <w:lang w:bidi="ar-SA"/>
        </w:rPr>
        <w:t>يَوماً يُنشِدُ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دينٍ يَومَ‌</w:t>
      </w:r>
      <w:r>
        <w:rPr>
          <w:rStyle w:val="FootnoteAnchor"/>
          <w:rtl w:val="true"/>
        </w:rPr>
        <w:footnoteReference w:id="1862"/>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إلّا</w:t>
      </w:r>
      <w:r>
        <w:rPr>
          <w:rStyle w:val="FootnoteAnchor"/>
          <w:rtl w:val="true"/>
        </w:rPr>
        <w:footnoteReference w:id="1863"/>
      </w:r>
      <w:r>
        <w:rPr>
          <w:rFonts w:ascii="Amiri" w:hAnsi="Amiri" w:eastAsia="Amiri" w:cs="Amiri"/>
          <w:color w:val="111111"/>
          <w:sz w:val="28"/>
          <w:sz w:val="28"/>
          <w:szCs w:val="28"/>
          <w:rtl w:val="true"/>
          <w:lang w:bidi="ar-SA"/>
        </w:rPr>
        <w:t>دينَ الحَنيفةِ‌</w:t>
      </w:r>
      <w:r>
        <w:rPr>
          <w:rStyle w:val="FootnoteAnchor"/>
          <w:rtl w:val="true"/>
        </w:rPr>
        <w:footnoteReference w:id="1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فقالَ له</w:t>
      </w:r>
      <w:r>
        <w:rPr>
          <w:rStyle w:val="FootnoteAnchor"/>
          <w:rtl w:val="true"/>
        </w:rPr>
        <w:footnoteReference w:id="1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و قالَ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تَكونَ‌</w:t>
      </w:r>
      <w:r>
        <w:rPr>
          <w:rStyle w:val="FootnoteAnchor"/>
          <w:rtl w:val="true"/>
        </w:rPr>
        <w:footnoteReference w:id="1868"/>
      </w:r>
      <w:r>
        <w:rPr>
          <w:rFonts w:ascii="Amiri" w:hAnsi="Amiri" w:eastAsia="Amiri" w:cs="Amiri"/>
          <w:color w:val="111111"/>
          <w:sz w:val="28"/>
          <w:sz w:val="28"/>
          <w:szCs w:val="28"/>
          <w:rtl w:val="true"/>
          <w:lang w:bidi="ar-SA"/>
        </w:rPr>
        <w:t>لِنَفسٍ‌</w:t>
      </w:r>
      <w:r>
        <w:rPr>
          <w:rStyle w:val="FootnoteAnchor"/>
          <w:rtl w:val="true"/>
        </w:rPr>
        <w:footnoteReference w:id="1869"/>
      </w:r>
      <w:r>
        <w:rPr>
          <w:rFonts w:ascii="Amiri" w:hAnsi="Amiri" w:eastAsia="Amiri" w:cs="Amiri"/>
          <w:color w:val="111111"/>
          <w:sz w:val="28"/>
          <w:sz w:val="28"/>
          <w:szCs w:val="28"/>
          <w:rtl w:val="true"/>
          <w:lang w:bidi="ar-SA"/>
        </w:rPr>
        <w:t xml:space="preserve">مِنكَ 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إذا ما يُجمَعُ البَشَرُ</w:t>
      </w:r>
      <w:r>
        <w:rPr>
          <w:rStyle w:val="FootnoteAnchor"/>
          <w:rtl w:val="true"/>
        </w:rPr>
        <w:footnoteReference w:id="18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قُسُّ بنُ ساعِدةَ الإياديُّ‌، فهو الذي يَقولُ في بعضِ مَواعظِه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 رَبِّ هذه الكَعبةِ‌، لَيَعودَنَّ مَن ماتَ‌</w:t>
      </w:r>
      <w:r>
        <w:rPr>
          <w:rStyle w:val="FootnoteAnchor"/>
          <w:rtl w:val="true"/>
        </w:rPr>
        <w:footnoteReference w:id="1871"/>
      </w:r>
      <w:r>
        <w:rPr>
          <w:rFonts w:ascii="Amiri" w:hAnsi="Amiri" w:eastAsia="Amiri" w:cs="Amiri"/>
          <w:color w:val="111111"/>
          <w:sz w:val="28"/>
          <w:sz w:val="28"/>
          <w:szCs w:val="28"/>
          <w:rtl w:val="true"/>
          <w:lang w:bidi="ar-SA"/>
        </w:rPr>
        <w:t>، و لئن ذَهَبَ لَيَعودَنَّ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بعضِ مَواعظِه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هُوَ اللّٰهُ إلهٌ واحِدْ، لَيس بمَولودٍ و لا بوالِدْ</w:t>
      </w:r>
      <w:r>
        <w:rPr>
          <w:rStyle w:val="FootnoteAnchor"/>
          <w:rtl w:val="true"/>
        </w:rPr>
        <w:footnoteReference w:id="1872"/>
      </w:r>
      <w:r>
        <w:rPr>
          <w:rFonts w:ascii="Amiri" w:hAnsi="Amiri" w:eastAsia="Amiri" w:cs="Amiri"/>
          <w:color w:val="111111"/>
          <w:sz w:val="28"/>
          <w:sz w:val="28"/>
          <w:szCs w:val="28"/>
          <w:rtl w:val="true"/>
          <w:lang w:bidi="ar-SA"/>
        </w:rPr>
        <w:t>أعادَ و أَبدىٰ‌، و إلَيهِ المَآبُ غَدا</w:t>
      </w:r>
      <w:r>
        <w:rPr>
          <w:rFonts w:eastAsia="Amiri" w:cs="Amiri" w:ascii="Amiri" w:hAnsi="Amiri"/>
          <w:color w:val="111111"/>
          <w:sz w:val="28"/>
          <w:szCs w:val="28"/>
          <w:rtl w:val="true"/>
          <w:lang w:bidi="ar-SA"/>
        </w:rPr>
        <w:t>».</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فأقَرَّ في هذا الكلامِ بالإلهِ الواحدِ، و أَثبَتَ الإبداءَ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علىٰ ذلكَ أيضاً بأبياتٍ قالَها، و هي</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ناعيَ المَوتِ‌</w:t>
      </w:r>
      <w:r>
        <w:rPr>
          <w:rStyle w:val="FootnoteAnchor"/>
          <w:rtl w:val="true"/>
        </w:rPr>
        <w:footnoteReference w:id="1874"/>
      </w:r>
      <w:r>
        <w:rPr>
          <w:rFonts w:ascii="Amiri" w:hAnsi="Amiri" w:eastAsia="Amiri" w:cs="Amiri"/>
          <w:color w:val="111111"/>
          <w:sz w:val="28"/>
          <w:sz w:val="28"/>
          <w:szCs w:val="28"/>
          <w:rtl w:val="true"/>
          <w:lang w:bidi="ar-SA"/>
        </w:rPr>
        <w:t>، و الأمواتُ في جَدَثٍ‌</w:t>
      </w:r>
      <w:r>
        <w:rPr>
          <w:rStyle w:val="FootnoteAnchor"/>
          <w:rtl w:val="true"/>
        </w:rPr>
        <w:footnoteReference w:id="1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مِن بَقايا بَزِّهِمْ خِرَقُ‌ </w:t>
      </w:r>
    </w:p>
    <w:p>
      <w:pPr>
        <w:pStyle w:val="BookText"/>
        <w:rPr/>
      </w:pPr>
      <w:r>
        <w:rPr>
          <w:rFonts w:ascii="Amiri" w:hAnsi="Amiri" w:eastAsia="Amiri" w:cs="Amiri"/>
          <w:color w:val="111111"/>
          <w:sz w:val="28"/>
          <w:sz w:val="28"/>
          <w:szCs w:val="28"/>
          <w:rtl w:val="true"/>
          <w:lang w:bidi="ar-SA"/>
        </w:rPr>
        <w:t>دَعهُمْ‌؛ فإنّ لَهُم يَوماً يُصاحُ بِهِمْ‌</w:t>
      </w:r>
      <w:r>
        <w:rPr>
          <w:rStyle w:val="FootnoteAnchor"/>
          <w:rtl w:val="true"/>
        </w:rPr>
        <w:footnoteReference w:id="1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يُنَبَّهُ مِن نَوماتِهِ‌</w:t>
      </w:r>
      <w:r>
        <w:rPr>
          <w:rStyle w:val="FootnoteAnchor"/>
          <w:rtl w:val="true"/>
        </w:rPr>
        <w:footnoteReference w:id="1877"/>
      </w:r>
      <w:r>
        <w:rPr>
          <w:rFonts w:ascii="Amiri" w:hAnsi="Amiri" w:eastAsia="Amiri" w:cs="Amiri"/>
          <w:color w:val="111111"/>
          <w:sz w:val="28"/>
          <w:sz w:val="28"/>
          <w:szCs w:val="28"/>
          <w:rtl w:val="true"/>
          <w:lang w:bidi="ar-SA"/>
        </w:rPr>
        <w:t>الصَّعِقُ</w:t>
      </w:r>
    </w:p>
    <w:p>
      <w:pPr>
        <w:pStyle w:val="BookText"/>
        <w:rPr/>
      </w:pPr>
      <w:r>
        <w:rPr>
          <w:rFonts w:ascii="Amiri" w:hAnsi="Amiri" w:eastAsia="Amiri" w:cs="Amiri"/>
          <w:color w:val="111111"/>
          <w:sz w:val="28"/>
          <w:sz w:val="28"/>
          <w:szCs w:val="28"/>
          <w:rtl w:val="true"/>
          <w:lang w:bidi="ar-SA"/>
        </w:rPr>
        <w:t xml:space="preserve">حَتّىٰ يُجيبوا بِحالٍ غَيرِ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مَضَوا، ثُمَّ ماذا بَعدَ ذاكَ لَقوا</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مِنهُمْ عُراةٌ‌، و مَوتىٰ‌</w:t>
      </w:r>
      <w:r>
        <w:rPr>
          <w:rStyle w:val="FootnoteAnchor"/>
          <w:rtl w:val="true"/>
        </w:rPr>
        <w:footnoteReference w:id="1879"/>
      </w:r>
      <w:r>
        <w:rPr>
          <w:rFonts w:ascii="Amiri" w:hAnsi="Amiri" w:eastAsia="Amiri" w:cs="Amiri"/>
          <w:color w:val="111111"/>
          <w:sz w:val="28"/>
          <w:sz w:val="28"/>
          <w:szCs w:val="28"/>
          <w:rtl w:val="true"/>
          <w:lang w:bidi="ar-SA"/>
        </w:rPr>
        <w:t xml:space="preserve">في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الجَديدُ</w:t>
      </w:r>
      <w:r>
        <w:rPr>
          <w:rStyle w:val="FootnoteAnchor"/>
          <w:rtl w:val="true"/>
        </w:rPr>
        <w:footnoteReference w:id="1880"/>
      </w:r>
      <w:r>
        <w:rPr>
          <w:rFonts w:ascii="Amiri" w:hAnsi="Amiri" w:eastAsia="Amiri" w:cs="Amiri"/>
          <w:color w:val="111111"/>
          <w:sz w:val="28"/>
          <w:sz w:val="28"/>
          <w:szCs w:val="28"/>
          <w:rtl w:val="true"/>
          <w:lang w:bidi="ar-SA"/>
        </w:rPr>
        <w:t>، و منها الأَورَقُ الخَلِقُ‌</w:t>
      </w:r>
      <w:r>
        <w:rPr>
          <w:rStyle w:val="FootnoteAnchor"/>
          <w:rtl w:val="true"/>
        </w:rPr>
        <w:footnoteReference w:id="1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عامرُ بنُ الظَّرِبِ العَدْوانيُّ‌، فإنّه كانَ مِن حُكَماءِ العَرَبِ و خُطَبائهم، و له وصيّةٌ طويلةٌ‌</w:t>
      </w:r>
      <w:r>
        <w:rPr>
          <w:rStyle w:val="FootnoteAnchor"/>
          <w:rtl w:val="true"/>
        </w:rPr>
        <w:footnoteReference w:id="1882"/>
      </w:r>
      <w:r>
        <w:rPr>
          <w:rFonts w:ascii="Amiri" w:hAnsi="Amiri" w:eastAsia="Amiri" w:cs="Amiri"/>
          <w:color w:val="111111"/>
          <w:sz w:val="28"/>
          <w:sz w:val="28"/>
          <w:szCs w:val="28"/>
          <w:rtl w:val="true"/>
          <w:lang w:bidi="ar-SA"/>
        </w:rPr>
        <w:t>يَقولُ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رأيتُ شَيئاً قَطُّ خَلَقَ نفسَه، و لا رأيتُ موضوعاً إلّامصنوعاً، و لا جائياً إلّاذاهباً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يُميتُ الناسَ الداءُ لَأعاشَهم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أُموراً شَتّىٰ‌، و شَتّىٰ‌، حَتّىٰ‌</w:t>
      </w:r>
      <w:r>
        <w:rPr>
          <w:rFonts w:eastAsia="Amiri" w:cs="Amiri" w:ascii="Amiri" w:hAnsi="Amiri"/>
          <w:color w:val="111111"/>
          <w:sz w:val="28"/>
          <w:szCs w:val="28"/>
          <w:rtl w:val="true"/>
          <w:lang w:bidi="ar-SA"/>
        </w:rPr>
        <w:t>»</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Style w:val="FootnoteAnchor"/>
          <w:rtl w:val="true"/>
        </w:rPr>
        <w:footnoteReference w:id="188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يَرجِعَ المَيِّتُ حَيّاً، و يَعودَ لا شَيءَ شَيئاً؛ و كذلكَ خُلِقَت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فتَولَّوا عنه ذاهِبينَ‌،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وَيلُمِّها نَصيحةً‌؛ لَو كانَ مَن يَقبَلُها لَقُلتُها</w:t>
      </w:r>
      <w:r>
        <w:rPr>
          <w:rFonts w:eastAsia="Amiri" w:cs="Amiri" w:ascii="Amiri" w:hAnsi="Amiri"/>
          <w:color w:val="111111"/>
          <w:sz w:val="28"/>
          <w:szCs w:val="28"/>
          <w:rtl w:val="true"/>
          <w:lang w:bidi="ar-SA"/>
        </w:rPr>
        <w:t>».</w:t>
      </w:r>
      <w:r>
        <w:rPr>
          <w:rStyle w:val="FootnoteAnchor"/>
          <w:rtl w:val="true"/>
        </w:rPr>
        <w:footnoteReference w:id="18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زُهَيرُ بنُ أبي سُلمىٰ‌</w:t>
      </w:r>
      <w:r>
        <w:rPr>
          <w:rStyle w:val="FootnoteAnchor"/>
          <w:rtl w:val="true"/>
        </w:rPr>
        <w:footnoteReference w:id="1886"/>
      </w:r>
      <w:r>
        <w:rPr>
          <w:rFonts w:ascii="Amiri" w:hAnsi="Amiri" w:eastAsia="Amiri" w:cs="Amiri"/>
          <w:color w:val="111111"/>
          <w:sz w:val="28"/>
          <w:sz w:val="28"/>
          <w:szCs w:val="28"/>
          <w:rtl w:val="true"/>
          <w:lang w:bidi="ar-SA"/>
        </w:rPr>
        <w:t>، و كان يَمُرُّ</w:t>
      </w:r>
      <w:r>
        <w:rPr>
          <w:rStyle w:val="FootnoteAnchor"/>
          <w:rtl w:val="true"/>
        </w:rPr>
        <w:footnoteReference w:id="1887"/>
      </w:r>
      <w:r>
        <w:rPr>
          <w:rFonts w:ascii="Amiri" w:hAnsi="Amiri" w:eastAsia="Amiri" w:cs="Amiri"/>
          <w:color w:val="111111"/>
          <w:sz w:val="28"/>
          <w:sz w:val="28"/>
          <w:szCs w:val="28"/>
          <w:rtl w:val="true"/>
          <w:lang w:bidi="ar-SA"/>
        </w:rPr>
        <w:t>بالعِضَاهِ‌</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و العِضاه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يقع علىٰ شجر من شجر الشوك، له أسماء كثيرة مختلفة يجمعها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واحدتها عِضاهة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أَورَقَت بَعدَ يُبسٍ‌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تَسُبَّنيَ العَرَبُ لَآمَنتُ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أحياكِ بَعدَ يُبسٍ‌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سيُحيي العِظامَ و هي 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آمَنَ بَعدَ ذلكَ‌، و قالَ في قَصيدتِه التي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 أُمِّ أَوفىٰ دِمْنةٌ‌</w:t>
      </w:r>
      <w:r>
        <w:rPr>
          <w:rStyle w:val="FootnoteAnchor"/>
          <w:rtl w:val="true"/>
        </w:rPr>
        <w:footnoteReference w:id="1889"/>
      </w:r>
      <w:r>
        <w:rPr>
          <w:rFonts w:ascii="Amiri" w:hAnsi="Amiri" w:eastAsia="Amiri" w:cs="Amiri"/>
          <w:color w:val="111111"/>
          <w:sz w:val="28"/>
          <w:sz w:val="28"/>
          <w:szCs w:val="28"/>
          <w:rtl w:val="true"/>
          <w:lang w:bidi="ar-SA"/>
        </w:rPr>
        <w:t>لَم تَكَلَّمِ‌</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يؤخَّرْ فيوضَع في كِتابٍ فيُدَّخَرْ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الحِسابِ‌، أو يُعَجَّلْ فيُنقَمِ‌</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 xml:space="preserve">. </w:t>
      </w:r>
      <w:bookmarkStart w:id="962" w:name="pg16425_221973"/>
    </w:p>
    <w:p>
      <w:pPr>
        <w:pStyle w:val="BookText"/>
        <w:rPr/>
      </w:pPr>
      <w:bookmarkEnd w:id="9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زَيدُ الفَوارِسِ بنُ حُصَينِ بنِ ضِرارٍ الضَّبّيُّ‌</w:t>
      </w:r>
      <w:r>
        <w:rPr>
          <w:rStyle w:val="FootnoteAnchor"/>
          <w:rtl w:val="true"/>
        </w:rPr>
        <w:footnoteReference w:id="1892"/>
      </w:r>
      <w:r>
        <w:rPr>
          <w:rFonts w:ascii="Amiri" w:hAnsi="Amiri" w:eastAsia="Amiri" w:cs="Amiri"/>
          <w:color w:val="111111"/>
          <w:sz w:val="28"/>
          <w:sz w:val="28"/>
          <w:szCs w:val="28"/>
          <w:rtl w:val="true"/>
          <w:lang w:bidi="ar-SA"/>
        </w:rPr>
        <w:t>،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به يَومَ الجَزاءِ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حاسِبٍ يَومَ القيامةِ عالِمِ‌</w:t>
      </w:r>
      <w:r>
        <w:rPr>
          <w:rStyle w:val="FootnoteAnchor"/>
          <w:rtl w:val="true"/>
        </w:rPr>
        <w:footnoteReference w:id="18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به بَعدَ الممات جزاؤهُ لدى حاسبٍ يومَ القيامة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خَلقٍ كثيرٍ مِن مشهوريهم يَطولُ ذِكرُهم</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7830535_1280447820"/>
      <w:bookmarkStart w:id="964" w:name="_Toc316"/>
      <w:bookmarkEnd w:id="963"/>
      <w:r>
        <w:rPr>
          <w:rtl w:val="true"/>
        </w:rPr>
        <w:t>المؤمنون بالبعث من العرب</w:t>
      </w:r>
      <w:bookmarkEnd w:id="964"/>
    </w:p>
    <w:p>
      <w:pPr>
        <w:pStyle w:val="BookText"/>
        <w:rPr/>
      </w:pPr>
      <w:r>
        <w:rPr>
          <w:rFonts w:ascii="Amiri" w:hAnsi="Amiri" w:eastAsia="Amiri" w:cs="Amiri"/>
          <w:color w:val="111111"/>
          <w:sz w:val="28"/>
          <w:sz w:val="28"/>
          <w:szCs w:val="28"/>
          <w:rtl w:val="true"/>
          <w:lang w:bidi="ar-SA"/>
        </w:rPr>
        <w:t>و كانَ ممّن يُقِرُّ بالبَعثِ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يَزعُمونَ أنّ مَن ماتَ‌، فرُبِطَت علىٰ قَبرِه راحِلةٌ‌، و تُرِكَت حَتّىٰ تَموتَ‌، حُشِرَ عليها؛ و مَن لَم يَفعَلْ ذلكَ‌، حُشِرَ ماشياً</w:t>
      </w:r>
      <w:r>
        <w:rPr>
          <w:rFonts w:eastAsia="Amiri" w:cs="Amiri" w:ascii="Amiri" w:hAnsi="Amiri"/>
          <w:color w:val="111111"/>
          <w:sz w:val="28"/>
          <w:szCs w:val="28"/>
          <w:rtl w:val="true"/>
          <w:lang w:bidi="ar-SA"/>
        </w:rPr>
        <w:t>.</w:t>
      </w:r>
      <w:r>
        <w:rPr>
          <w:rStyle w:val="FootnoteAnchor"/>
          <w:rtl w:val="true"/>
        </w:rPr>
        <w:footnoteReference w:id="1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عَمرُو بنُ زَيدٍ الكَلبيُّ‌</w:t>
      </w:r>
      <w:r>
        <w:rPr>
          <w:rStyle w:val="FootnoteAnchor"/>
          <w:rtl w:val="true"/>
        </w:rPr>
        <w:footnoteReference w:id="1895"/>
      </w:r>
      <w:r>
        <w:rPr>
          <w:rFonts w:ascii="Amiri" w:hAnsi="Amiri" w:eastAsia="Amiri" w:cs="Amiri"/>
          <w:color w:val="111111"/>
          <w:sz w:val="28"/>
          <w:sz w:val="28"/>
          <w:szCs w:val="28"/>
          <w:rtl w:val="true"/>
          <w:lang w:bidi="ar-SA"/>
        </w:rPr>
        <w:t>، و هو يوصي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زَوِّدْني إذا فارَقتَني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القَبرِ راحِلَةً‌</w:t>
      </w:r>
      <w:r>
        <w:rPr>
          <w:rStyle w:val="FootnoteAnchor"/>
          <w:rtl w:val="true"/>
        </w:rPr>
        <w:footnoteReference w:id="1896"/>
      </w:r>
      <w:r>
        <w:rPr>
          <w:rFonts w:ascii="Amiri" w:hAnsi="Amiri" w:eastAsia="Amiri" w:cs="Amiri"/>
          <w:color w:val="111111"/>
          <w:sz w:val="28"/>
          <w:sz w:val="28"/>
          <w:szCs w:val="28"/>
          <w:rtl w:val="true"/>
          <w:lang w:bidi="ar-SA"/>
        </w:rPr>
        <w:t>برَحلٍ قاتِرِ</w:t>
      </w:r>
      <w:r>
        <w:rPr>
          <w:rStyle w:val="FootnoteAnchor"/>
          <w:rtl w:val="true"/>
        </w:rPr>
        <w:footnoteReference w:id="189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لِلبَعثِ أَركَبُها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مُستَوسِقينَ‌</w:t>
      </w:r>
      <w:r>
        <w:rPr>
          <w:rStyle w:val="FootnoteAnchor"/>
          <w:rtl w:val="true"/>
        </w:rPr>
        <w:footnoteReference w:id="1898"/>
      </w:r>
      <w:r>
        <w:rPr>
          <w:rFonts w:ascii="Amiri" w:hAnsi="Amiri" w:eastAsia="Amiri" w:cs="Amiri"/>
          <w:color w:val="111111"/>
          <w:sz w:val="28"/>
          <w:sz w:val="28"/>
          <w:szCs w:val="28"/>
          <w:rtl w:val="true"/>
          <w:lang w:bidi="ar-SA"/>
        </w:rPr>
        <w:t>لِيَومِ حَشرٍ حاشِرِ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لا يُوافيهِ‌</w:t>
      </w:r>
      <w:r>
        <w:rPr>
          <w:rStyle w:val="FootnoteAnchor"/>
          <w:rtl w:val="true"/>
        </w:rPr>
        <w:footnoteReference w:id="1899"/>
      </w:r>
      <w:r>
        <w:rPr>
          <w:rFonts w:ascii="Amiri" w:hAnsi="Amiri" w:eastAsia="Amiri" w:cs="Amiri"/>
          <w:color w:val="111111"/>
          <w:sz w:val="28"/>
          <w:sz w:val="28"/>
          <w:szCs w:val="28"/>
          <w:rtl w:val="true"/>
          <w:lang w:bidi="ar-SA"/>
        </w:rPr>
        <w:t>علىٰ عُشَرائهِ‌</w:t>
      </w:r>
      <w:r>
        <w:rPr>
          <w:rStyle w:val="FootnoteAnchor"/>
          <w:rtl w:val="true"/>
        </w:rPr>
        <w:footnoteReference w:id="1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فالخَلقُ بَينَ مُدَفَّعٍ أو عاثِرِ</w:t>
      </w:r>
      <w:r>
        <w:rPr>
          <w:rStyle w:val="FootnoteAnchor"/>
          <w:rtl w:val="true"/>
        </w:rPr>
        <w:footnoteReference w:id="19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جُرَيبةُ‌</w:t>
      </w:r>
      <w:r>
        <w:rPr>
          <w:rStyle w:val="FootnoteAnchor"/>
          <w:rtl w:val="true"/>
        </w:rPr>
        <w:footnoteReference w:id="1902"/>
      </w:r>
      <w:r>
        <w:rPr>
          <w:rFonts w:ascii="Amiri" w:hAnsi="Amiri" w:eastAsia="Amiri" w:cs="Amiri"/>
          <w:color w:val="111111"/>
          <w:sz w:val="28"/>
          <w:sz w:val="28"/>
          <w:szCs w:val="28"/>
          <w:rtl w:val="true"/>
          <w:lang w:bidi="ar-SA"/>
        </w:rPr>
        <w:t>بنُ أَشيَمَ الفَقعَسيُّ الأسَديُّ‌</w:t>
      </w:r>
      <w:r>
        <w:rPr>
          <w:rStyle w:val="FootnoteAnchor"/>
          <w:rtl w:val="true"/>
        </w:rPr>
        <w:footnoteReference w:id="1903"/>
      </w:r>
      <w:r>
        <w:rPr>
          <w:rFonts w:ascii="Amiri" w:hAnsi="Amiri" w:eastAsia="Amiri" w:cs="Amiri"/>
          <w:color w:val="111111"/>
          <w:sz w:val="28"/>
          <w:sz w:val="28"/>
          <w:szCs w:val="28"/>
          <w:rtl w:val="true"/>
          <w:lang w:bidi="ar-SA"/>
        </w:rPr>
        <w:t>، و هو الذي يوصي ابنَه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سَعدُ، إمّا أَهلِكَنَّ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إنّ أخا الوَصاةِ الأَقرَبُ‌</w:t>
      </w:r>
      <w:r>
        <w:rPr>
          <w:rStyle w:val="FootnoteAnchor"/>
          <w:rtl w:val="true"/>
        </w:rPr>
        <w:footnoteReference w:id="1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تَترُكَنَّ أباكَ يَعثُرُ راجِلاً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يُصرَعُ لليَدَينِ‌، و يُنكَبُ‌</w:t>
      </w:r>
      <w:r>
        <w:rPr>
          <w:rFonts w:eastAsia="Amiri" w:cs="Amiri" w:ascii="Amiri" w:hAnsi="Amiri"/>
          <w:color w:val="111111"/>
          <w:sz w:val="28"/>
          <w:szCs w:val="28"/>
          <w:rtl w:val="true"/>
          <w:lang w:bidi="ar-SA"/>
        </w:rPr>
        <w:t>]</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و احمِلْ أباكَ علىٰ بَعيرٍ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w:t>
      </w:r>
      <w:r>
        <w:rPr>
          <w:rStyle w:val="FootnoteAnchor"/>
          <w:rtl w:val="true"/>
        </w:rPr>
        <w:footnoteReference w:id="1906"/>
      </w:r>
      <w:r>
        <w:rPr>
          <w:rFonts w:ascii="Amiri" w:hAnsi="Amiri" w:eastAsia="Amiri" w:cs="Amiri"/>
          <w:color w:val="111111"/>
          <w:sz w:val="28"/>
          <w:sz w:val="28"/>
          <w:szCs w:val="28"/>
          <w:rtl w:val="true"/>
          <w:lang w:bidi="ar-SA"/>
        </w:rPr>
        <w:t>الخَطيئةَ‌؛ إنّما هُوَ</w:t>
      </w:r>
      <w:r>
        <w:rPr>
          <w:rStyle w:val="FootnoteAnchor"/>
          <w:rtl w:val="true"/>
        </w:rPr>
        <w:footnoteReference w:id="1907"/>
      </w:r>
      <w:r>
        <w:rPr>
          <w:rFonts w:ascii="Amiri" w:hAnsi="Amiri" w:eastAsia="Amiri" w:cs="Amiri"/>
          <w:color w:val="111111"/>
          <w:sz w:val="28"/>
          <w:sz w:val="28"/>
          <w:szCs w:val="28"/>
          <w:rtl w:val="true"/>
          <w:lang w:bidi="ar-SA"/>
        </w:rPr>
        <w:t>أَصوَبُ</w:t>
      </w:r>
    </w:p>
    <w:p>
      <w:pPr>
        <w:pStyle w:val="BookText"/>
        <w:rPr/>
      </w:pPr>
      <w:r>
        <w:rPr>
          <w:rFonts w:ascii="Amiri" w:hAnsi="Amiri" w:eastAsia="Amiri" w:cs="Amiri"/>
          <w:color w:val="111111"/>
          <w:sz w:val="28"/>
          <w:sz w:val="28"/>
          <w:szCs w:val="28"/>
          <w:rtl w:val="true"/>
          <w:lang w:bidi="ar-SA"/>
        </w:rPr>
        <w:t xml:space="preserve">و لَعلَّ لي فيما تَرَكتُ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w:t>
      </w:r>
      <w:r>
        <w:rPr>
          <w:rStyle w:val="FootnoteAnchor"/>
          <w:rtl w:val="true"/>
        </w:rPr>
        <w:footnoteReference w:id="1908"/>
      </w:r>
      <w:r>
        <w:rPr>
          <w:rFonts w:ascii="Amiri" w:hAnsi="Amiri" w:eastAsia="Amiri" w:cs="Amiri"/>
          <w:color w:val="111111"/>
          <w:sz w:val="28"/>
          <w:sz w:val="28"/>
          <w:szCs w:val="28"/>
          <w:rtl w:val="true"/>
          <w:lang w:bidi="ar-SA"/>
        </w:rPr>
        <w:t>أَركَبُها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اركَبوا</w:t>
      </w:r>
      <w:r>
        <w:rPr>
          <w:rFonts w:eastAsia="Amiri" w:cs="Amiri" w:ascii="Amiri" w:hAnsi="Amiri"/>
          <w:color w:val="111111"/>
          <w:sz w:val="28"/>
          <w:szCs w:val="28"/>
          <w:rtl w:val="true"/>
          <w:lang w:bidi="ar-SA"/>
        </w:rPr>
        <w:t>»</w:t>
      </w:r>
      <w:r>
        <w:rPr>
          <w:rStyle w:val="FootnoteAnchor"/>
          <w:rtl w:val="true"/>
        </w:rPr>
        <w:footnoteReference w:id="190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يُسَمّونَ الناقةَ التي يَفعَلونَ بها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كانوا </w:t>
      </w:r>
    </w:p>
    <w:p>
      <w:pPr>
        <w:pStyle w:val="BookText"/>
        <w:rPr/>
      </w:pPr>
      <w:r>
        <w:rPr>
          <w:rFonts w:ascii="Amiri" w:hAnsi="Amiri" w:eastAsia="Amiri" w:cs="Amiri"/>
          <w:color w:val="111111"/>
          <w:sz w:val="28"/>
          <w:sz w:val="28"/>
          <w:szCs w:val="28"/>
          <w:rtl w:val="true"/>
          <w:lang w:bidi="ar-SA"/>
        </w:rPr>
        <w:t>يَربِطونَها؛ يأخُذونَ وَليّةً فيَشُقّونَ‌</w:t>
      </w:r>
      <w:r>
        <w:rPr>
          <w:rStyle w:val="FootnoteAnchor"/>
          <w:rtl w:val="true"/>
        </w:rPr>
        <w:footnoteReference w:id="1910"/>
      </w:r>
      <w:r>
        <w:rPr>
          <w:rFonts w:ascii="Amiri" w:hAnsi="Amiri" w:eastAsia="Amiri" w:cs="Amiri"/>
          <w:color w:val="111111"/>
          <w:sz w:val="28"/>
          <w:sz w:val="28"/>
          <w:szCs w:val="28"/>
          <w:rtl w:val="true"/>
          <w:lang w:bidi="ar-SA"/>
        </w:rPr>
        <w:t>وَسَطَها، ثُمَّ يُدخِلونَ عُنُقَ الناقةِ فيها، فتَبقىٰ مُعلَّقةً في عُنُقِها حتّىٰ تَموتَ عندَ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كالبَلايا رُؤوسُها في الوَلايا مانِحاتِ السَّمومِ حُرَّ الخُدودِ</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الأمثال،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معجم مقاييس اللغة،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أساس البلاغة، ص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لسان العرب،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كالبَلايا أعناقُها في الوَلايا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وَليّةٍ‌، و هي البَرذَعةُ‌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التي في ظَهرِ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ما عاتَبَ المَرءَ الكريمَ كنَفسِهِ و المَرءُ يُصلِحُهُ الجَليسُ الصالحُ‌</w:t>
      </w:r>
    </w:p>
    <w:p>
      <w:pPr>
        <w:pStyle w:val="BookText"/>
        <w:rPr/>
      </w:pPr>
      <w:r>
        <w:rPr>
          <w:rFonts w:ascii="Amiri" w:hAnsi="Amiri" w:eastAsia="Amiri" w:cs="Amiri"/>
          <w:color w:val="111111"/>
          <w:sz w:val="28"/>
          <w:sz w:val="28"/>
          <w:szCs w:val="28"/>
          <w:rtl w:val="true"/>
          <w:lang w:bidi="ar-SA"/>
        </w:rPr>
        <w:t>و سكن الكوفة، و عاش عمراً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أصحاب المعلَّقات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معجم المطبوعات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 إلَى الأَطنابِ كُلُّ رَذيّةٍ‌</w:t>
      </w:r>
      <w:r>
        <w:rPr>
          <w:rStyle w:val="FootnoteAnchor"/>
          <w:rtl w:val="true"/>
        </w:rPr>
        <w:footnoteReference w:id="1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البَليّةِ قالِصٌ‌</w:t>
      </w:r>
      <w:r>
        <w:rPr>
          <w:rStyle w:val="FootnoteAnchor"/>
          <w:rtl w:val="true"/>
        </w:rPr>
        <w:footnoteReference w:id="1914"/>
      </w:r>
      <w:r>
        <w:rPr>
          <w:rFonts w:ascii="Amiri" w:hAnsi="Amiri" w:eastAsia="Amiri" w:cs="Amiri"/>
          <w:color w:val="111111"/>
          <w:sz w:val="28"/>
          <w:sz w:val="28"/>
          <w:szCs w:val="28"/>
          <w:rtl w:val="true"/>
          <w:lang w:bidi="ar-SA"/>
        </w:rPr>
        <w:t>أَهدامُها</w:t>
      </w:r>
      <w:r>
        <w:rPr>
          <w:rStyle w:val="FootnoteAnchor"/>
          <w:rtl w:val="true"/>
        </w:rPr>
        <w:footnoteReference w:id="1915"/>
      </w:r>
      <w:bookmarkStart w:id="965" w:name="pg16425_221976"/>
    </w:p>
    <w:p>
      <w:pPr>
        <w:pStyle w:val="BookText"/>
        <w:rPr/>
      </w:pPr>
      <w:bookmarkEnd w:id="965"/>
      <w:r>
        <w:rPr>
          <w:rFonts w:ascii="Amiri" w:hAnsi="Amiri" w:eastAsia="Amiri" w:cs="Amiri"/>
          <w:color w:val="111111"/>
          <w:sz w:val="28"/>
          <w:sz w:val="28"/>
          <w:szCs w:val="28"/>
          <w:rtl w:val="true"/>
          <w:lang w:bidi="ar-SA"/>
        </w:rPr>
        <w:t>شَبَّهَ الناقةَ الرَّذيّةَ‌</w:t>
      </w:r>
      <w:r>
        <w:rPr>
          <w:rStyle w:val="FootnoteAnchor"/>
          <w:rtl w:val="true"/>
        </w:rPr>
        <w:footnoteReference w:id="1916"/>
      </w:r>
      <w:r>
        <w:rPr>
          <w:rFonts w:ascii="Amiri" w:hAnsi="Amiri" w:eastAsia="Amiri" w:cs="Amiri"/>
          <w:color w:val="111111"/>
          <w:sz w:val="28"/>
          <w:sz w:val="28"/>
          <w:szCs w:val="28"/>
          <w:rtl w:val="true"/>
          <w:lang w:bidi="ar-SA"/>
        </w:rPr>
        <w:t>التَّعِبةَ‌</w:t>
      </w:r>
      <w:r>
        <w:rPr>
          <w:rStyle w:val="FootnoteAnchor"/>
          <w:rtl w:val="true"/>
        </w:rPr>
        <w:footnoteReference w:id="1917"/>
      </w:r>
      <w:r>
        <w:rPr>
          <w:rFonts w:ascii="Amiri" w:hAnsi="Amiri" w:eastAsia="Amiri" w:cs="Amiri"/>
          <w:color w:val="111111"/>
          <w:sz w:val="28"/>
          <w:sz w:val="28"/>
          <w:szCs w:val="28"/>
          <w:rtl w:val="true"/>
          <w:lang w:bidi="ar-SA"/>
        </w:rPr>
        <w:t xml:space="preserve">بالبَليّةِ‌،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w:t>
      </w:r>
      <w:r>
        <w:rPr>
          <w:rStyle w:val="FootnoteAnchor"/>
          <w:rtl w:val="true"/>
        </w:rPr>
        <w:footnoteReference w:id="19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الثيابِ‌</w:t>
      </w:r>
      <w:r>
        <w:rPr>
          <w:rFonts w:eastAsia="Amiri" w:cs="Amiri" w:ascii="Amiri" w:hAnsi="Amiri"/>
          <w:color w:val="111111"/>
          <w:sz w:val="28"/>
          <w:szCs w:val="28"/>
          <w:rtl w:val="true"/>
          <w:lang w:bidi="ar-SA"/>
        </w:rPr>
        <w:t>.</w:t>
      </w:r>
      <w:r>
        <w:rPr>
          <w:rStyle w:val="FootnoteAnchor"/>
          <w:rtl w:val="true"/>
        </w:rPr>
        <w:footnoteReference w:id="1919"/>
      </w:r>
    </w:p>
    <w:p>
      <w:pPr>
        <w:pStyle w:val="Heading6"/>
        <w:numPr>
          <w:ilvl w:val="5"/>
          <w:numId w:val="1"/>
        </w:numPr>
        <w:rPr/>
      </w:pPr>
      <w:bookmarkStart w:id="966" w:name="__RefHeading___Toc7830537_1280447820"/>
      <w:bookmarkStart w:id="967" w:name="_Toc317"/>
      <w:bookmarkEnd w:id="966"/>
      <w:r>
        <w:rPr>
          <w:rtl w:val="true"/>
        </w:rPr>
        <w:t>سائر أصناف العرب</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الصنفُ الذينَ‌</w:t>
      </w:r>
      <w:r>
        <w:rPr>
          <w:rStyle w:val="FootnoteAnchor"/>
          <w:rtl w:val="true"/>
        </w:rPr>
        <w:footnoteReference w:id="1920"/>
      </w:r>
      <w:r>
        <w:rPr>
          <w:rFonts w:ascii="Amiri" w:hAnsi="Amiri" w:eastAsia="Amiri" w:cs="Amiri"/>
          <w:color w:val="111111"/>
          <w:sz w:val="28"/>
          <w:sz w:val="28"/>
          <w:szCs w:val="28"/>
          <w:rtl w:val="true"/>
          <w:lang w:bidi="ar-SA"/>
        </w:rPr>
        <w:t>يَقولونَ بالتوحيدِ، و الإنشاءِ لا مِن شَيءٍ‌، و يُنكِرونَ الإعادةَ و البَعثَ‌، فهُم</w:t>
      </w:r>
      <w:r>
        <w:rPr>
          <w:rStyle w:val="FootnoteAnchor"/>
          <w:rtl w:val="true"/>
        </w:rPr>
        <w:footnoteReference w:id="1921"/>
      </w:r>
      <w:r>
        <w:rPr>
          <w:rFonts w:ascii="Amiri" w:hAnsi="Amiri" w:eastAsia="Amiri" w:cs="Amiri"/>
          <w:color w:val="111111"/>
          <w:sz w:val="28"/>
          <w:sz w:val="28"/>
          <w:szCs w:val="28"/>
          <w:rtl w:val="true"/>
          <w:lang w:bidi="ar-SA"/>
        </w:rPr>
        <w:t>الجُهَّلُ و الجُمهورُ، و قد أخبَروا بذلكَ في أشعارِهم؛ فقالَ بعضُهم في مَرثيةِ أهلِ بَدرٍ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بالقَليبِ‌</w:t>
      </w:r>
      <w:r>
        <w:rPr>
          <w:rStyle w:val="FootnoteAnchor"/>
          <w:rtl w:val="true"/>
        </w:rPr>
        <w:footnoteReference w:id="1922"/>
      </w:r>
      <w:r>
        <w:rPr>
          <w:rFonts w:ascii="Amiri" w:hAnsi="Amiri" w:eastAsia="Amiri" w:cs="Amiri"/>
          <w:color w:val="111111"/>
          <w:sz w:val="28"/>
          <w:sz w:val="28"/>
          <w:szCs w:val="28"/>
          <w:rtl w:val="true"/>
          <w:lang w:bidi="ar-SA"/>
        </w:rPr>
        <w:t xml:space="preserve">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الشِّيزىٰ‌</w:t>
      </w:r>
      <w:r>
        <w:rPr>
          <w:rStyle w:val="FootnoteAnchor"/>
          <w:rtl w:val="true"/>
        </w:rPr>
        <w:footnoteReference w:id="1923"/>
      </w:r>
      <w:r>
        <w:rPr>
          <w:rFonts w:ascii="Amiri" w:hAnsi="Amiri" w:eastAsia="Amiri" w:cs="Amiri"/>
          <w:color w:val="111111"/>
          <w:sz w:val="28"/>
          <w:sz w:val="28"/>
          <w:szCs w:val="28"/>
          <w:rtl w:val="true"/>
          <w:lang w:bidi="ar-SA"/>
        </w:rPr>
        <w:t>يُكلَّلُ‌</w:t>
      </w:r>
      <w:r>
        <w:rPr>
          <w:rStyle w:val="FootnoteAnchor"/>
          <w:rtl w:val="true"/>
        </w:rPr>
        <w:footnoteReference w:id="1924"/>
      </w:r>
      <w:r>
        <w:rPr>
          <w:rFonts w:ascii="Amiri" w:hAnsi="Amiri" w:eastAsia="Amiri" w:cs="Amiri"/>
          <w:color w:val="111111"/>
          <w:sz w:val="28"/>
          <w:sz w:val="28"/>
          <w:szCs w:val="28"/>
          <w:rtl w:val="true"/>
          <w:lang w:bidi="ar-SA"/>
        </w:rPr>
        <w:t>بالسَّنامِ‌</w:t>
      </w:r>
      <w:r>
        <w:rPr>
          <w:rStyle w:val="FootnoteAnchor"/>
          <w:rtl w:val="true"/>
        </w:rPr>
        <w:footnoteReference w:id="1925"/>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يُخبِّرُنا الرسولُ بأن سنَحيا</w:t>
      </w:r>
      <w:r>
        <w:rPr>
          <w:rStyle w:val="FootnoteAnchor"/>
          <w:rtl w:val="true"/>
        </w:rPr>
        <w:footnoteReference w:id="1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حَياةُ أصداءٍ‌</w:t>
      </w:r>
      <w:r>
        <w:rPr>
          <w:rStyle w:val="FootnoteAnchor"/>
          <w:rtl w:val="true"/>
        </w:rPr>
        <w:footnoteReference w:id="1927"/>
      </w:r>
      <w:r>
        <w:rPr>
          <w:rFonts w:ascii="Amiri" w:hAnsi="Amiri" w:eastAsia="Amiri" w:cs="Amiri"/>
          <w:color w:val="111111"/>
          <w:sz w:val="28"/>
          <w:sz w:val="28"/>
          <w:szCs w:val="28"/>
          <w:rtl w:val="true"/>
          <w:lang w:bidi="ar-SA"/>
        </w:rPr>
        <w:t>و هامِ؟</w:t>
      </w:r>
      <w:r>
        <w:rPr>
          <w:rFonts w:eastAsia="Amiri" w:cs="Amiri" w:ascii="Amiri" w:hAnsi="Amiri"/>
          <w:color w:val="111111"/>
          <w:sz w:val="28"/>
          <w:szCs w:val="28"/>
          <w:rtl w:val="true"/>
          <w:lang w:bidi="ar-SA"/>
        </w:rPr>
        <w:t>!</w:t>
      </w:r>
      <w:r>
        <w:rPr>
          <w:rStyle w:val="FootnoteAnchor"/>
          <w:rtl w:val="true"/>
        </w:rPr>
        <w:footnoteReference w:id="1928"/>
      </w:r>
      <w:bookmarkStart w:id="968" w:name="pg16425_221977"/>
    </w:p>
    <w:p>
      <w:pPr>
        <w:pStyle w:val="BookText"/>
        <w:rPr/>
      </w:pPr>
      <w:bookmarkEnd w:id="968"/>
      <w:r>
        <w:rPr>
          <w:rFonts w:ascii="Amiri" w:hAnsi="Amiri" w:eastAsia="Amiri" w:cs="Amiri"/>
          <w:color w:val="111111"/>
          <w:sz w:val="28"/>
          <w:sz w:val="28"/>
          <w:szCs w:val="28"/>
          <w:rtl w:val="true"/>
          <w:lang w:bidi="ar-SA"/>
        </w:rPr>
        <w:t>قالَ‌</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فيهم قومٌ يَعبُدونَ المَلائكةَ‌، و يَزعُمونَ أنّها بَناتٌ فيَعبُدونَها؛ زَعَموا لِتُقرِّبَهم إلَى اللّٰهِ زُلفىٰ و تَشفَعَ‌</w:t>
      </w:r>
      <w:r>
        <w:rPr>
          <w:rStyle w:val="FootnoteAnchor"/>
          <w:rtl w:val="true"/>
        </w:rPr>
        <w:footnoteReference w:id="1930"/>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يَدعو للّٰهِ وَلَداً، و يَتَّخِذُه إلهاً</w:t>
      </w:r>
      <w:r>
        <w:rPr>
          <w:rStyle w:val="FootnoteAnchor"/>
          <w:rtl w:val="true"/>
        </w:rPr>
        <w:footnoteReference w:id="1931"/>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7830539_1280447820"/>
      <w:bookmarkStart w:id="970" w:name="_Toc318"/>
      <w:bookmarkEnd w:id="969"/>
      <w:r>
        <w:rPr>
          <w:rtl w:val="true"/>
        </w:rPr>
        <w:t>عبادة الأصنام عند العرب</w:t>
      </w:r>
      <w:bookmarkEnd w:id="970"/>
    </w:p>
    <w:p>
      <w:pPr>
        <w:pStyle w:val="BookText"/>
        <w:rPr/>
      </w:pPr>
      <w:r>
        <w:rPr>
          <w:rFonts w:ascii="Amiri" w:hAnsi="Amiri" w:eastAsia="Amiri" w:cs="Amiri"/>
          <w:color w:val="111111"/>
          <w:sz w:val="28"/>
          <w:sz w:val="28"/>
          <w:szCs w:val="28"/>
          <w:rtl w:val="true"/>
          <w:lang w:bidi="ar-SA"/>
        </w:rPr>
        <w:t>و منهم مَن يَعبُدُ الأصنامَ‌؛ لِتُقرِّبَهم إلَى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 xml:space="preserve">» </w:t>
      </w:r>
      <w:r>
        <w:rPr>
          <w:rStyle w:val="FootnoteAnchor"/>
          <w:rtl w:val="true"/>
        </w:rPr>
        <w:footnoteReference w:id="193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يَجْعَلُونَ لِلّٰهِ اَلْبَنٰاتِ سُبْحٰانَهُ وَ لَهُمْ مٰا يَشْتَهُونَ‌</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بهذه الصفةِ إلّاقَومٌ مِن مُشرِكي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فَأَصْفٰاكُمْ رَبُّكُمْ بِالْبَنِينَ وَ اِتَّخَذَ مِنَ اَلْمَلاٰئِكَةِ إِنٰاثاً إِنَّكُمْ لَتَقُولُونَ قَوْلاً عَظِيماً</w:t>
      </w:r>
      <w:r>
        <w:rPr>
          <w:rFonts w:eastAsia="Amiri" w:cs="Amiri" w:ascii="Amiri" w:hAnsi="Amiri"/>
          <w:color w:val="111111"/>
          <w:sz w:val="28"/>
          <w:szCs w:val="28"/>
          <w:rtl w:val="true"/>
          <w:lang w:bidi="ar-SA"/>
        </w:rPr>
        <w:t xml:space="preserve">» </w:t>
      </w:r>
      <w:r>
        <w:rPr>
          <w:rStyle w:val="FootnoteAnchor"/>
          <w:rtl w:val="true"/>
        </w:rPr>
        <w:footnoteReference w:id="1934"/>
      </w:r>
      <w:r>
        <w:rPr>
          <w:rFonts w:ascii="Amiri" w:hAnsi="Amiri" w:eastAsia="Amiri" w:cs="Amiri"/>
          <w:color w:val="111111"/>
          <w:sz w:val="28"/>
          <w:sz w:val="28"/>
          <w:szCs w:val="28"/>
          <w:rtl w:val="true"/>
          <w:lang w:bidi="ar-SA"/>
        </w:rPr>
        <w:t>، و قالَ‌</w:t>
      </w:r>
      <w:r>
        <w:rPr>
          <w:rStyle w:val="FootnoteAnchor"/>
          <w:rtl w:val="true"/>
        </w:rPr>
        <w:footnoteReference w:id="19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 مِمّٰا يَخْلُقُ بَنٰاتٍ وَ أَصْفٰاكُمْ بِالْبَنِينَ‌</w:t>
      </w:r>
      <w:r>
        <w:rPr>
          <w:rFonts w:eastAsia="Amiri" w:cs="Amiri" w:ascii="Amiri" w:hAnsi="Amiri"/>
          <w:color w:val="111111"/>
          <w:sz w:val="28"/>
          <w:szCs w:val="28"/>
          <w:rtl w:val="true"/>
          <w:lang w:bidi="ar-SA"/>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w:t>
      </w:r>
      <w:bookmarkStart w:id="971" w:name="pg16425_221978"/>
    </w:p>
    <w:p>
      <w:pPr>
        <w:pStyle w:val="BookText"/>
        <w:rPr/>
      </w:pPr>
      <w:bookmarkEnd w:id="971"/>
      <w:r>
        <w:rPr>
          <w:rFonts w:ascii="Amiri" w:hAnsi="Amiri" w:eastAsia="Amiri" w:cs="Amiri"/>
          <w:color w:val="111111"/>
          <w:sz w:val="28"/>
          <w:sz w:val="28"/>
          <w:szCs w:val="28"/>
          <w:rtl w:val="true"/>
          <w:lang w:bidi="ar-SA"/>
        </w:rPr>
        <w:t>بِالْقَوْلِ وَ هُمْ بِأَمْرِهِ يَعْمَلُونَ‌</w:t>
      </w:r>
      <w:r>
        <w:rPr>
          <w:rFonts w:eastAsia="Amiri" w:cs="Amiri" w:ascii="Amiri" w:hAnsi="Amiri"/>
          <w:color w:val="111111"/>
          <w:sz w:val="28"/>
          <w:szCs w:val="28"/>
          <w:rtl w:val="true"/>
          <w:lang w:bidi="ar-SA"/>
        </w:rPr>
        <w:t xml:space="preserve">» </w:t>
      </w:r>
      <w:r>
        <w:rPr>
          <w:rStyle w:val="FootnoteAnchor"/>
          <w:rtl w:val="true"/>
        </w:rPr>
        <w:footnoteReference w:id="1937"/>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شُرَكٰاءَ اَلْجِنَّ وَ خَلَقَهُمْ وَ خَرَقُوا لَهُ بَنِينَ وَ بَنٰاتٍ بِغَيْرِ عِلْمٍ سُبْحٰانَهُ وَ تَعٰالىٰ عَمّٰا يَصِفُونَ‌</w:t>
      </w:r>
      <w:r>
        <w:rPr>
          <w:rFonts w:eastAsia="Amiri" w:cs="Amiri" w:ascii="Amiri" w:hAnsi="Amiri"/>
          <w:color w:val="111111"/>
          <w:sz w:val="28"/>
          <w:szCs w:val="28"/>
          <w:rtl w:val="true"/>
          <w:lang w:bidi="ar-SA"/>
        </w:rPr>
        <w:t xml:space="preserve">» </w:t>
      </w:r>
      <w:r>
        <w:rPr>
          <w:rStyle w:val="FootnoteAnchor"/>
          <w:rtl w:val="true"/>
        </w:rPr>
        <w:footnoteReference w:id="1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1939"/>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بَيْنَهُ وَ بَيْنَ اَلْجِنَّةِ نَسَباً</w:t>
      </w:r>
      <w:r>
        <w:rPr>
          <w:rFonts w:eastAsia="Amiri" w:cs="Amiri" w:ascii="Amiri" w:hAnsi="Amiri"/>
          <w:color w:val="111111"/>
          <w:sz w:val="28"/>
          <w:szCs w:val="28"/>
          <w:rtl w:val="true"/>
          <w:lang w:bidi="ar-SA"/>
        </w:rPr>
        <w:t xml:space="preserve">»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عبادتِهم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عِبٰادٌ أَمْثٰالُكُمْ فَادْعُوهُمْ فَلْيَسْتَجِيبُوا لَكُمْ إِنْ كُنْتُمْ صٰادِقِينَ‌</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Style w:val="FootnoteAnchor"/>
          <w:rtl w:val="true"/>
        </w:rPr>
        <w:footnoteReference w:id="194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 xml:space="preserve">» </w:t>
      </w:r>
      <w:r>
        <w:rPr>
          <w:rStyle w:val="FootnoteAnchor"/>
          <w:rtl w:val="true"/>
        </w:rPr>
        <w:footnoteReference w:id="194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رَآكَ اَلَّذِينَ كَفَرُوا إِنْ يَتَّخِذُونَكَ إِلاّٰ هُزُواً أَ هٰذَا اَلَّذِي يَذْكُرُ آلِهَتَكُمْ‌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عَبَدَ الأصنامَ‌ قومٌ مِن الأُمَمِ الماضيةِ مِن أهلِ الهِندِ و السِّندِ و غيرِهما، و قد أخبَرَ اللّٰهُ تَعالىٰ عن قومِ نوحٍ أنّهم عَبَدوها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تَذَرُنَّ آلِهَتَكُمْ وَ لاٰ تَذَرُنَّ وَدًّا وَ لاٰ سُوٰاعاً وَ لاٰ يَغُوثَ وَ يَعُوقَ وَ نَسْراً</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 xml:space="preserve">، و قد حَكَينا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قَبلَ هذا</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7830541_1280447820"/>
      <w:bookmarkStart w:id="973" w:name="_Toc319"/>
      <w:bookmarkEnd w:id="972"/>
      <w:r>
        <w:rPr>
          <w:rtl w:val="true"/>
        </w:rPr>
        <w:t>أصنام العرب</w:t>
      </w:r>
      <w:bookmarkEnd w:id="97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لهُذَيلٍ‌، و كانَ‌</w:t>
      </w:r>
      <w:r>
        <w:rPr>
          <w:rStyle w:val="FootnoteAnchor"/>
          <w:rtl w:val="true"/>
        </w:rPr>
        <w:footnoteReference w:id="1945"/>
      </w:r>
      <w:r>
        <w:rPr>
          <w:rFonts w:ascii="Amiri" w:hAnsi="Amiri" w:eastAsia="Amiri" w:cs="Amiri"/>
          <w:color w:val="111111"/>
          <w:sz w:val="28"/>
          <w:sz w:val="28"/>
          <w:szCs w:val="28"/>
          <w:rtl w:val="true"/>
          <w:lang w:bidi="ar-SA"/>
        </w:rPr>
        <w:t>بِرُهاطٍ</w:t>
      </w:r>
      <w:r>
        <w:rPr>
          <w:rFonts w:eastAsia="Amiri" w:cs="Amiri" w:ascii="Amiri" w:hAnsi="Amiri"/>
          <w:color w:val="111111"/>
          <w:sz w:val="28"/>
          <w:szCs w:val="28"/>
          <w:rtl w:val="true"/>
          <w:lang w:bidi="ar-SA"/>
        </w:rPr>
        <w:t>.</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كَلبٍ‌</w:t>
      </w:r>
      <w:r>
        <w:rPr>
          <w:rFonts w:eastAsia="Amiri" w:cs="Amiri" w:ascii="Amiri" w:hAnsi="Amiri"/>
          <w:color w:val="111111"/>
          <w:sz w:val="28"/>
          <w:szCs w:val="28"/>
          <w:rtl w:val="true"/>
          <w:lang w:bidi="ar-SA"/>
        </w:rPr>
        <w:t>]</w:t>
      </w:r>
      <w:r>
        <w:rPr>
          <w:rStyle w:val="FootnoteAnchor"/>
          <w:rtl w:val="true"/>
        </w:rPr>
        <w:footnoteReference w:id="1947"/>
      </w:r>
      <w:r>
        <w:rPr>
          <w:rFonts w:ascii="Amiri" w:hAnsi="Amiri" w:eastAsia="Amiri" w:cs="Amiri"/>
          <w:color w:val="111111"/>
          <w:sz w:val="28"/>
          <w:sz w:val="28"/>
          <w:szCs w:val="28"/>
          <w:rtl w:val="true"/>
          <w:lang w:bidi="ar-SA"/>
        </w:rPr>
        <w:t>بدُومةِ الجَندَلِ‌</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لمَذحِجٍ و لقَبائلِ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الكَلاعِ بأرضِ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Style w:val="FootnoteAnchor"/>
          <w:rtl w:val="true"/>
        </w:rPr>
        <w:footnoteReference w:id="1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لثَقيفٍ‌، و كانَت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لقُرَيشٍ و جميعِ بَني كِنانةَ‌، و سَدَنَتُها</w:t>
      </w:r>
      <w:r>
        <w:rPr>
          <w:rStyle w:val="FootnoteAnchor"/>
          <w:rtl w:val="true"/>
        </w:rPr>
        <w:footnoteReference w:id="1950"/>
      </w:r>
      <w:r>
        <w:rPr>
          <w:rFonts w:ascii="Amiri" w:hAnsi="Amiri" w:eastAsia="Amiri" w:cs="Amiri"/>
          <w:color w:val="111111"/>
          <w:sz w:val="28"/>
          <w:sz w:val="28"/>
          <w:szCs w:val="28"/>
          <w:rtl w:val="true"/>
          <w:lang w:bidi="ar-SA"/>
        </w:rPr>
        <w:t>مِن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للأَوسِ و الخَزرَجِ و غَسّانَ‌، و كانَت بالمُشَلَّلِ‌</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أصنامِهم عندَ أنفُسِهم، و كانَ علَى الكَعبةِ‌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الصَّفا و المَروةِ‌</w:t>
      </w:r>
      <w:r>
        <w:rPr>
          <w:rStyle w:val="FootnoteAnchor"/>
          <w:rtl w:val="true"/>
        </w:rPr>
        <w:footnoteReference w:id="1952"/>
      </w:r>
      <w:r>
        <w:rPr>
          <w:rFonts w:ascii="Amiri" w:hAnsi="Amiri" w:eastAsia="Amiri" w:cs="Amiri"/>
          <w:color w:val="111111"/>
          <w:sz w:val="28"/>
          <w:sz w:val="28"/>
          <w:szCs w:val="28"/>
          <w:rtl w:val="true"/>
          <w:lang w:bidi="ar-SA"/>
        </w:rPr>
        <w:t xml:space="preserve">، و وَضَعَهما عَمرُو بنُ‌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لُحَيٍّ‌</w:t>
      </w:r>
      <w:r>
        <w:rPr>
          <w:rStyle w:val="FootnoteAnchor"/>
          <w:rtl w:val="true"/>
        </w:rPr>
        <w:footnoteReference w:id="1953"/>
      </w:r>
      <w:r>
        <w:rPr>
          <w:rFonts w:ascii="Amiri" w:hAnsi="Amiri" w:eastAsia="Amiri" w:cs="Amiri"/>
          <w:color w:val="111111"/>
          <w:sz w:val="28"/>
          <w:sz w:val="28"/>
          <w:szCs w:val="28"/>
          <w:rtl w:val="true"/>
          <w:lang w:bidi="ar-SA"/>
        </w:rPr>
        <w:t>، فكانَ يَذبَحُ عليهما تِجاهَ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أنّهما كانا مِن جُرهُمَ‌</w:t>
      </w:r>
      <w:r>
        <w:rPr>
          <w:rStyle w:val="FootnoteAnchor"/>
          <w:rtl w:val="true"/>
        </w:rPr>
        <w:footnoteReference w:id="19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إسافُ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نائلةُ بنتُ سُهَيلٍ‌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ففَجَرا في الكَعبةِ‌، فمُسِخا حَجَرَينِ‌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خالُهما عَمرُو بنُ لُحَيٍّ‌</w:t>
      </w:r>
      <w:r>
        <w:rPr>
          <w:rStyle w:val="FootnoteAnchor"/>
          <w:rtl w:val="true"/>
        </w:rPr>
        <w:footnoteReference w:id="1955"/>
      </w:r>
      <w:r>
        <w:rPr>
          <w:rFonts w:ascii="Amiri" w:hAnsi="Amiri" w:eastAsia="Amiri" w:cs="Amiri"/>
          <w:color w:val="111111"/>
          <w:sz w:val="28"/>
          <w:sz w:val="28"/>
          <w:szCs w:val="28"/>
          <w:rtl w:val="true"/>
          <w:lang w:bidi="ar-SA"/>
        </w:rPr>
        <w:t>، وَضَعَهما علَى الصَّفا قَبلَ ذلكَ‌</w:t>
      </w:r>
      <w:r>
        <w:rPr>
          <w:rFonts w:eastAsia="Amiri" w:cs="Amiri" w:ascii="Amiri" w:hAnsi="Amiri"/>
          <w:color w:val="111111"/>
          <w:sz w:val="28"/>
          <w:szCs w:val="28"/>
          <w:rtl w:val="true"/>
          <w:lang w:bidi="ar-SA"/>
        </w:rPr>
        <w:t xml:space="preserve">. </w:t>
      </w:r>
      <w:bookmarkStart w:id="974" w:name="pg16425_221981"/>
    </w:p>
    <w:p>
      <w:pPr>
        <w:pStyle w:val="BookText"/>
        <w:rPr/>
      </w:pPr>
      <w:bookmarkEnd w:id="974"/>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7830543_1280447820"/>
      <w:bookmarkStart w:id="976" w:name="_Toc320"/>
      <w:bookmarkEnd w:id="975"/>
      <w:r>
        <w:rPr/>
        <w:t>2</w:t>
      </w:r>
      <w:r>
        <w:rPr>
          <w:rtl w:val="true"/>
        </w:rPr>
        <w:t xml:space="preserve"> </w:t>
      </w:r>
      <w:r>
        <w:rPr>
          <w:rtl w:val="true"/>
        </w:rPr>
        <w:t>فَصلٌ في ذِكرِ مَذاهبِ أهلِ الأصنامِ‌، و ذِكرِ البُيوتِ‌ و النيرانِ‌ المُعَظَّمةِ‌</w:t>
      </w:r>
      <w:bookmarkEnd w:id="976"/>
    </w:p>
    <w:p>
      <w:pPr>
        <w:pStyle w:val="Heading6"/>
        <w:numPr>
          <w:ilvl w:val="5"/>
          <w:numId w:val="1"/>
        </w:numPr>
        <w:rPr/>
      </w:pPr>
      <w:bookmarkStart w:id="977" w:name="__RefHeading___Toc7830545_1280447820"/>
      <w:bookmarkStart w:id="978" w:name="_Toc321"/>
      <w:bookmarkEnd w:id="977"/>
      <w:r>
        <w:rPr>
          <w:rtl w:val="true"/>
        </w:rPr>
        <w:t>اشارة</w:t>
      </w:r>
      <w:bookmarkEnd w:id="978"/>
    </w:p>
    <w:p>
      <w:pPr>
        <w:pStyle w:val="BookText"/>
        <w:rPr/>
      </w:pPr>
      <w:r>
        <w:rPr>
          <w:rFonts w:ascii="Amiri" w:hAnsi="Amiri" w:eastAsia="Amiri" w:cs="Amiri"/>
          <w:color w:val="111111"/>
          <w:sz w:val="28"/>
          <w:sz w:val="28"/>
          <w:szCs w:val="28"/>
          <w:rtl w:val="true"/>
          <w:lang w:bidi="ar-SA"/>
        </w:rPr>
        <w:t>فَصلٌ في ذِكرِ مَذاهبِ أهلِ الأصنامِ‌، و ذِكرِ البُيوتِ‌</w:t>
      </w:r>
      <w:r>
        <w:rPr>
          <w:rStyle w:val="FootnoteAnchor"/>
          <w:rtl w:val="true"/>
        </w:rPr>
        <w:footnoteReference w:id="1956"/>
      </w:r>
      <w:r>
        <w:rPr>
          <w:rFonts w:ascii="Amiri" w:hAnsi="Amiri" w:eastAsia="Amiri" w:cs="Amiri"/>
          <w:color w:val="111111"/>
          <w:sz w:val="28"/>
          <w:sz w:val="28"/>
          <w:szCs w:val="28"/>
          <w:rtl w:val="true"/>
          <w:lang w:bidi="ar-SA"/>
        </w:rPr>
        <w:t>و النيرانِ‌</w:t>
      </w:r>
      <w:r>
        <w:rPr>
          <w:rStyle w:val="FootnoteAnchor"/>
          <w:rtl w:val="true"/>
        </w:rPr>
        <w:footnoteReference w:id="1957"/>
      </w:r>
      <w:r>
        <w:rPr>
          <w:rFonts w:ascii="Amiri" w:hAnsi="Amiri" w:eastAsia="Amiri" w:cs="Amiri"/>
          <w:color w:val="111111"/>
          <w:sz w:val="28"/>
          <w:sz w:val="28"/>
          <w:szCs w:val="28"/>
          <w:rtl w:val="true"/>
          <w:lang w:bidi="ar-SA"/>
        </w:rPr>
        <w:t>المُعَظَّمةِ‌</w:t>
      </w:r>
    </w:p>
    <w:p>
      <w:pPr>
        <w:pStyle w:val="Heading6"/>
        <w:numPr>
          <w:ilvl w:val="5"/>
          <w:numId w:val="1"/>
        </w:numPr>
        <w:rPr/>
      </w:pPr>
      <w:bookmarkStart w:id="979" w:name="__RefHeading___Toc7830547_1280447820"/>
      <w:bookmarkStart w:id="980" w:name="_Toc322"/>
      <w:bookmarkEnd w:id="979"/>
      <w:r>
        <w:rPr>
          <w:rtl w:val="true"/>
        </w:rPr>
        <w:t>عبادة الأصنام في الهند و الصين</w:t>
      </w:r>
      <w:bookmarkEnd w:id="98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الحسنُ بنُ موسىٰ‌</w:t>
      </w:r>
      <w:r>
        <w:rPr>
          <w:rStyle w:val="FootnoteAnchor"/>
          <w:rtl w:val="true"/>
        </w:rPr>
        <w:footnoteReference w:id="1958"/>
      </w:r>
      <w:r>
        <w:rPr>
          <w:rFonts w:ascii="IRNazanin" w:hAnsi="IRNazanin" w:eastAsia="IRNazanin"/>
          <w:color w:val="111111"/>
          <w:sz w:val="28"/>
          <w:sz w:val="28"/>
          <w:szCs w:val="28"/>
          <w:rtl w:val="true"/>
          <w:lang w:bidi="fa-IR"/>
        </w:rPr>
        <w:t>عن</w:t>
      </w:r>
      <w:r>
        <w:rPr>
          <w:rStyle w:val="FootnoteAnchor"/>
          <w:rtl w:val="true"/>
        </w:rPr>
        <w:footnoteReference w:id="1959"/>
      </w:r>
      <w:r>
        <w:rPr>
          <w:rFonts w:ascii="Amiri" w:hAnsi="Amiri" w:eastAsia="Amiri" w:cs="Amiri"/>
          <w:color w:val="111111"/>
          <w:sz w:val="28"/>
          <w:sz w:val="28"/>
          <w:szCs w:val="28"/>
          <w:rtl w:val="true"/>
          <w:lang w:bidi="ar-SA"/>
        </w:rPr>
        <w:t xml:space="preserve">قومٍ ممّن يَعرِفُ أُمورَ العالَمِ و يَبحَثُ عن </w:t>
      </w:r>
    </w:p>
    <w:p>
      <w:pPr>
        <w:pStyle w:val="BookText"/>
        <w:rPr/>
      </w:pPr>
      <w:r>
        <w:rPr>
          <w:rFonts w:ascii="Amiri" w:hAnsi="Amiri" w:eastAsia="Amiri" w:cs="Amiri"/>
          <w:color w:val="111111"/>
          <w:sz w:val="28"/>
          <w:sz w:val="28"/>
          <w:szCs w:val="28"/>
          <w:rtl w:val="true"/>
          <w:lang w:bidi="ar-SA"/>
        </w:rPr>
        <w:t xml:space="preserve">قِصَصِهم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Style w:val="FootnoteAnchor"/>
          <w:rtl w:val="true"/>
        </w:rPr>
        <w:footnoteReference w:id="1960"/>
      </w:r>
      <w:r>
        <w:rPr>
          <w:rFonts w:ascii="Amiri" w:hAnsi="Amiri" w:eastAsia="Amiri" w:cs="Amiri"/>
          <w:color w:val="111111"/>
          <w:sz w:val="28"/>
          <w:sz w:val="28"/>
          <w:szCs w:val="28"/>
          <w:rtl w:val="true"/>
          <w:lang w:bidi="ar-SA"/>
        </w:rPr>
        <w:t>جَعفَرُ بنُ محمّدٍ المُنجِّمُ أبو مَعشَرٍ</w:t>
      </w:r>
      <w:r>
        <w:rPr>
          <w:rStyle w:val="FootnoteAnchor"/>
          <w:rtl w:val="true"/>
        </w:rPr>
        <w:footnoteReference w:id="1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أهلِ الهِندِ و الصينِ كانوا يَعتَقِدونَ الرُّبوبيّةَ‌، و يُقِرّونَ بأنّ للّٰهِ مَلائكةً‌، و كانوا يَعتَقِدونَ أنّه جسمٌ ذو صورةٍ كأحسَنِ الصُّوَرِ و أتَمِّ الأجسامِ‌</w:t>
      </w:r>
      <w:r>
        <w:rPr>
          <w:rStyle w:val="FootnoteAnchor"/>
          <w:rtl w:val="true"/>
        </w:rPr>
        <w:footnoteReference w:id="1962"/>
      </w:r>
      <w:r>
        <w:rPr>
          <w:rFonts w:ascii="Amiri" w:hAnsi="Amiri" w:eastAsia="Amiri" w:cs="Amiri"/>
          <w:color w:val="111111"/>
          <w:sz w:val="28"/>
          <w:sz w:val="28"/>
          <w:szCs w:val="28"/>
          <w:rtl w:val="true"/>
          <w:lang w:bidi="ar-SA"/>
        </w:rPr>
        <w:t>، و أنّ المَلائكةَ أجسامٌ لها حُسنٌ‌</w:t>
      </w:r>
      <w:r>
        <w:rPr>
          <w:rStyle w:val="FootnoteAnchor"/>
          <w:rtl w:val="true"/>
        </w:rPr>
        <w:footnoteReference w:id="1963"/>
      </w:r>
      <w:r>
        <w:rPr>
          <w:rFonts w:ascii="Amiri" w:hAnsi="Amiri" w:eastAsia="Amiri" w:cs="Amiri"/>
          <w:color w:val="111111"/>
          <w:sz w:val="28"/>
          <w:sz w:val="28"/>
          <w:szCs w:val="28"/>
          <w:rtl w:val="true"/>
          <w:lang w:bidi="ar-SA"/>
        </w:rPr>
        <w:t>، و أنّ اللّٰهَ و مَلائكتَه مُحتَجِبونَ بالسَّماءِ‌؛ فدَعاهم ذلكَ إلىٰ أن اتَّخَذوا أصناماً علىٰ صورةِ اللّٰهِ عندَهم، و بعضَهم</w:t>
      </w:r>
      <w:r>
        <w:rPr>
          <w:rStyle w:val="FootnoteAnchor"/>
          <w:rtl w:val="true"/>
        </w:rPr>
        <w:footnoteReference w:id="1964"/>
      </w:r>
      <w:r>
        <w:rPr>
          <w:rFonts w:ascii="Amiri" w:hAnsi="Amiri" w:eastAsia="Amiri" w:cs="Amiri"/>
          <w:color w:val="111111"/>
          <w:sz w:val="28"/>
          <w:sz w:val="28"/>
          <w:szCs w:val="28"/>
          <w:rtl w:val="true"/>
          <w:lang w:bidi="ar-SA"/>
        </w:rPr>
        <w:t>علىٰ صورةِ المَلائكةِ‌، فكانوا يَعبُدونها و يُقرِّبونَ القَرابينَ لها؛ لشَبَهِها عندَهم باللّٰهِ‌، و يُقدِّرون فيها أنها تَنفَعُهم</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يَزالوا كذلكَ حتّىٰ قالَ لهم بعضُ مَن كانَ عندَهم في قَبيلِ‌</w:t>
      </w:r>
      <w:r>
        <w:rPr>
          <w:rStyle w:val="FootnoteAnchor"/>
          <w:rtl w:val="true"/>
        </w:rPr>
        <w:footnoteReference w:id="1966"/>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الأفلاكَ و الكواكبَ أقرَبُ الأجسامِ‌</w:t>
      </w:r>
      <w:r>
        <w:rPr>
          <w:rStyle w:val="FootnoteAnchor"/>
          <w:rtl w:val="true"/>
        </w:rPr>
        <w:footnoteReference w:id="1967"/>
      </w:r>
      <w:r>
        <w:rPr>
          <w:rFonts w:ascii="Amiri" w:hAnsi="Amiri" w:eastAsia="Amiri" w:cs="Amiri"/>
          <w:color w:val="111111"/>
          <w:sz w:val="28"/>
          <w:sz w:val="28"/>
          <w:szCs w:val="28"/>
          <w:rtl w:val="true"/>
          <w:lang w:bidi="ar-SA"/>
        </w:rPr>
        <w:t>إلَى اللّٰهِ‌، و إنّها حَيّةٌ ناطقةٌ‌</w:t>
      </w:r>
      <w:r>
        <w:rPr>
          <w:rStyle w:val="FootnoteAnchor"/>
          <w:rtl w:val="true"/>
        </w:rPr>
        <w:footnoteReference w:id="1968"/>
      </w:r>
      <w:r>
        <w:rPr>
          <w:rFonts w:ascii="Amiri" w:hAnsi="Amiri" w:eastAsia="Amiri" w:cs="Amiri"/>
          <w:color w:val="111111"/>
          <w:sz w:val="28"/>
          <w:sz w:val="28"/>
          <w:szCs w:val="28"/>
          <w:rtl w:val="true"/>
          <w:lang w:bidi="ar-SA"/>
        </w:rPr>
        <w:t>، و إنّ المَلائكةَ تَختَلِفُ‌</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فيما بَينَ اللّٰهِ و بَينَها، و إنّ كُلَّ ما يَحدُثُ في العالَمِ إنّما هو علىٰ قَدرِ ما يَجري به حَرَكاتُ الكواكبِ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فعَظَّموها و قَرَّبوا لها القَرابينَ ليَنفَعَهم</w:t>
      </w:r>
      <w:r>
        <w:rPr>
          <w:rStyle w:val="FootnoteAnchor"/>
          <w:rtl w:val="true"/>
        </w:rPr>
        <w:footnoteReference w:id="196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فمَكَثوا علىٰ ذلكَ دَهراً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الكواكبَ تَخفىٰ‌</w:t>
      </w:r>
      <w:r>
        <w:rPr>
          <w:rStyle w:val="FootnoteAnchor"/>
          <w:rtl w:val="true"/>
        </w:rPr>
        <w:footnoteReference w:id="1970"/>
      </w:r>
      <w:r>
        <w:rPr>
          <w:rFonts w:ascii="Amiri" w:hAnsi="Amiri" w:eastAsia="Amiri" w:cs="Amiri"/>
          <w:color w:val="111111"/>
          <w:sz w:val="28"/>
          <w:sz w:val="28"/>
          <w:szCs w:val="28"/>
          <w:rtl w:val="true"/>
          <w:lang w:bidi="ar-SA"/>
        </w:rPr>
        <w:t xml:space="preserve">بالنهارِ و في بعضِ أوقاتِ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يَعرِضُ في الهَواءِ مِن الغُيومِ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أشارَ عليهم بعضُ رؤسائهم بأن يَجعَلوا لها أصناماً؛ ليَرَوها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لها أصناماً علىٰ عَدَدِ الكواكبِ الكِبارِ المشهورةِ‌، و هي السَّبعةُ المُتحيِّرةُ‌</w:t>
      </w:r>
      <w:r>
        <w:rPr>
          <w:rStyle w:val="FootnoteAnchor"/>
          <w:rtl w:val="true"/>
        </w:rPr>
        <w:footnoteReference w:id="1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صنفٍ يُعظِّمُ كوكباً معلوماً، و يُصيِّرُ</w:t>
      </w:r>
      <w:r>
        <w:rPr>
          <w:rStyle w:val="FootnoteAnchor"/>
          <w:rtl w:val="true"/>
        </w:rPr>
        <w:footnoteReference w:id="1972"/>
      </w:r>
      <w:r>
        <w:rPr>
          <w:rFonts w:ascii="Amiri" w:hAnsi="Amiri" w:eastAsia="Amiri" w:cs="Amiri"/>
          <w:color w:val="111111"/>
          <w:sz w:val="28"/>
          <w:sz w:val="28"/>
          <w:szCs w:val="28"/>
          <w:rtl w:val="true"/>
          <w:lang w:bidi="ar-SA"/>
        </w:rPr>
        <w:t>له جنساً مِن القُربانِ خِلافَ ما للآخَرِ، و اعتَقَدوا أنّهم إذا عَظَّموا الأصنامَ تَحرَّكَت الكواكبُ لهُم بما يُحِبّونَ‌</w:t>
      </w:r>
      <w:r>
        <w:rPr>
          <w:rStyle w:val="FootnoteAnchor"/>
          <w:rtl w:val="true"/>
        </w:rPr>
        <w:footnoteReference w:id="1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بَنَوا لكُلِّ صَنَمٍ بَيتاً و هَيكَلاً مُفرَداً، و سَمَّوا ذلكَ البَيتَ بِاسمِ الكواكبِ‌</w:t>
      </w:r>
      <w:r>
        <w:rPr>
          <w:rStyle w:val="FootnoteAnchor"/>
          <w:rtl w:val="true"/>
        </w:rPr>
        <w:footnoteReference w:id="1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 الناسِ أنّ بَيتَ اللّٰهِ الحَرامَ كانَ بَيتَ زُحَلَ‌، و إنّما بَقيَ لأنّ زُحَلَ يَدُلُّ‌</w:t>
      </w:r>
      <w:r>
        <w:rPr>
          <w:rStyle w:val="FootnoteAnchor"/>
          <w:rtl w:val="true"/>
        </w:rPr>
        <w:footnoteReference w:id="1975"/>
      </w:r>
      <w:r>
        <w:rPr>
          <w:rFonts w:ascii="Amiri" w:hAnsi="Amiri" w:eastAsia="Amiri" w:cs="Amiri"/>
          <w:color w:val="111111"/>
          <w:sz w:val="28"/>
          <w:sz w:val="28"/>
          <w:szCs w:val="28"/>
          <w:rtl w:val="true"/>
          <w:lang w:bidi="ar-SA"/>
        </w:rPr>
        <w:t xml:space="preserve">علَى البَقاءِ أكثَرَ مِن سائرِ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طالَ عَهدُهم عَبَدوا الأصنامَ علىٰ أنّهم</w:t>
      </w:r>
      <w:r>
        <w:rPr>
          <w:rStyle w:val="FootnoteAnchor"/>
          <w:rtl w:val="true"/>
        </w:rPr>
        <w:footnoteReference w:id="1976"/>
      </w:r>
      <w:r>
        <w:rPr>
          <w:rFonts w:ascii="Amiri" w:hAnsi="Amiri" w:eastAsia="Amiri" w:cs="Amiri"/>
          <w:color w:val="111111"/>
          <w:sz w:val="28"/>
          <w:sz w:val="28"/>
          <w:szCs w:val="28"/>
          <w:rtl w:val="true"/>
          <w:lang w:bidi="ar-SA"/>
        </w:rPr>
        <w:t>تُقرِّبُهم إلَى اللّٰهِ زُلفىٰ‌</w:t>
      </w:r>
      <w:r>
        <w:rPr>
          <w:rStyle w:val="FootnoteAnchor"/>
          <w:rtl w:val="true"/>
        </w:rPr>
        <w:footnoteReference w:id="1977"/>
      </w:r>
      <w:r>
        <w:rPr>
          <w:rFonts w:ascii="Amiri" w:hAnsi="Amiri" w:eastAsia="Amiri" w:cs="Amiri"/>
          <w:color w:val="111111"/>
          <w:sz w:val="28"/>
          <w:sz w:val="28"/>
          <w:szCs w:val="28"/>
          <w:rtl w:val="true"/>
          <w:lang w:bidi="ar-SA"/>
        </w:rPr>
        <w:t>، و ألغَوا ذِكرَ الكواكبِ‌</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يَزالوا كذلكَ حَتّىٰ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يوذاسُفُ‌</w:t>
      </w:r>
      <w:r>
        <w:rPr>
          <w:rFonts w:eastAsia="Amiri" w:cs="Amiri" w:ascii="Amiri" w:hAnsi="Amiri"/>
          <w:color w:val="111111"/>
          <w:sz w:val="28"/>
          <w:szCs w:val="28"/>
          <w:rtl w:val="true"/>
          <w:lang w:bidi="ar-SA"/>
        </w:rPr>
        <w:t>»</w:t>
      </w:r>
      <w:r>
        <w:rPr>
          <w:rStyle w:val="FootnoteAnchor"/>
          <w:rtl w:val="true"/>
        </w:rPr>
        <w:footnoteReference w:id="1978"/>
      </w:r>
      <w:r>
        <w:rPr>
          <w:rFonts w:ascii="Amiri" w:hAnsi="Amiri" w:eastAsia="Amiri" w:cs="Amiri"/>
          <w:color w:val="111111"/>
          <w:sz w:val="28"/>
          <w:sz w:val="28"/>
          <w:szCs w:val="28"/>
          <w:rtl w:val="true"/>
          <w:lang w:bidi="ar-SA"/>
        </w:rPr>
        <w:t xml:space="preserve">ببِلادِ الهِندِ، و كانَ هِنديّاً، و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سَنةٍ مِن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طَهمورِثَ‌</w:t>
      </w:r>
      <w:r>
        <w:rPr>
          <w:rFonts w:eastAsia="Amiri" w:cs="Amiri" w:ascii="Amiri" w:hAnsi="Amiri"/>
          <w:color w:val="111111"/>
          <w:sz w:val="28"/>
          <w:szCs w:val="28"/>
          <w:rtl w:val="true"/>
          <w:lang w:bidi="ar-SA"/>
        </w:rPr>
        <w:t>»</w:t>
      </w:r>
      <w:r>
        <w:rPr>
          <w:rStyle w:val="FootnoteAnchor"/>
          <w:rtl w:val="true"/>
        </w:rPr>
        <w:footnoteReference w:id="1979"/>
      </w:r>
      <w:r>
        <w:rPr>
          <w:rFonts w:ascii="Amiri" w:hAnsi="Amiri" w:eastAsia="Amiri" w:cs="Amiri"/>
          <w:color w:val="111111"/>
          <w:sz w:val="28"/>
          <w:sz w:val="28"/>
          <w:szCs w:val="28"/>
          <w:rtl w:val="true"/>
          <w:lang w:bidi="ar-SA"/>
        </w:rPr>
        <w:t>مَلِكِ فارِسَ‌</w:t>
      </w:r>
      <w:r>
        <w:rPr>
          <w:rStyle w:val="FootnoteAnchor"/>
          <w:rtl w:val="true"/>
        </w:rPr>
        <w:footnoteReference w:id="1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فادَّعىٰ‌</w:t>
      </w:r>
      <w:r>
        <w:rPr>
          <w:rStyle w:val="FootnoteAnchor"/>
          <w:rtl w:val="true"/>
        </w:rPr>
        <w:footnoteReference w:id="1981"/>
      </w:r>
      <w:r>
        <w:rPr>
          <w:rFonts w:ascii="Amiri" w:hAnsi="Amiri" w:eastAsia="Amiri" w:cs="Amiri"/>
          <w:color w:val="111111"/>
          <w:sz w:val="28"/>
          <w:sz w:val="28"/>
          <w:szCs w:val="28"/>
          <w:rtl w:val="true"/>
          <w:lang w:bidi="ar-SA"/>
        </w:rPr>
        <w:t>يوذاسُفُ النُّبوّةَ‌</w:t>
      </w:r>
      <w:r>
        <w:rPr>
          <w:rStyle w:val="FootnoteAnchor"/>
          <w:rtl w:val="true"/>
        </w:rPr>
        <w:footnoteReference w:id="1982"/>
      </w:r>
      <w:r>
        <w:rPr>
          <w:rFonts w:ascii="Amiri" w:hAnsi="Amiri" w:eastAsia="Amiri" w:cs="Amiri"/>
          <w:color w:val="111111"/>
          <w:sz w:val="28"/>
          <w:sz w:val="28"/>
          <w:szCs w:val="28"/>
          <w:rtl w:val="true"/>
          <w:lang w:bidi="ar-SA"/>
        </w:rPr>
        <w:t>، و أمَرَهم بالزُّهدِ، و جَدَّدَ عندَهم عبادةَ الأصنامِ و السُّجودَ لها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w:t>
      </w:r>
      <w:r>
        <w:rPr>
          <w:rStyle w:val="FootnoteAnchor"/>
          <w:rtl w:val="true"/>
        </w:rPr>
        <w:footnoteReference w:id="1983"/>
      </w:r>
      <w:r>
        <w:rPr>
          <w:rFonts w:ascii="Amiri" w:hAnsi="Amiri" w:eastAsia="Amiri" w:cs="Amiri"/>
          <w:color w:val="111111"/>
          <w:sz w:val="28"/>
          <w:sz w:val="28"/>
          <w:szCs w:val="28"/>
          <w:rtl w:val="true"/>
          <w:lang w:bidi="ar-SA"/>
        </w:rPr>
        <w:t xml:space="preserve">أهلُ فارِسَ‌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المَلِكَ أوّلُ مَن عَظَّم</w:t>
      </w:r>
      <w:r>
        <w:rPr>
          <w:rStyle w:val="FootnoteAnchor"/>
          <w:rtl w:val="true"/>
        </w:rPr>
        <w:footnoteReference w:id="1985"/>
      </w:r>
      <w:r>
        <w:rPr>
          <w:rFonts w:ascii="Amiri" w:hAnsi="Amiri" w:eastAsia="Amiri" w:cs="Amiri"/>
          <w:color w:val="111111"/>
          <w:sz w:val="28"/>
          <w:sz w:val="28"/>
          <w:szCs w:val="28"/>
          <w:rtl w:val="true"/>
          <w:lang w:bidi="ar-SA"/>
        </w:rPr>
        <w:t>النارَ، و دَعا الناسَ إلىٰ تعظيمِها؛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تُشبِهُ ضَوءَ الشمسِ و الكواكبِ‌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لأنّ النورَ أفضَلُ مِن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 الناسُ‌</w:t>
      </w:r>
      <w:r>
        <w:rPr>
          <w:rStyle w:val="FootnoteAnchor"/>
          <w:rtl w:val="true"/>
        </w:rPr>
        <w:footnoteReference w:id="1986"/>
      </w:r>
      <w:r>
        <w:rPr>
          <w:rFonts w:ascii="Amiri" w:hAnsi="Amiri" w:eastAsia="Amiri" w:cs="Amiri"/>
          <w:color w:val="111111"/>
          <w:sz w:val="28"/>
          <w:sz w:val="28"/>
          <w:szCs w:val="28"/>
          <w:rtl w:val="true"/>
          <w:lang w:bidi="ar-SA"/>
        </w:rPr>
        <w:t>بَعدَ ذلكَ‌؛ فعَظَّمَ‌</w:t>
      </w:r>
      <w:r>
        <w:rPr>
          <w:rStyle w:val="FootnoteAnchor"/>
          <w:rtl w:val="true"/>
        </w:rPr>
        <w:footnoteReference w:id="1987"/>
      </w:r>
      <w:r>
        <w:rPr>
          <w:rFonts w:ascii="Amiri" w:hAnsi="Amiri" w:eastAsia="Amiri" w:cs="Amiri"/>
          <w:color w:val="111111"/>
          <w:sz w:val="28"/>
          <w:sz w:val="28"/>
          <w:szCs w:val="28"/>
          <w:rtl w:val="true"/>
          <w:lang w:bidi="ar-SA"/>
        </w:rPr>
        <w:t>كُلُّ قومٍ ما يَرَونَ تعظيمَه مِن الأسماءِ‌؛ تَقرُّباً إلَى اللّٰهِ تَعالىٰ بذلكَ‌</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نَشأَ عَمرو بنُ لُحَيٍّ‌</w:t>
      </w:r>
      <w:r>
        <w:rPr>
          <w:rStyle w:val="FootnoteAnchor"/>
          <w:rtl w:val="true"/>
        </w:rPr>
        <w:footnoteReference w:id="1989"/>
      </w:r>
      <w:r>
        <w:rPr>
          <w:rFonts w:ascii="Amiri" w:hAnsi="Amiri" w:eastAsia="Amiri" w:cs="Amiri"/>
          <w:color w:val="111111"/>
          <w:sz w:val="28"/>
          <w:sz w:val="28"/>
          <w:szCs w:val="28"/>
          <w:rtl w:val="true"/>
          <w:lang w:bidi="ar-SA"/>
        </w:rPr>
        <w:t>، فسادَ قومَه بمَكّةَ‌، فاستَولىٰ علىٰ أمرِ البَيتِ‌، ثُمَّ صارَ إلىٰ مَدينةِ‌</w:t>
      </w:r>
      <w:r>
        <w:rPr>
          <w:rStyle w:val="FootnoteAnchor"/>
          <w:rtl w:val="true"/>
        </w:rPr>
        <w:footnoteReference w:id="1990"/>
      </w:r>
      <w:r>
        <w:rPr>
          <w:rFonts w:ascii="Amiri" w:hAnsi="Amiri" w:eastAsia="Amiri" w:cs="Amiri"/>
          <w:color w:val="111111"/>
          <w:sz w:val="28"/>
          <w:sz w:val="28"/>
          <w:szCs w:val="28"/>
          <w:rtl w:val="true"/>
          <w:lang w:bidi="ar-SA"/>
        </w:rPr>
        <w:t>البَلقاءِ‌</w:t>
      </w:r>
      <w:r>
        <w:rPr>
          <w:rStyle w:val="FootnoteAnchor"/>
          <w:rtl w:val="true"/>
        </w:rPr>
        <w:footnoteReference w:id="1991"/>
      </w:r>
      <w:r>
        <w:rPr>
          <w:rFonts w:ascii="Amiri" w:hAnsi="Amiri" w:eastAsia="Amiri" w:cs="Amiri"/>
          <w:color w:val="111111"/>
          <w:sz w:val="28"/>
          <w:sz w:val="28"/>
          <w:szCs w:val="28"/>
          <w:rtl w:val="true"/>
          <w:lang w:bidi="ar-SA"/>
        </w:rPr>
        <w:t>بالشامِ‌، فرأىٰ قوماً يَعبُدونَ الأصنامَ‌، فسألَهم عنها،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أربابٌ نَتَّخِذُها؛ نَستَنصِرُ بها فنُنصَرُ</w:t>
      </w:r>
      <w:r>
        <w:rPr>
          <w:rStyle w:val="FootnoteAnchor"/>
          <w:rtl w:val="true"/>
        </w:rPr>
        <w:footnoteReference w:id="1992"/>
      </w:r>
      <w:r>
        <w:rPr>
          <w:rFonts w:ascii="Amiri" w:hAnsi="Amiri" w:eastAsia="Amiri" w:cs="Amiri"/>
          <w:color w:val="111111"/>
          <w:sz w:val="28"/>
          <w:sz w:val="28"/>
          <w:szCs w:val="28"/>
          <w:rtl w:val="true"/>
          <w:lang w:bidi="ar-SA"/>
        </w:rPr>
        <w:t>، و نَستَسقي</w:t>
      </w:r>
      <w:r>
        <w:rPr>
          <w:rStyle w:val="FootnoteAnchor"/>
          <w:rtl w:val="true"/>
        </w:rPr>
        <w:footnoteReference w:id="1993"/>
      </w:r>
      <w:r>
        <w:rPr>
          <w:rFonts w:ascii="Amiri" w:hAnsi="Amiri" w:eastAsia="Amiri" w:cs="Amiri"/>
          <w:color w:val="111111"/>
          <w:sz w:val="28"/>
          <w:sz w:val="28"/>
          <w:szCs w:val="28"/>
          <w:rtl w:val="true"/>
          <w:lang w:bidi="ar-SA"/>
        </w:rPr>
        <w:t>فنُسقىٰ‌</w:t>
      </w:r>
      <w:r>
        <w:rPr>
          <w:rStyle w:val="FootnoteAnchor"/>
          <w:rtl w:val="true"/>
        </w:rPr>
        <w:footnoteReference w:id="1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منها</w:t>
      </w:r>
      <w:r>
        <w:rPr>
          <w:rStyle w:val="FootnoteAnchor"/>
          <w:rtl w:val="true"/>
        </w:rPr>
        <w:footnoteReference w:id="1995"/>
      </w:r>
      <w:r>
        <w:rPr>
          <w:rFonts w:ascii="Amiri" w:hAnsi="Amiri" w:eastAsia="Amiri" w:cs="Amiri"/>
          <w:color w:val="111111"/>
          <w:sz w:val="28"/>
          <w:sz w:val="28"/>
          <w:szCs w:val="28"/>
          <w:rtl w:val="true"/>
          <w:lang w:bidi="ar-SA"/>
        </w:rPr>
        <w:t>صَنَماً، فدَفَعوا إليه هُبَلَ‌</w:t>
      </w:r>
      <w:r>
        <w:rPr>
          <w:rStyle w:val="FootnoteAnchor"/>
          <w:rtl w:val="true"/>
        </w:rPr>
        <w:footnoteReference w:id="1996"/>
      </w:r>
      <w:r>
        <w:rPr>
          <w:rFonts w:ascii="Amiri" w:hAnsi="Amiri" w:eastAsia="Amiri" w:cs="Amiri"/>
          <w:color w:val="111111"/>
          <w:sz w:val="28"/>
          <w:sz w:val="28"/>
          <w:szCs w:val="28"/>
          <w:rtl w:val="true"/>
          <w:lang w:bidi="ar-SA"/>
        </w:rPr>
        <w:t>، فصارَ به إلىٰ مَكّةَ و إلَى الكَعبةِ و معه إسافٌ و نائلةُ‌</w:t>
      </w:r>
      <w:r>
        <w:rPr>
          <w:rStyle w:val="FootnoteAnchor"/>
          <w:rtl w:val="true"/>
        </w:rPr>
        <w:footnoteReference w:id="1997"/>
      </w:r>
      <w:r>
        <w:rPr>
          <w:rFonts w:ascii="IRNazanin" w:hAnsi="IRNazanin" w:eastAsia="IRNazanin"/>
          <w:color w:val="111111"/>
          <w:sz w:val="28"/>
          <w:sz w:val="28"/>
          <w:szCs w:val="28"/>
          <w:rtl w:val="true"/>
          <w:lang w:bidi="fa-IR"/>
        </w:rPr>
        <w:t xml:space="preserve">، </w:t>
      </w:r>
      <w:bookmarkStart w:id="981" w:name="pg16425_221986"/>
    </w:p>
    <w:p>
      <w:pPr>
        <w:pStyle w:val="BookText"/>
        <w:rPr/>
      </w:pPr>
      <w:bookmarkEnd w:id="981"/>
      <w:r>
        <w:rPr>
          <w:rFonts w:ascii="Amiri" w:hAnsi="Amiri" w:eastAsia="Amiri" w:cs="Amiri"/>
          <w:color w:val="111111"/>
          <w:sz w:val="28"/>
          <w:sz w:val="28"/>
          <w:szCs w:val="28"/>
          <w:rtl w:val="true"/>
          <w:lang w:bidi="ar-SA"/>
        </w:rPr>
        <w:t xml:space="preserve">و دَعا الناسَ إلىٰ تعظيمِها و عبادتِها، ففَعَلوا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Style w:val="FootnoteAnchor"/>
          <w:rtl w:val="true"/>
        </w:rPr>
        <w:footnoteReference w:id="1998"/>
      </w:r>
      <w:r>
        <w:rPr>
          <w:rFonts w:ascii="Amiri" w:hAnsi="Amiri" w:eastAsia="Amiri" w:cs="Amiri"/>
          <w:color w:val="111111"/>
          <w:sz w:val="28"/>
          <w:sz w:val="28"/>
          <w:szCs w:val="28"/>
          <w:rtl w:val="true"/>
          <w:lang w:bidi="ar-SA"/>
        </w:rPr>
        <w:t xml:space="preserve">فيما يَزعُمُ أصحابُ التاريخِ في أوّلِ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الأكتافِ‌</w:t>
      </w:r>
      <w:r>
        <w:rPr>
          <w:rStyle w:val="FootnoteAnchor"/>
          <w:rtl w:val="true"/>
        </w:rPr>
        <w:footnoteReference w:id="1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أظهَرَ اللّٰهُ الإسلامَ فأُخرِجَت</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2" w:name="__RefHeading___Toc7830549_1280447820"/>
      <w:bookmarkStart w:id="983" w:name="_Toc323"/>
      <w:bookmarkEnd w:id="982"/>
      <w:r>
        <w:rPr>
          <w:rtl w:val="true"/>
        </w:rPr>
        <w:t>بيوت الأصنام</w:t>
      </w:r>
      <w:bookmarkEnd w:id="983"/>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w:t>
      </w:r>
      <w:r>
        <w:rPr>
          <w:rStyle w:val="FootnoteAnchor"/>
          <w:rtl w:val="true"/>
        </w:rPr>
        <w:footnoteReference w:id="2001"/>
      </w:r>
      <w:r>
        <w:rPr>
          <w:rFonts w:ascii="Amiri" w:hAnsi="Amiri" w:eastAsia="Amiri" w:cs="Amiri"/>
          <w:color w:val="111111"/>
          <w:sz w:val="28"/>
          <w:sz w:val="28"/>
          <w:szCs w:val="28"/>
          <w:rtl w:val="true"/>
          <w:lang w:bidi="ar-SA"/>
        </w:rPr>
        <w:t>فيما زَعَمَ المُخبِرونَ كانَ لزُحَلَ‌، و قد كَذَبوا لَعَنَهم اللّٰهُ‌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 البيوتِ السَّبعةِ‌</w:t>
      </w:r>
      <w:r>
        <w:rPr>
          <w:rStyle w:val="FootnoteAnchor"/>
          <w:rtl w:val="true"/>
        </w:rPr>
        <w:footnoteReference w:id="2002"/>
      </w:r>
      <w:r>
        <w:rPr>
          <w:rFonts w:ascii="Amiri" w:hAnsi="Amiri" w:eastAsia="Amiri" w:cs="Amiri"/>
          <w:color w:val="111111"/>
          <w:sz w:val="28"/>
          <w:sz w:val="28"/>
          <w:szCs w:val="28"/>
          <w:rtl w:val="true"/>
          <w:lang w:bidi="ar-SA"/>
        </w:rPr>
        <w:t>التي كانَت للكواكبِ بَيتٌ علىٰ رأسِ جَبَلٍ بأصبَهانَ‌، علىٰ ثَلاثِ‌</w:t>
      </w:r>
      <w:r>
        <w:rPr>
          <w:rStyle w:val="FootnoteAnchor"/>
          <w:rtl w:val="true"/>
        </w:rPr>
        <w:footnoteReference w:id="2003"/>
      </w:r>
      <w:r>
        <w:rPr>
          <w:rFonts w:ascii="Amiri" w:hAnsi="Amiri" w:eastAsia="Amiri" w:cs="Amiri"/>
          <w:color w:val="111111"/>
          <w:sz w:val="28"/>
          <w:sz w:val="28"/>
          <w:szCs w:val="28"/>
          <w:rtl w:val="true"/>
          <w:lang w:bidi="ar-SA"/>
        </w:rPr>
        <w:t>فَراسِخَ مِن مَدينتِها؛ فكانَت فيه أصنامٌ‌، إلىٰ أن</w:t>
      </w:r>
      <w:r>
        <w:rPr>
          <w:rStyle w:val="FootnoteAnchor"/>
          <w:rtl w:val="true"/>
        </w:rPr>
        <w:footnoteReference w:id="2004"/>
      </w:r>
      <w:r>
        <w:rPr>
          <w:rFonts w:ascii="Amiri" w:hAnsi="Amiri" w:eastAsia="Amiri" w:cs="Amiri"/>
          <w:color w:val="111111"/>
          <w:sz w:val="28"/>
          <w:sz w:val="28"/>
          <w:szCs w:val="28"/>
          <w:rtl w:val="true"/>
          <w:lang w:bidi="ar-SA"/>
        </w:rPr>
        <w:t>أخرَجَها</w:t>
      </w:r>
      <w:r>
        <w:rPr>
          <w:rStyle w:val="FootnoteAnchor"/>
          <w:rtl w:val="true"/>
        </w:rPr>
        <w:footnoteReference w:id="2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كُشتاسِبُ‌</w:t>
      </w:r>
      <w:r>
        <w:rPr>
          <w:rFonts w:eastAsia="Amiri" w:cs="Amiri" w:ascii="Amiri" w:hAnsi="Amiri"/>
          <w:color w:val="111111"/>
          <w:sz w:val="28"/>
          <w:szCs w:val="28"/>
          <w:rtl w:val="true"/>
          <w:lang w:bidi="ar-SA"/>
        </w:rPr>
        <w:t>»</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المَلِكُ لمّا</w:t>
      </w:r>
      <w:r>
        <w:rPr>
          <w:rStyle w:val="FootnoteAnchor"/>
          <w:rtl w:val="true"/>
        </w:rPr>
        <w:footnoteReference w:id="2007"/>
      </w:r>
      <w:r>
        <w:rPr>
          <w:rFonts w:ascii="Amiri" w:hAnsi="Amiri" w:eastAsia="Amiri" w:cs="Amiri"/>
          <w:color w:val="111111"/>
          <w:sz w:val="28"/>
          <w:sz w:val="28"/>
          <w:szCs w:val="28"/>
          <w:rtl w:val="true"/>
          <w:lang w:bidi="ar-SA"/>
        </w:rPr>
        <w:t>تَمجَّسَ‌</w:t>
      </w:r>
      <w:r>
        <w:rPr>
          <w:rStyle w:val="FootnoteAnchor"/>
          <w:rtl w:val="true"/>
        </w:rPr>
        <w:footnoteReference w:id="2008"/>
      </w:r>
      <w:r>
        <w:rPr>
          <w:rFonts w:ascii="Amiri" w:hAnsi="Amiri" w:eastAsia="Amiri" w:cs="Amiri"/>
          <w:color w:val="111111"/>
          <w:sz w:val="28"/>
          <w:sz w:val="28"/>
          <w:szCs w:val="28"/>
          <w:rtl w:val="true"/>
          <w:lang w:bidi="ar-SA"/>
        </w:rPr>
        <w:t>، و جَعَلَه بَيتَ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بمُولتانَ‌</w:t>
      </w:r>
      <w:r>
        <w:rPr>
          <w:rStyle w:val="FootnoteAnchor"/>
          <w:rtl w:val="true"/>
        </w:rPr>
        <w:footnoteReference w:id="2009"/>
      </w:r>
      <w:r>
        <w:rPr>
          <w:rFonts w:ascii="Amiri" w:hAnsi="Amiri" w:eastAsia="Amiri" w:cs="Amiri"/>
          <w:color w:val="111111"/>
          <w:sz w:val="28"/>
          <w:sz w:val="28"/>
          <w:szCs w:val="28"/>
          <w:rtl w:val="true"/>
          <w:lang w:bidi="ar-SA"/>
        </w:rPr>
        <w:t>مِن أرضِ الهِندِ، و به 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سَدوسانَ‌</w:t>
      </w:r>
      <w:r>
        <w:rPr>
          <w:rFonts w:eastAsia="Amiri" w:cs="Amiri" w:ascii="Amiri" w:hAnsi="Amiri"/>
          <w:color w:val="111111"/>
          <w:sz w:val="28"/>
          <w:szCs w:val="28"/>
          <w:rtl w:val="true"/>
          <w:lang w:bidi="ar-SA"/>
        </w:rPr>
        <w:t>»</w:t>
      </w:r>
      <w:r>
        <w:rPr>
          <w:rStyle w:val="FootnoteAnchor"/>
          <w:rtl w:val="true"/>
        </w:rPr>
        <w:footnoteReference w:id="2010"/>
      </w:r>
      <w:r>
        <w:rPr>
          <w:rFonts w:ascii="Amiri" w:hAnsi="Amiri" w:eastAsia="Amiri" w:cs="Amiri"/>
          <w:color w:val="111111"/>
          <w:sz w:val="28"/>
          <w:sz w:val="28"/>
          <w:szCs w:val="28"/>
          <w:rtl w:val="true"/>
          <w:lang w:bidi="ar-SA"/>
        </w:rPr>
        <w:t>مِن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بَيتانِ عظيمانِ عندَهم، يأتونَهما في أوقاتٍ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البَيتُ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النَّوبَهارُ</w:t>
      </w:r>
      <w:r>
        <w:rPr>
          <w:rFonts w:eastAsia="Amiri" w:cs="Amiri" w:ascii="Amiri" w:hAnsi="Amiri"/>
          <w:color w:val="111111"/>
          <w:sz w:val="28"/>
          <w:szCs w:val="28"/>
          <w:rtl w:val="true"/>
          <w:lang w:bidi="ar-SA"/>
        </w:rPr>
        <w:t>»</w:t>
      </w:r>
      <w:r>
        <w:rPr>
          <w:rStyle w:val="FootnoteAnchor"/>
          <w:rtl w:val="true"/>
        </w:rPr>
        <w:footnoteReference w:id="2011"/>
      </w:r>
      <w:r>
        <w:rPr>
          <w:rFonts w:ascii="Amiri" w:hAnsi="Amiri" w:eastAsia="Amiri" w:cs="Amiri"/>
          <w:color w:val="111111"/>
          <w:sz w:val="28"/>
          <w:sz w:val="28"/>
          <w:szCs w:val="28"/>
          <w:rtl w:val="true"/>
          <w:lang w:bidi="ar-SA"/>
        </w:rPr>
        <w:t xml:space="preserve">، الذي 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مَنوشِهرُ</w:t>
      </w:r>
      <w:r>
        <w:rPr>
          <w:rFonts w:eastAsia="Amiri" w:cs="Amiri" w:ascii="Amiri" w:hAnsi="Amiri"/>
          <w:color w:val="111111"/>
          <w:sz w:val="28"/>
          <w:szCs w:val="28"/>
          <w:rtl w:val="true"/>
          <w:lang w:bidi="ar-SA"/>
        </w:rPr>
        <w:t>»</w:t>
      </w:r>
      <w:r>
        <w:rPr>
          <w:rStyle w:val="FootnoteAnchor"/>
          <w:rtl w:val="true"/>
        </w:rPr>
        <w:footnoteReference w:id="2012"/>
      </w:r>
      <w:r>
        <w:rPr>
          <w:rFonts w:ascii="Amiri" w:hAnsi="Amiri" w:eastAsia="Amiri" w:cs="Amiri"/>
          <w:color w:val="111111"/>
          <w:sz w:val="28"/>
          <w:sz w:val="28"/>
          <w:szCs w:val="28"/>
          <w:rtl w:val="true"/>
          <w:lang w:bidi="ar-SA"/>
        </w:rPr>
        <w:t>بمَدينةِ بَلخَ مِن خُراسانَ علَى اسمِ القمرِ، فلمّا ظَهَرَ الإسلامُ خَرَّبَه أهلُ بَلخَ‌</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عُمدانَ‌</w:t>
      </w:r>
      <w:r>
        <w:rPr>
          <w:rFonts w:eastAsia="Amiri" w:cs="Amiri" w:ascii="Amiri" w:hAnsi="Amiri"/>
          <w:color w:val="111111"/>
          <w:sz w:val="28"/>
          <w:szCs w:val="28"/>
          <w:rtl w:val="true"/>
          <w:lang w:bidi="ar-SA"/>
        </w:rPr>
        <w:t>»</w:t>
      </w:r>
      <w:r>
        <w:rPr>
          <w:rStyle w:val="FootnoteAnchor"/>
          <w:rtl w:val="true"/>
        </w:rPr>
        <w:footnoteReference w:id="2013"/>
      </w:r>
      <w:r>
        <w:rPr>
          <w:rFonts w:ascii="Amiri" w:hAnsi="Amiri" w:eastAsia="Amiri" w:cs="Amiri"/>
          <w:color w:val="111111"/>
          <w:sz w:val="28"/>
          <w:sz w:val="28"/>
          <w:szCs w:val="28"/>
          <w:rtl w:val="true"/>
          <w:lang w:bidi="ar-SA"/>
        </w:rPr>
        <w:t xml:space="preserve">الذي بمَدينةِ صَنعاءَ مِن مُدُنِ اليَمَنِ‌،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w:t>
      </w:r>
      <w:r>
        <w:rPr>
          <w:rStyle w:val="FootnoteAnchor"/>
          <w:rtl w:val="true"/>
        </w:rPr>
        <w:footnoteReference w:id="2014"/>
      </w:r>
      <w:r>
        <w:rPr>
          <w:rFonts w:ascii="Amiri" w:hAnsi="Amiri" w:eastAsia="Amiri" w:cs="Amiri"/>
          <w:color w:val="111111"/>
          <w:sz w:val="28"/>
          <w:sz w:val="28"/>
          <w:szCs w:val="28"/>
          <w:rtl w:val="true"/>
          <w:lang w:bidi="ar-SA"/>
        </w:rPr>
        <w:t xml:space="preserve">بَناه </w:t>
      </w:r>
    </w:p>
    <w:p>
      <w:pPr>
        <w:pStyle w:val="BookText"/>
        <w:rPr/>
      </w:pPr>
      <w:r>
        <w:rPr>
          <w:rFonts w:ascii="Amiri" w:hAnsi="Amiri" w:eastAsia="Amiri" w:cs="Amiri"/>
          <w:color w:val="111111"/>
          <w:sz w:val="28"/>
          <w:sz w:val="28"/>
          <w:szCs w:val="28"/>
          <w:rtl w:val="true"/>
          <w:lang w:bidi="ar-SA"/>
        </w:rPr>
        <w:t>علَى اسمِ الزُّهرةِ‌، و خَرَّبَه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كاوُسانَ‌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كاوُسُ‌</w:t>
      </w:r>
      <w:r>
        <w:rPr>
          <w:rFonts w:eastAsia="Amiri" w:cs="Amiri" w:ascii="Amiri" w:hAnsi="Amiri"/>
          <w:color w:val="111111"/>
          <w:sz w:val="28"/>
          <w:szCs w:val="28"/>
          <w:rtl w:val="true"/>
          <w:lang w:bidi="ar-SA"/>
        </w:rPr>
        <w:t>»</w:t>
      </w:r>
      <w:r>
        <w:rPr>
          <w:rStyle w:val="FootnoteAnchor"/>
          <w:rtl w:val="true"/>
        </w:rPr>
        <w:footnoteReference w:id="2015"/>
      </w:r>
      <w:r>
        <w:rPr>
          <w:rFonts w:ascii="Amiri" w:hAnsi="Amiri" w:eastAsia="Amiri" w:cs="Amiri"/>
          <w:color w:val="111111"/>
          <w:sz w:val="28"/>
          <w:sz w:val="28"/>
          <w:szCs w:val="28"/>
          <w:rtl w:val="true"/>
          <w:lang w:bidi="ar-SA"/>
        </w:rPr>
        <w:t>المَلِكُ‌؛ بِناءً عَجيباً</w:t>
      </w:r>
      <w:r>
        <w:rPr>
          <w:rStyle w:val="FootnoteAnchor"/>
          <w:rtl w:val="true"/>
        </w:rPr>
        <w:footnoteReference w:id="2016"/>
      </w:r>
      <w:r>
        <w:rPr>
          <w:rFonts w:ascii="Amiri" w:hAnsi="Amiri" w:eastAsia="Amiri" w:cs="Amiri"/>
          <w:color w:val="111111"/>
          <w:sz w:val="28"/>
          <w:sz w:val="28"/>
          <w:szCs w:val="28"/>
          <w:rtl w:val="true"/>
          <w:lang w:bidi="ar-SA"/>
        </w:rPr>
        <w:t>علَى اسمِ الشمسِ‌، بِمَدينةِ‌</w:t>
      </w:r>
      <w:r>
        <w:rPr>
          <w:rStyle w:val="FootnoteAnchor"/>
          <w:rtl w:val="true"/>
        </w:rPr>
        <w:footnoteReference w:id="2017"/>
      </w:r>
      <w:r>
        <w:rPr>
          <w:rFonts w:ascii="Amiri" w:hAnsi="Amiri" w:eastAsia="Amiri" w:cs="Amiri"/>
          <w:color w:val="111111"/>
          <w:sz w:val="28"/>
          <w:sz w:val="28"/>
          <w:szCs w:val="28"/>
          <w:rtl w:val="true"/>
          <w:lang w:bidi="ar-SA"/>
        </w:rPr>
        <w:t>فَرغانةَ مِن مُدُنِ خُراسانَ‌، خَرَّبَه المُعتَصِمُ‌</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بُيوتُ النارِ فهي كَثيرةٌ‌، و أوّلُ مَن رَسَمَ لها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يَزعُمونَ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أَفريدونُ‌</w:t>
      </w:r>
      <w:r>
        <w:rPr>
          <w:rFonts w:eastAsia="Amiri" w:cs="Amiri" w:ascii="Amiri" w:hAnsi="Amiri"/>
          <w:color w:val="111111"/>
          <w:sz w:val="28"/>
          <w:szCs w:val="28"/>
          <w:rtl w:val="true"/>
          <w:lang w:bidi="ar-SA"/>
        </w:rPr>
        <w:t>»</w:t>
      </w:r>
      <w:r>
        <w:rPr>
          <w:rStyle w:val="FootnoteAnchor"/>
          <w:rtl w:val="true"/>
        </w:rPr>
        <w:footnoteReference w:id="2019"/>
      </w:r>
      <w:r>
        <w:rPr>
          <w:rFonts w:ascii="Amiri" w:hAnsi="Amiri" w:eastAsia="Amiri" w:cs="Amiri"/>
          <w:color w:val="111111"/>
          <w:sz w:val="28"/>
          <w:sz w:val="28"/>
          <w:szCs w:val="28"/>
          <w:rtl w:val="true"/>
          <w:lang w:bidi="ar-SA"/>
        </w:rPr>
        <w:t>وَجَدَ ناراً يُعظِّمُها أهلُها، فبَعَثَ بها إلىٰ خُراسانَ‌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w:t>
      </w:r>
      <w:r>
        <w:rPr>
          <w:rStyle w:val="FootnoteAnchor"/>
          <w:rtl w:val="true"/>
        </w:rPr>
        <w:footnoteReference w:id="2020"/>
      </w:r>
      <w:r>
        <w:rPr>
          <w:rFonts w:ascii="Amiri" w:hAnsi="Amiri" w:eastAsia="Amiri" w:cs="Amiri"/>
          <w:color w:val="111111"/>
          <w:sz w:val="28"/>
          <w:sz w:val="28"/>
          <w:szCs w:val="28"/>
          <w:rtl w:val="true"/>
          <w:lang w:bidi="ar-SA"/>
        </w:rPr>
        <w:t>بيتاً بسِجِستانَ‌</w:t>
      </w:r>
      <w:r>
        <w:rPr>
          <w:rStyle w:val="FootnoteAnchor"/>
          <w:rtl w:val="true"/>
        </w:rPr>
        <w:footnoteReference w:id="2021"/>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كَركُو</w:t>
      </w:r>
      <w:r>
        <w:rPr>
          <w:rFonts w:eastAsia="Amiri" w:cs="Amiri" w:ascii="Amiri" w:hAnsi="Amiri"/>
          <w:color w:val="111111"/>
          <w:sz w:val="28"/>
          <w:szCs w:val="28"/>
          <w:rtl w:val="true"/>
          <w:lang w:bidi="ar-SA"/>
        </w:rPr>
        <w:t>»</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في المدخل إلى صناعة علم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الحدود، للنيسابوري،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الاقتصاد،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د، ص، ط، ه‍،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الرسالة في ضمن رسائل الشريف المرتضى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استحقاق مدح الباري علىٰ الأوصاف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الغابر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يعضده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س، 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بقصده و لا حجّة بعمده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تعضده، و لا حجّة تعمده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رأيت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المتعمّدة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لا داعي إلىٰ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داعي له إلى فعله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حذف الفاء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يقولون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جُعلت بين معقوفين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لا يستحقّ المدح، خلافاً للقديم تعالىٰ‌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لا يقبل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يقتل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يتلف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وجود الصارف القويّ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فالمدار علىٰ وجود الصارف القويّ في عدم استحقاق المدح، سواء سمِّي مُلجأ أو لم يُسمَّ‌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 و لا 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جميع النسخ و المطبوع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في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 مُلجأ إلى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مُلجأ فاعل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حمله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 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بحكمٍ‌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وجود المضارّ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بحثنا عن علّة سقوط المدح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خلوصه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خلوص عن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العلّة موجودة في القديم تعالىٰ‌، فلا يستحقّ المدح علىٰ كلامهم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القاتل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 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خلوص الصارف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ك، ل، م، ه‍،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الحاصلة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غير الإلجاء الذي يحصل بالمنع، كما سوف يأتي بعد قليل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يُعلِم اللّٰهُ تعالى القادرَ أنّه متىٰ ما رامَ الفعلَ منعه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يأتي في الجواب أنّه غيرُ المنع، خلافاً لما جاء هنا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سمّيتموه منعاً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منعاً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فالإلجاءُ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فألّا جاز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سمّيتموه منعاً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يُعلِم اللّٰهُ تعالىٰ القادرَ أنّه متىٰ رامَ الفعلَ منعه 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حبستُه حبساً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لخلوّه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لخلوص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نمدح 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حمد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حمدنها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لا يكون ثبوت الصارف مانعاً من استحقاق المدح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فيعلم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لثبوت الصارف فيه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فالقديم تعالىٰ لا يفعل القبيح لاستغناؤه عنه أيضاً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ذكرتموه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يستحقّه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دُلّوا فدُلّوا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يفعل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 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فرق؛ لأنّ أحدنا 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استغنىٰ عنه بالصدق الذي قرّرنا تساويهما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تساويهما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الصدق و الكذب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تقبُّل أن يَستحقّ المدحَ علىٰ تركه الكذب؛ لأنّه علىٰ أيّ حال تَرَكَ ما فيه منفعة، و إن استغنىٰ عنه بالصدق، خلافاً للقديم تعالىٰ‌، فإنّه بتركه الكذب لم يترك ما فيه منفعة، فلا يستحقّ المدح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بالصدق و الكذب، أو الفعل و الترك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الأمرين، و كون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س، ش، ط، ع،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هو في نفس الوقت صارف عن استحقاق المدح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له 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له يفعل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بالإطلاق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قدحه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نمدحه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نَمدحُه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 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لمدحه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هذا المذهب أن لا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فعل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و المطبوع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بداية الرسالة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 يجب أن يقال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س، 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كونه إحساناً و الصوارف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الفاعل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امتنع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 تقتضي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نفسيّة يقتضي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 يقتضي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نفسيّة تقتضي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صفة تقتضي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 ك، ل، م، ه‍، و،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صفة تقتضي ذلك؛ فلا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أرادوا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الضيّقة 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المضيّقة المشبّهة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الضيّقة المشتبهة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تجوز عليه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التقصير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يبقى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تقتضي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نفسها 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الكلمة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ث، ج، د، ص، ط، ق،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تدلّ‌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يستعمل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هو تعالىٰ‌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ه‍،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الداخلة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 جُعلت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د، ر،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اختصّت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جرى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يصحّ أن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و المطبوع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نعني نقولنا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نعني بقولنا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ط،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اختلف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ث، ج، ر،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يخالف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الرسالة في ضمن رسائل الشريف المرتضى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النفع في الضرر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هو في الحقيقة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يَعرىٰ من الأُمور المذكورة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حدّ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رأيت هذا مضروباً، و الظاهر أنّه ذو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يريد شخصٌ قتلَ آخر، فيدفعه ذلك الآخر عن نفسه بما يؤلمه، من دون قصد إلىٰ إيلامه، بل يكون القصد إلى المدافعة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التعليق في علم الكلام،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ث، ج، ص، ط، 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يدخل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 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 يوفي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 يوفي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قوّته؛ لأنّ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يوفي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للاستحقاق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للظنّ للاستخفاف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الظنّ الاستحقاق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لظنّ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لظنّ الاستحقاق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يحسن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الموضع إنّما يحسن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هذاالموضع إنّما يصحّ بحسن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أبو علي إلىٰ أنّ الظنّ لا يقتضي القبح في نفسه، و إنّما الغمّ المقترِن به هو المقتضي للقبح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يراد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بإهمال النقط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يُعقل للاعتبار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 ه‍،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يُفعل للاعتبار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بالاعتبار نوع من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ممتنع 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ممتنع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يمتنع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كالمنفصل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للاختبار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الغرض فيه لأنّ العوض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هو الغرض فيه لا العوض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بدلها فراغ</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ق،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بإهمال النقط تماماً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د، ص،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ظلماً، و بالاعتبار يخرج من أن يكون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بالإطلاق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العبادات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الألم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فعلم الألم بوجه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الألم لوجه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يوجد في موضعه فراغ</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فيختصّ يحسن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فيختصّ بحسن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فتختصّ 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فنختصّ نحن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ث، ج، ص، ط، ق، ه‍،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يخرج</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الضَّحْل، و هو الذي يَعلو مَن يَدخله و يُغطّيه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ث، ج، ص، ق،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يكسر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ث، ج، ص، ق، ه‍،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يتمكّن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يمكّنّا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تمكّنّا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كاسر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كاسرين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طلب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يوجد 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فلذا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العوض كما تقدّم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الألم ليخرج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 الألم فتخرج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 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الألم فيخرج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مشتركة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لرفع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غير ألم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يبدو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الآلام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يبدو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تكون مقصوداً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 مقصوداً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تكون مقصودة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مقصوداً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تأمّل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اللّٰه تعالىٰ‌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بإهمال النقط في الحرف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لمشيئته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التوفيق بمشيئته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بمشيئته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بياض في 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الألم و لم يحتج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يوجد 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 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الجارّة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الألم أيضاً النفع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ما يُفعل من الألم للنفع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لغيرنا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متمكّناً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استأجر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لاستقاء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يفعله نفوسنا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يفعله بنفوسنا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تفعله نفوسنا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نفعله بنفوسنا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نفوسنا بالأسفار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بياض في 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الألم يحسن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عوض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عرض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فراغ في 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لأجلها قبيحة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مفسدةً 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الرسالة في ضمن رسائل الشريف المرتضى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قبل الدلالة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صفات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نعلم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ك، ل، م، و،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لم يعلم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 قد عُلم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وجوبه على الكلام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أن يوجبه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ذكرُها إلّاعلى تدريجٍ‌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تفاصيل هذه النظرية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لم يسبق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ثمّ سبق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لم نسبق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لم نُسبق إليه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ش، ك، ل، م، ه‍، و،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التأثير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ل، م، و،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ك،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يؤثّر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س، ط، ع، م، ه‍،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ط، ع، ك،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كارهاً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مؤثّرتين في كون الخبر و الأمر خبراً و أمراً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ش، ط، ع،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المحادثات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المحاذيات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يعرض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يعرىٰ من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يخلو</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مستقلّة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ش، ط، ع، م، و،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المحادثات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المحاذيات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سوى الإحداث</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حيث</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الرسالة في ضمن رسائل الشريف المرتضى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 كون الصفة بالفاعل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المستدِلّ هو أبو هاشم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مبنيّ‌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أهلها كلّ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جعلها على كلّ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قُدر علىٰ جعلها علىٰ كلّ صفة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فلو كان الجسم منتقلاً بالفاعل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تنقسم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إليه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 علّةٍ‌، و تارةً تستند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أن يكون الانتقال بالفاعل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بالمعنىٰ هو العلّة، فتارة يعبّر بالمعنىٰ و أُخرىٰ بالعلّة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الاشتراط</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كانت لمعنىً فكذلك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ط، ه‍،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ث، ج، د، ص، ط، ه‍،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أثّرتها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قطعيّاً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أثّرنا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الرسالة في ضمن رسائل الشريف المرتضى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الدليل علىٰ أنّ الجوهر ليس بمحدث</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من سهو أقلام النُّسّاخ</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يعترض</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بذلك إلى الرسالة السابقة و هي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أحد الأدلّة علىٰ كون الصفة بالفاعل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تقدّم فيها نفسُ هذا الاعتراض</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ش، ص،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بالعلّة في هذا البحث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انقساماً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انقسام ما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متلبّس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معه إلى القطع علىٰ أنّ الصفة مستندة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التنبّؤات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هي لطف فيه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وجوب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و المطبوع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بياض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التقريب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التنبّؤات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سارع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تصلح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بين المعقوفين استفدناه من المغني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ليزيل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بالمكاره من العلاج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أولىٰ‌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يجز</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حصل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يتضمّن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اجتناب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إملاء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جعله بين معقوفين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أحوالهم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أفعالهم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و 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تَعُمُّهم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نَغِصَ الرجُلُ‌؛ نَغصاً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تَتِمَّ له هَناءتُه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أكثره بالتشديد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نُغِّصَ‌؛ تنغيصاً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الخلاف بين البصريّين و البغداديّين،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النسخ المعتمدة؛ لكنّه موجود في سائر النسخ، و هي التي تحمل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الرسالة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يتغيّر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يصيروا دون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مسائل الخلاف،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يجب أن يصير أدون الناس منزلة في أوّل ما يدخل الجنّة، بمنزلة النبيّ صلّى اللّٰه عليه و آله في أوّل ما يدخل الجنّة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مجبوراً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الشبه لا يدخل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توفّر الدواعي إلى الحصول على الثواب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الآفات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واصلاً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يستحقّه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الاستحقاق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بالمعرفة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بين معقوفين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علمتم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وجوب المعرفة باللّٰه تعالىٰ‌</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وجب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يَخلُ‌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 المعرفة؛ 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مكتسبين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وُضع فوقها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بين معقوفين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أُشير في الهامش إلىٰ وجوده في نسخةٍ‌؛ و هو موجود في نسخ أُخرىٰ لم نعتمدها في هذا التحقيق، و هي النسخ التي تحمل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الرسالة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يمكن أن تكون معرفةُ من لم يعرف اللّٰه تعالى في الدنيا معرفةً ضروريّة في الآخرة، و معرفةُ من كان يعرفه في الدنيا معرفةً بالتذكّر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التفصيل يرتفع الإشكال الأخير الذي ذكره المصنّف رحمه اللّٰه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هذا الوجه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استغنوا بمعرفتهم المتقدّمة به تعالىٰ عن أن يكونوا مُلجَئين إليها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ينافي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لكنّ الصحيح هو النصب؛ مطابقاً لخمس نسخ لم نعتمدها في هذا التحقيق، و هي التي تحمل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الرسالة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تعالىٰ‌</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كان لا يوصف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اللّٰه بن أحمد بن محمود الكعبي البلخي، من شيوخ المعتزلة، و من الذين انتهت إليهم رئاسة المعتزلة، و إليه تنسب الفرقة الكعبيّة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الكلام عن أبي الحسين الخيّاط، و انفرد عنه بمسائل، و كان كاتباً لمحمّد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وفاته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وُضع بين معقوفين، و أُشير في الهامش إلىٰ كونه موجوداً في نسخةٍ واحدةٍ فقط، و أنّه في نسخةٍ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بأنّك</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الحركة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صيغة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الجبّائيّان أبو علي و 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أيّ من النسخ المعتمدة؛ لكنّه ضروريٌّ و مطابقٌ لنسخ لم نعتمدها في هذا التحقيق، و هي التي تحمل 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الرسالة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مثله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الهُذيل بن عبد اللّٰه بن مكحول العبدي، أبو الهُذيل العلّاف؛ من أئمّة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البصرة، و اشتهر بعلم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مقالات في الاعتزال و مجالس و مناظرات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بصره في آخر عمره، و توفّي بسامرّاء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يمتنعوا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مستنغص</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يلجؤون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ينقض</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تقولون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ينتقلوا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ينقلون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وُضع بين معقوفين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علىٰ وجوهٍ أُخَرَ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فالتخيير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عن جهة إعجاز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أخبار أبي العلاء المعرّي و آثاره،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تجديد ذكرى أبي العلاء،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الملخّص،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 من المسائل السلّارية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أخبار أبي العلاء المعرّي،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النسخ خالية من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السيّد الأجلّ علم الهدى المرتضى أبي القاسم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و أرضاه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أبي العلاء المعرّي الدهري في جواب ما سأل عنه مرموزاً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به نستعين، و به تمسّكي و اعتمادي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الشيخ سليمان الصهرشتي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 الهدى</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اللّٰه روحه، و نوّر ضريحه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أبو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حُذفت كلمتا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من جميع الموارد المشابهة الآتية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نظيره التالي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بعد نقل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استُعيرَ هنا للفَلَك الدوّار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العلاء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لطه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حينئذ يكون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المُربي على السبع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فمن بعض نسخ الاحتجاج</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الاثنتين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استفدناه من الاحتجاج و قمنا بتأنيثه ليتناسب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أبو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قولك في الأربع‌؟ فقال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قولك في الواحدة و الاثنين‌؟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الاحتجاج</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أبو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أخذتَه‌؟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المرتضى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أعلى اللّٰه درجته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كشف هذه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هذه الوجوه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عنده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الكلّ عندهم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ما عدا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وهذا الجزء و هو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هذا موضع هذه العبارة؛ فإنّه لم يتكلّم بعدُ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سوف تأتي هذه العبارة في موضعها بعد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الظاهر أنّ مراده بالعالم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الأرض و ما فيهما، و مراده بالعالم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قولك فيه‌؟ أراد أنّه قديم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متولّداً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مرادي بذلك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نجد له وجهاً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صحّ أنّ هذا العالم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هذا الجزء محدَثاً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زعمه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الجنس الواحد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 محدَثاً و بعضه قديماً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سمع ما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الشعرىٰ‌</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ليست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من الكواكب المتحرّكة و المتغيّرة، فلا يكون حادثاً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لأنّه قديم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الفلك في حال دوران مستمرّ، فيكون حادثاً، و الشعرىٰ جزء منه فيكون حادثاً أيضاً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عدم الانتهاء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العالم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هنا الاستدلال بعدم تناهي العالم علىٰ قدمه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التحيّز و التدبّر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التحيّز في التدوير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التحيّز و الدوران قد ثبتا في هذا العالم، و هما يدلّان علىٰ عدم التناهي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السبع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فأجبته عن ذلك</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قولك في 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باطل بالزائد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احتمال أن يكون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المُربي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الكواكب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 النسخ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الأربع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يتولّد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جلدها هو الذي تلمسه الأيدي و يلمسها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تُطرح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فتحترق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المنتنة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طبيعة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بعد هذه الكلمة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الثلج أيضاً تتولّد فيه الديدان، و هو علىٰ طبيعة واحدة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من حيوانات البحر، و تُسمّى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لاك پُشت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فرهنگ أبجدي،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سلحف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الحيوان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عندك</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فهذا مناقض بهذا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المؤثّر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المؤثِّر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كلّهنّ عنده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النحسَين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نحسين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اجتمعا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الاحتجاج</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اجتمعا 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الاحتجاج</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اجتمعا يخرج من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اجتمعا لا يحصل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الاحتجاج</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دليل علىٰ بطلان قولهم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بالهاء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 المحيط الأعظم،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فقرأتُ‌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الاحتجاج بعد نقل المناظرة ما يلي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 العالمين، و صلواته علىٰ سيّدنا محمّد و آله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تمّت المناظرة، و 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استنسختُها علىٰ نسخة بخط شيخنا المغفور له الشيخ آغا بزرك الطهراني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الأقلّ محمّد صادق آل بحر العلوم الطباطبائي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تتحدّث عن كيفية تبرير بعض الأُمور القبيحة بظاهرها، مثل قتل الغلام في قصّة الخضر و موسىٰ‌، و قد تركّزت الرسالة علىٰ هذه القصّة، و لذلك وُضعت في ضمن الرسائل القرآنيّة للشريف المرتضىٰ‌</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العرفان،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أخبار أبي العلاء المعرّي و آثاره،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كتاب الشيعة، العدد المزدوج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كما تعرّض إلى هذا البحث في رسالة في أحكام أهل الآخرة، فراجع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المقدسات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فيه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 نظر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 نظر 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يُعرِّض</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بالمبتني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المتنبّي هو أحمد بن الحسين، أبو الطيّب، المعروف بالمتنبّي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الشعراء، له الأمثال السائرة و الحِكم البالغة و المعاني المبتكرة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بالكوفة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نشأ بالشام، و أكثر المقام بالبادية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الأدب و علوم العربيّة، و تعاطى الشعر في حداثته حتّى بلغ فيه الغاية، و فاق أهل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اتّصل بالأمير سيف الدولة الحمداني في حلب، و مدحه بقصائد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مدح كافور الإخشيدي أمير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إلىٰ فارس و مدح عضد الدولة البويهي، و في طريق العودة إلى بغداد قُتل بالقرب من النعمانيّة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نستجين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يستجين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فلانٌ يَقيلُ قَيلاً و قائلةً و قيلولةً و مَقيلاً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 نصف النهار؛ نام أم لم 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استرحتُ له، أي سكنتُ و اطمأننتُ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لا في ديوان المتنبّي و لا في المصادر الأُخرىٰ‌</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يلتفظ</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يسخطون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يُلجَؤون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يفعل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المعتمد في أُصول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الذريعة إلى أُصول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ش،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 الموارد الآتية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تعالىٰ‌</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كما سوف يشير إليه بعد قليل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ليس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بالمحاورة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قليل، فالأنسب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ما عدا هذه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 حذف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د، س، ش، ص،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 بعض</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ر، 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الإنصاف فيما تضمّنه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أُخرىٰ من إنشائه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اللّٰه درجاته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إنشاء السيّد المرتضى، رفَع اللّٰه درجاته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إنشاء السيّد الشريف المرتضىٰ و إملائه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الأنسب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الأنسب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شيّدت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نجدها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أبح</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يمنعها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القصد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و بَذلتُ‌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يراه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سويد بن أبي 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غطيف، أو شبيب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حارثة بن حسل الذبيانيّ الكنانيّ اليشكريّ‌، شاعر من مخضرمي الجاهليّة و الإسلام، عدّه ابن سلّام في طبقة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يسكن بادية العراق، و سجن بالكوفة لمهاجاته أحد بني يشكر، فعمل بنو عبس و ذبيان على إخراجه؛ لمديحه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شعره عينيّة كانت تسمّى في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اليتيمة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من أطول القصائد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ستّين 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3737</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خزانة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عنه في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متشابه القرآن لابن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فراس همّام بن غالب بن صعصعة بن ناجية التميميّ البصريّ الشاعر، ولد بالبصرة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أقام في باديتها مع أبيه، و ظهرت فيه ملكة الشعر و هو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به أبوه عليّ بن أبي طالب عليه السلام بعد وقعة الجمل، و أخبر أنّه شاعر،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ينظم شعراً حتّى حفظ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رجال الطوسي،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6698</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 طبقاً للديوان بطبعتَيه المحقَّقتَين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دار الكتاب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الأبيات يهجو الفرزدقُ بني جعفر بن كلاب و يعيّرهم بقتلىٰ منهم أُصيبوا في حروبهم، فحملت النساء هؤلاء القتلىٰ حتّىٰ أتين بهم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الذين معهم أحمال الميرة، و ذلك اسم للرجال و الجمال الحاملة للميرة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للشريف المرتضى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كالتي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أدم الهصيّات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لقرم الهضاب عيرها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 ذلك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الهضيبات عيرها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في الديوان بطبعتيه المحقَّقتَين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السيّد المدني في الطراز الأوّل،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يوم الهُضَيبات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يوم طَخفَةَ‌، كان للضِّباب على بني جعفر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الديوان بطبعتيه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الديوان بطبعتَيه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 كما تقدّم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تحمل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تحصىٰ‌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الأنسب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الأنسب في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لأحدٍأن يُنكِرَ ذلك؛ لِقولِهم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الأنسب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الدلالة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تقتضيه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 الملائكة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باقي الجنس الأوّل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الملائكة أفضل من جنس</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بين معقوفين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مفضولاً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أُشير في هامش المطبوع إلىٰ أنّ الزيادة إنّما وُضعَت من قِبَل المحقّق لتتميم الكلامِ‌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التنبّؤات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الشريف المرتضى في الرسالة بهذه الشروط، لكن من المحتمل أنّه يريدها، و اللّٰه العالم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التنبؤات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القاضي عبد الجبّار هذه الشبهة و جوابها مع اختلاف يسير في كتابه المغني،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التنبّؤات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فيه إغواء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إغراء</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يعلم أنّه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 للسؤال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مسقط للسؤال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يتقطّع</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الشريطة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استفدناه من المغني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أداؤهما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الأداء</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ه‍،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يزح</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لعقله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يمكَّن من أداء الرسالة علىٰ كلّ حال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يعلم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يعلمها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يتمكّن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يؤمر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يؤدّيها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فيزاح</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قِبله أو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وُضع بدلها ثلاث نقاط بين معقوفين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أنّه قد يجوز الانتفاء</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نمنع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شكُّه في أنّه يجوز أن لا يبقىٰ حيّاً كي يؤدّي الرسالة بنفسه، لا يمنع من حصول اليقين له بإزاحة علّة المكلّف علىٰ أيّ حال، إمّا بواسطته و إمّا بواسطة شخص آخر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 ط، 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المراخية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الجارّة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يجوز مع ثبوت الأوّل أن لا يقطع بثبوت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سهو</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متمكّناً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لم 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يجب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الغرض</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 ثلاث نقاط وُضعت بين معقوفين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يعلم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في 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سيبقى ليؤدّي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يوجد 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حاله أنّه 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يوجد 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إغراءً‌، و مَن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يوجد 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البعثة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المعتزلة و منهم 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التنبّؤات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المصنّف رحمه اللّٰه فذهب إلىٰ أنّ معاصي اللّٰه تعالىٰ كبائر، و إنّما تكون صغيرة بالإضافة إلى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يوجد 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بالتبقية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نقاط وُضعت بين معقوفين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يعتقد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إغراء لجميع المكلَّفين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المعاصي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ستبقى أنّه فيما يأتيه فعلم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ستبقى؛ لأنّه فيما يأتيه نعلم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فيما يأتيه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الاعتبار بالتوبة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يختار التوبة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المخافة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بالتبعيّة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بالبيّنة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إغراء للجميع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لا يضاف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لا يضاف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انضافه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المغني</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مأمور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ط، ق، ه‍،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يأمن من أن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ط، ه‍،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قاضي القضاة عبد الجبّار بن أحمد الهمذاني الأسدآبادي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شيخ المعتزلة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القضاء بالريّ‌، و مات فيها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و تنزيه القرآن عن المطاعن، و الأمالي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مسائل المرتضى،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من بعد تعود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 يبقىٰ‌</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يزيلان عن المكلّف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يزولان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يزولان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يزولان عن المكلّف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لم يعلم ذلك</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التنبّؤات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يُعترض</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ث، ج، ص</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تُطبع هذه الرسالة لأوّل مرّة، و علىٰ نسخة واحدة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مقولتهم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فتطرّق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ذكرتهم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أهلُه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تعظيمهم و تقديمهم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تكاليفنا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الفصل الأوّل من المسائل التَّبّانيّات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التبّانيّات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نستدلّ‌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متى أخلّ به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 و آله عليهم الصلوات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المطبوع و البحار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 من أقوال الشافعيّة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المجموع للنووي،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فتح الوهّاب،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ينكرون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للسمرقندي،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يتعدّاهم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كونهم أفضل الناس و أجلّهم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نفوس</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اجتمع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إجماعَهم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إكبارهم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المطبوع و البحار، و لعلّ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شاحطُ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تَباعَدَ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شاطئها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شَطَّ بمعنى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شاطئ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شطأ</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الفراهيدي في كتاب 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نَفِدَ الشيءُ نَفاداً، أي 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 زادُهم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استَنفَدوا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 ما عندهم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البحار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الِازوِرارُ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الانحرافُ و العُدولُ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هامشها كما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البائنة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لخارقٍ للعادات و خارجٍ‌</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الداعي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يستفتح</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 و البحار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فقد استفدناه من الاحتجاج</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يستدفع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يستدعيه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يستدفعوا البليّات؛ و الأحوال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يعتقدونهم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يعتقدون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أكثرهم يعتقدون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أكثرهم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دواعي</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القادر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عظّموه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الفقه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الإكبار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أسبابها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نسبهم و حسبهم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قراباتهم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 و آله السلام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 و البحار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إنّما استفدناه من الاحتجاج</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الأعراض</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الاشتراك</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هذه الحالة 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يجري في هذه الحال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تفضيل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لسمّينا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 الشيءُ مُصوحاً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انقَطَعَ‌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وليهم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أئمّة أبنائهما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أئمّة أبنائهم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الأزمان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أجمعين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بطانة للصادق و الكاظم و الباقر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بطانة للباقر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و سلامه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يعتقدونه و يصحّحونه و ينالونه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حاشيتها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يبطلونه و ينتحلونه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لأبدلوها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على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أنّهم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الصلاة و السلام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تتبرّأ</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ترقىٰ‌</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تُطبع هذه الرسالة لأوّل مرّة، و علىٰ نسخة واحدة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خَصَصتموهم بها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و الأسانيد إلى مضمون الحديث كثيرة بحيث بلغت إلى حدّ التواتر؛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كفاية الأثر،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للنسائي،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فما وجه جَعلِكم عدد الأئمّة خاصّاً بهذا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وجه اختصاصِكم الأئمّةَ بهذا العدد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تفرَّقت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نقل عنه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نقلوا عنه معاني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يلقوه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لذاته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أمانته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المصادر كلّها، و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من سهو النسّاخ</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المصادر كلّها، و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المصادر كلّها، و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الاستنصار للكراجكي،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عن الشعبي عن عمّه قيس بن عبد اللّٰه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ينابيع المودّة للقندوزي،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الشعبي عن عمر بن قيس عن ابن مسعود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الاستنصار للكراجكي،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مقتضب الأثر،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الأخير بالإسناد عن ابن النجّار عن أنس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الغيبة للنعماني،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مقتضب الأثر،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فتح الباري،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الغيبة للنعماني،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الاستنصار للكراجكي،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مفهومون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عباد مرفوعاً عن أبي جعفر عليه السلام مع اختلاف يسير في اللفظ</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أجملهم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اللفظ</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سؤال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الاستنصارللكراجكي،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عليهم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الروضة في فضائل أمير المؤمنين عليه السلام لابن شاذان،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 بها المتعاص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حاشيتها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التنبؤات و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أُخرىٰ من إنشائه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اللّٰه مَضجَعَه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مسائل السيّدالمرتضى رضي اللّٰه عنه و فوائده، و قد سُئل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إنشاء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اللّٰه مَضجَعَه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الأجلّ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برهانَه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أناراللّٰه برهانَه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موقوف</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يوجب</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تشاهدنا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الإمام بعده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يمكن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مَن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بطوس أو</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الجارّة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 مدينة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نمتنع</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الشخص</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ببغداد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بغداد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بغداد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يُنكر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طائر كبير أغبر اللون، طويل العنق و الرِّجلين، أبتر الذنَب، قليل اللحم، يأوي إلى الماء أحياناً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مُرغ كُلَنگ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الإفصاح،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كركي</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تقولوا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الثابتة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بقاء 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بقاء 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ينتقل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يحمل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فعلها 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فعل الاعتمادات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لنسخة مكتبة الإمام الحكيم العامّة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وجوب ظهوره على الحاضرين ففي غاية البعد؛ إذ يجوز من قدرة اللّٰه تعالى أن يمنع أبصارهم و شعاعها عن الوصول إليه، أو صرف قلوبهم عن التأمّل فيه و النظر إليه، و إن كانوا يرونه و هم لا يعرفونه، كما نقوله في صاحب الزمان عليه السلام و شهوده المواسم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عليّ‌</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لعلمه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ل، 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عرف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أخبرناه ممّا قدّمناه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 قدّمنا ذكره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كتاب الإشهاد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كتاب كمال الدين للشيخ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العلم بالغيب باللّٰه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كتاب علم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الميّافارقيات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استعرض الشيخ الطوسي هذين المذهبين في كتابه تلخيص 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صرّح بأن الشريف المرتضى ذهب إلى الثاني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الجارّة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يجب أن لا يعلمه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يجب أن يعلمه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لا يجب أن يعلمه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المسألة المشار إليها مفقودة، و قد أحال المصنّف رحمه اللّٰه إليها في موضعين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الثانية من المسائل الرازيّة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المسألة الثامنة من المسائل الطرابلسية الثالثة، و قال هناك إنّه أملاها قديماً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يتناهىٰ‌</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العالم بعلم يكون علمه زائداً علىٰ ذاته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العلم الزائد على الذات الموجود عند جميع المحدَثات، و منهم الإمام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العادات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الكائنات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إلى النيّات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الكائنات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المستقبلات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سهو</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رُويَ في أخبارٍ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تقديم و تأخير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متشابه القرآن و مختلفه لابن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المسائل السرويّة،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متشابه القرآن و مختلِفه،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المناقب للعلوي،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الأمالي للطوسي،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تُطبع هذه الرسالة لأوّل مرّة، و علىٰ نسخة واحدة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أُضيف لاقتضاء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بياض في الموضع</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مقتبسٌ من جواب المسألة الثانية عشرة من المسائل الطرابلسيّات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بياض في الموضع</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ذمّتي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يبدو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ادّعى العبوديّة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بحفظ محلّ الكلام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منّا؛ أُضيف لاقتضاء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 من قدرته تعالىٰ علىٰ ذلك بلا آلة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بقرينة ما يأتي بعد قليلٍ‌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قبل الآلة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بالإشارة هنا إلىٰ تعرّض المصنّف رحمه اللّٰه إلىٰ بحث مختصر حول الدعاء و بعض خصوصيّاته في خاتمة كتاب الذخيرة،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فليُراجع</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حجّته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أميناً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نقضيٌّ‌</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كفرة الهند، يقدّسون العقل و يرون أنّه يغني عن النبوّة، و النسبة في هذه التسمية لرجل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ممّن عبده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يستمسك</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الجارّة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منظور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غيرُ واضحٍ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 السلام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الرسل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بالهم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الرسل دون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فالرسل دون الأنبياء</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يلزمه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يلزم جوابه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أنبياء اللّٰه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لأنّه لا أحد من الأُمّة و ممّن أقرّ بالنبوّة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ذلك</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بأنبيائه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مبنيّ‌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إسلامهم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ظلموا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قاتلهم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ظالمهم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متمكّن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وجود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الوجهين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تقديمه علىٰ عقاب يوم القيامة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دواعيهم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ينصره؛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ينصره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أسلمه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بأعينهم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خالف الشيعة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بعضهم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تخصّه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ممّن نال منه و</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قرّة عينهم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نعلم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تأييد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يحيى بن إسحاق أبو الحسين الراوندي، المعروف بابن الراوندي، متكلّم معاصر للجاحظ، و 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توابع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الكتب مائة و أربعة عشر كتاباً، منها كتاب فضيحة المعتزلة، أشار إليه المصنّف رحمه اللّٰه في 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كأنّه أراد مناقضة كتاب معاصره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فضيلة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خلّكان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مجالس و مناظرات مع جماعة من علماء الكلام، و قد انفرد بمذاهب نقلوها عنه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اتّهمه بالزندقة و الإلحاد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و ابن حجر العسقلاني، و ابن الجوزي و غيرهم؛ و قد نقل المصنّف رحمه اللّٰه بعض آرائه في كتابه الشافي أيضاً، و ذكر له كتاباً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الجبّائي أنّه وضع كتاباً في قدم العالم و نفي الصنائع و تصحيح مذهب الدهر و الردّ على مذهب أهل التوحيد، و كتاباً في الطعن على نبوّة النبيّ 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لعلمنا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بالمنع</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يخش</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نكلّفنا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تكلّفتا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تكلّفنا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ينقسم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يوجبه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التمكين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 المطابق لنسخة مكتبة الإمام الحكيم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المعادل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مُتوعَّد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 المطابق لنسخة مكتبة الإمام الحكيم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و الاستدلال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تعبث في طلبه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فاستأصلناهم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سرفنا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شرّفنا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أن لا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منها أن نستأصل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نستأصل</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يعاجلها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تعاجلها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بيّنتم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للنبوّة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مَكَّنَ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سوف يأتي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يتمكّن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سائرها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سائر ما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غرضه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الإطلاق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الإطلاق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الإطلاق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 الممكّن و 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اتُّبع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وعيد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يتّبع</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بغنائه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نفيناه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الوتر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لمقارنة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المعصية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الفاء</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المحال الذي ينافي المنطق و يخالف 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الرديء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مكّن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عدوّه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يزيد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وُضعت الواو بين معقوفين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البحر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مكتبة الإمام الحكيم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التخيّر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توجّه الذمّ و العقاب إلى العاصي، و استحقاقه لهما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أمرنا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وُضعت الواو بين معقوفين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فرغّب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فالمنع و النصرة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تسقم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التحيّر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اللام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التخيّر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استُظهر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غصب</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المسألة، بمقدار صفحتين، قد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مكتبة الإمام الحكيم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يبدو أنّه أقرب إلى الصواب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لأنّهم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بإغفال الهاء</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يكونوا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اللام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مكتبة الإمام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يكن الحكم بالحقّ لأجل الدعاء</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المسألة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بالزكاة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أمراضكم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ردّوا نائبة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ثابتة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الفقرة الأخيرة من الحديث</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 طبقاً لنسخة مكتبة الإمام الحكيم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 كونُ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الوصف</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تسبيحات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ما سألوا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إلّاأنّ في المطبوع وُضِعَلفظ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معقوفين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طلب، 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طلباً، فإنّ‌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الإنابة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دفع</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رسائل أُخرىٰ من المحتمل أن تكون جزءاً من هذه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الصدد نهاية مقدّمة كتاب المتبقّى من التراث المفقود للشريف المرتضى،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النبيّ صلّى اللّٰه عليه و آله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قد تُقرأ الكلمة، و 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قد تُقرأ الكلمة، و قد تُقرأ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مكلِّفكم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الكلام الوارد من الموضع المبين بحاجة إلىٰ تكلّفكم له و احتجاجكم عليه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أقاويل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 و</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 مستظهراً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بسائع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بسابغ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بسائغ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الفاسد الكثير المضطرب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إلزامنا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نقاط على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ثَبَطَهُ عن الشيء، ثَبطاً و ثَبَّطَهُ‌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رَيَّثَهُ و 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ثَبَّطَهُ على الأمر فتَثَبَّط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وَقَّفَهُ عليه فتوقّف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ثبط</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 من القول، و ما أُخذ بغير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سهو القلم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دنياً و لا آخرةٍ‌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إدراك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لإدراك المبصرين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كلّنا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تعدل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عن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أجبناه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ندلّ‌</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واو العطف</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لسواها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 المطبوع، و الأصحّ الأفصح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 في يوم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الصواب</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يحتمل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جميع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الواو هنا زائدة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الأُدباء</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الأفصح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بالكلام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تنوين النصب، و هو سهو</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الكلام يمنع من حمل اللفظ الثاني علىٰ غير الأوّل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صُحِّحَت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التصريح</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التشعيب</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بكتاب</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يلزم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محو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فحوشي</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يتحمّله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حتمه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صحِّح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النصوص</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ألّا قام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أنّكم ادّعيتم أنّ بيعته عليه السلام كانت عن إكراه، لكنّكم لم تقيموا دليلاً علىٰ ذلك</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خالفتموننا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فتولّوا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 وُضعت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معقوفين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من سهو النسّاخ</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يحتمل أن يكون هناك سقط في العبارة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العجز</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أنسب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 وضعت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قادراً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معقوفين، و استُظهر في الهامش كون الجملة زائدة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صُحِّحت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فعلوها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جعلوها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 و المراد أنّه خارج عن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شارق</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لزم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أشار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لم يرد على المخالف</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ظهر من البيعة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إظهار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الظاهر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بلسانه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حديث المنزلة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تثبيت</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تقيّته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المتقدّمين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مخاطبهم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أيدينا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القاضي عبد الجبّار كلام أبي عليّ الجبّائي حول بيعة معاوية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قال شيخُنا أبوعليّ‌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بيعته وقعت علىٰ حدّ الإكراه؛ لظهور أهل الشام و قهرهم و خوف القتل لو وقع الامتناع من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البيعة إذا وقعت علىٰ هذا الحدّ حلّت محلّ إظهار كلمة الكفر في أنّ وجودها كعدمها؛ لأنّ البيعةَ قولٌ‌، فتَحتمل أن لا يُقصد به ظاهره، كما نقول في كلمة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نصّاً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فصالاً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لتكون جواباً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شيوخكم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ر،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موءدة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ح، د، 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 تأمّله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 مامة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ساقط من المطبوع</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النظر في أُمورهم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إيجاد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سهو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أثبتناه؛ وفقاً للمطبوع و لماقاله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أسطر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يأمرهم بتمكينه و يوجب عليهم التخلية بينه و بين تدبيره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ح،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نفى</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المجزى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تكليفها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تصرّحوا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ننصر جواب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ننصر كقولك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استُظهر في هامش المطبوع ما أثبتناه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يتكلّف</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ح،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نعلم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تعريفه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لأمورهم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المحاربة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طاعته و</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جهاد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الباغي علىٰ أهل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الباقي علىٰ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الباغي علىٰ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الباغي عن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الباغي على أهله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 قبحت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يلزمه قبحت</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تعذّرت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بل ذا تقرّرت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بل ذا تقرّرت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تقرّرت هذه الجملة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النافي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الوجوه و لا 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لوجوهٍ لا تظهر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إسلامه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أهل</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وقع</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الوجه الذي وقع</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المطبوع،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لأنّها تفريعٌ علىٰ ما قبلها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تجنّب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بحيثما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تجتنب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معاظمه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نوع من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ح،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الأنسب إضافة هذه الزيادة إلى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مفسدة أيضاً، فلا يجوز</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 من المسائل الرّسيّة الأُولىٰ‌، فإنّ فيها ما ينفع</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التلخيص هنا بمعنى التهذيب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ما كانوا بدفعهم النصّ كافرين بهذا الضرب من الكفر؛ أي كفر المحاربة للإمام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المعتمدة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الأنسب؛ طبقاً لنسخة مكتبة مجلس الشورىٰ برقم </w:t>
      </w:r>
      <w:r>
        <w:rPr>
          <w:rFonts w:eastAsia="IRNazanin" w:cs="IRNazanin"/>
          <w:b w:val="false"/>
          <w:bCs w:val="false"/>
          <w:i w:val="false"/>
          <w:iCs w:val="false"/>
          <w:color w:val="333333"/>
          <w:sz w:val="20"/>
          <w:szCs w:val="20"/>
        </w:rPr>
        <w:t>7539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مستحقّي</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ر،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صلّى اللّٰه علىٰ خير خلقه محمّدٍ و عترته المعصومين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 للّٰه ربّ العالمين، و الصلاة علىٰ محمّد و آله الطاهرين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إملاء السيّد المرتضىٰ قدّس اللّٰه روحه، و صلواته على سيّد المرسلين محمّد و آله الطاهرين</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نكاح</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حال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أتباع زيد بن عليّ بن الحسين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قُتلَ وصُلبَ بالكُناسة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 يعتقدون بإمامة كلّ فاطميّ عالم صالح ذي رأي يخرج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فِرق الشيعة،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الملل و النحل،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بالإمامة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إنكاحه و النكاح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نكاحه و إنكاحه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إنكاحه و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يسلّمون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هو غير جائز</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منافٍ‌</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يقدح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يقدح</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عندكم كفر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عندكم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مذهبكم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عندكم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وفقاً لنظريّة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 يذهب إليها المصنّف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بدفع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دفع النصّ و جحده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يكفر بعد إيمانه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متقدّم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بخلافه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هذا التحقيق</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المذاهب</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اللام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مذاهبكم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مؤمنتَين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نكاح الكافرة أو 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نكاح الكافر أو إنكاحه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مجرّد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حسنه أو قبحه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قبحه أو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حسنه و قبحه</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أدلّة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ممّا لا يقع إلّاصحيحاً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فليست</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إنكاحه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نكاحه</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فحالتهما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كفر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مظهره في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الباطن</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تلك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أنكح و نكح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نكح و أنكح</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إنكاحه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إنكاح عثمان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ر،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بوقت</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لجواز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حفصة و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عائشة و حفصة</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الإنكاح</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استمرار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المنكوحتين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القول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المرأتين جحدان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المرأتين تجحدان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معتبرة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ر،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ستقاتليه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الجمل،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حُميراءُ‌، إنّكِ لَتُقاتلينَ عليّاً و أنتِ ظالمةٌ له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بأكثر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يجب أن يكون قاطعاً</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نكاح</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يتقدّم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يُقدّم منه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المناشدة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المباحثة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المحاسبة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تنصّ‌</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 من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 في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عثمان أيضاً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مقبله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يفرّق</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فيُبيح</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يُبيح</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يفرّق</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المُظهر للكفر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مبطنه في جواز النكاح؛ و إذا فرّقت الشريعة بين نكاح الذمّي و النكاح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جاز الفرق بين المظهر للكفر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المنافق</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نكاحه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نواصيهم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بدلالة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بدلالة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أحكامهم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يقطع بعدم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قطع على</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أفيجوز</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خبثه باطناً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خبث باطنه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ناقليه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باطنه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الأشبه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نكحه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أنكحه و</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يقتضي</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لتدبّر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تألّفاً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حملته نفسه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دفع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رقيّة و زينب ليستا 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كون رقيّة و زينب بنتي</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هالة بن أبي 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فإنّ الذي قيل إنّه كان زوجاً لخديجة عليها السلام قبل رسول اللّٰه صلّى اللّٰه عليه و آله هو أبو هالة و اسمه هند بن النبّاش، و أمّا هالة فقيل هو ابن خديجة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ر،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من المطبوع</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زعم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الشكّ‌</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الأخبار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لنا إلى المكابرة بالمعلومات من حاجة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الحمد للّٰه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صلّى اللّٰه على محمّد و آله</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مناكحة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مناكحته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يمنع</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راسل أمير المؤمنين</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يخطب إليه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بأجمل</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نفوره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لأرمينّه</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يكثر إلىٰ كذا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تُتلى</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شئت</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النوادر للأشعري،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 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المحارجة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تفصيله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ناقصة من هنا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أعددناه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قبح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يتنحّ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تقبيح العقول</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الإخبار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لعندي يتعيّن لا بكلّ‌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يطاع و يقتدى بمن لم يكمل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يكمل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 باحيّته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هذه المصاهرة،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 حمل نفسه على</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إنكار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أعداؤه</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يؤنّث و يذكّر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ضرورة سفه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خِيار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يبدّل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يضحك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ر،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ظاهر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تمتّع أو لم يتمتّع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المطلوب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كيف يبيح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بالعقد الواقع للتمتّع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الذي يقع بطبيعته بهدف التمتّع</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س، ع،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أخرج عن ذلك العجز عن ذكر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أخرج العجز عن ذكر العذر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الحمد للّٰه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الحمد و الصلاة علىٰ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الحمد للّٰه وحده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أوضحي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أوضحوا لنا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يتّجه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إنكاح 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إنكاح بنته صلّى اللّٰه عليه و آله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فبسطناه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إنكاح أمير المؤمنين عليه السلام ابنته من عمر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المُخاصَمةُ‌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بالأصابع؛ و هو أن يُخرِجَ هذا مِن أَصابعِه ما شاءَو الآخَرُ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المجاهَدة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يجيب</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لأعوّرنّ‌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غَوَّرَ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الغَورَ؛ و الغَورُ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قَعرُه و عمقُه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لأهدمنّ‌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لأنتزعنّ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أسدّنّ‌</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 هدمتها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أوحصها</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النوادر للأشعري،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المستخلف</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أحكام</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بصحيحة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منهيّ‌</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يراثها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الوجهين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 وفقاً للمطبوع</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واضح</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أمير المؤمنين عليه السلامُ‌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أبا بكر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منعها في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منعها فدك</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فدكاً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وجوبَ‌</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فيقضي له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يؤدّيه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إليه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لحقّه إنّما يلزم الحاكم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الأنسب حذف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للاستغناء عنها بما تقدّم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أسند إليها المدّعي و يمينها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أشار إليها المدّعي و عيّنها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الحاكم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 بالنظر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 بالنظر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ظنّاً</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ظاهرة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تسليم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نشير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بيّنته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أن يلزمه التقصير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الظفر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 بدل ما أضفناه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من سهو أقلام النُّسّاخ</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أفحش</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تفصيل الكلام حول موضوع تمكين أعداء اللّٰه من أهل البيت عليهم السلام،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في علّة خذلان أهل البيت عليهم السلام و عدم نصرتهم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قتل أمير المؤمنين و الحسين عليهما السلام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رسالة فصلٌ في الغيبة القادمة،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وجدتُ في كتبه رحمه اللّٰه مسألة وجيزة في الغيبة لا 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علم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مَن هي‌؟ فكتبتُها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وجهها،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وجيزة في الغيبة لمولانا و سيّدنا الشريف المرتضى ذي المجدين، رضي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 مسألة في غيبة الإمام عليه السلام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حمداً مرتبطاً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مرتبطٍ</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مستدفعاً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الآخرة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متوقّفة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لعمري</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ع،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يبق</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تساق</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 ط،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تدلّ‌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المظالم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يزول تماماً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يتابعون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المقنع،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يَتتابَعون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فاستقصاؤه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 أن يكون لطفاً للرعيّة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فارقت</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هذان الأصلان</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ص، ع،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أصحابنا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و الذي أثبتناه استفدناه من المقنع،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 ع،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س،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بسبب</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يُعلم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ع،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تكلّفنا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 بمحكم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بحكمة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ليقود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تارة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لم يتماد</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الشهور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المقنع،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انقضت</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الدهور</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 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التكامل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التبعة في ذلك</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ساقط</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بتقصيره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بقصيره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لأنّه 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يتّجه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يهابوه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غائباً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جُعلت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معقوفين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المقنع،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لوم يلزمهم و لا ذمّ‌</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الملمّون</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الحدود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ذنوب</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سهو من النسّاخ</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حياتها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 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الإقرار</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ألجأ</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استفدناه من المقنع،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هذا بنسخٍ لإقامة الحدود</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يكون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قبيحاً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مع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الكلام في</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المستعين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و الأئمّة عليهم السلامُ‌،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و الأئمّة عليهم السلامُ‌،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بقي ان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بقي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ما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الأمارات</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لو عرف أنّ هذا الشخص ليس بإمام لم يحترز منه، بينما لو جوَّز كونَه الإمامَ احترز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في الغيبة،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السائل</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 مام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العقيدة، العدد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النواصب في الردّ على نواقض الروافض،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الإعادة</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الإعادة بعينها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إعادتهما بعينهما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يستحقّ‌</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اتّفاقَ الرجعة و التكليف و اجتماعَهما أمراً مُحالاً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بصورة عامّة، و في جميع الأحوال</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انى</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يشاء</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بالرجعة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يقوّيهم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مشبه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فتجوّزوا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فيجوّزوا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اعتقدوا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النزول</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 حذف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أُعيدوا لإنزال العقاب بهم</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فيجوّزون بعلم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فتجوّزون بعلم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خطأً ناشئاً عن سهو أقلام النُّسّاخ</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يختارون التوبة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فظاهر</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شيعته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يكلّم</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يتناولها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تناولها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يوصل</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استُظهر في حاشيتَي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 ما أثبتناه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حذرون و كرهون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يحذرون و</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المسارعة</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ولد الزنا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وَلَد زنية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 وُلد زنية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وُلدمن زنية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يهون</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ذنباً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ذنباً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بذنب له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كذا و</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الزنا علامةً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 علامة</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العقاب منه</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الزنا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 الجارّة</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نقطع</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هذا الباب</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المطبوع؛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واقعةً‌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غير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بالفارسيّة 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عيسى وراق در كتاب خويش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گروهى از عرب به صانع و قيامت مُقِر بوده اند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أكثر هذين النصَّين أو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من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المسعودي في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الشهرستاني في 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ابن أبي الحديد في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الفخر الرازي في تفسيره،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الآلوسي في تفسيره،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عيسى محمّد بن هارون الورّاق، أحد المتكلّمين المهمّين، و من أبرز علماء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معتزليّاً، ثمّ انتقل إلى التشيّع و ألَّف لصالحه، ولكن اتُّهم بالمانويّة، و لعلّ السبب في هذا الاتّهام هو كثرة ما نقله من آراء المانويّة في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أشهر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الإمامة الكبير و الصغير، و الردّ على النصارى الكبير، و الأوسط، و الأصغر، و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الانتصار للخيّاط،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مقالات الإسلاميّين،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فهرست ابن النديم،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ما كتب حول الأديان و المذاهب، و هو مفقود، ولكن نقلت منه مقاطع كثيرة في كتب متأخّرة، و تدور هذه المقاطع المتبقّية حول مواضيع مختلفة،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الثنويّة، و صنوف عرب 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المنقول في هذه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أعياد اليهود، و فِرَق الزيديّة،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أُصول الدين،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الآثار الباقية للبيروني،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المجدي،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محبراً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زيد بن عمرو بن نُفيل القرشي، كان رَغِبَ عن عبادة الأوثان، و طَلَبَ الدين الحنيف،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على دين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ساجد على نحو البَنيّة التي بناها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ننتظر نبيّاً من ولد إسماعيل من ولد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النصارى بالشام قبل البعثة في سنة ولادة فاطمة الزهراء عليها السلام، و روي أنّ النبيّ صلّى اللّٰه عليه و آله استغفر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مواهب الجليل،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2930</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قُسّ بن ساعدة بن حُذاقة بن زُفَر بن إياد بن نِزار الإياديّ‌، ممّن تحنّف في الجاهليّة، و قال رسول اللّٰه صلى اللّٰه عليه و آله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أخي قسّاً، يُحشر يوم القيامة أُمّةً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أبو عليّ بن السَّكَن و ابن شاهين و عَبدان المَروَزيُّ و أبو موسى في الصحابة، و صرّح ابن السكَن بأنّه مات قبل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أبو حاتِم السِّجِستانيُّ في المعمَّرين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عاش ثلاثمائة و ثمانين سنة، و هو أوّل من آمن بالبعث من أهل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كثير من أهل العلم أنّه عاش ستّمائة سنة، و كان خطيباً حكيماً عاقلاً، له نباهة و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7355</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عامر بن الظرب العدوانيّ‌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هو عامر بن الظَّرِب بن عمرو بن عِياذ العدواني، من حكماء العرب في الجاهليّة، و كان إمامَ مُضَر، و ممّن حرَّم الخمر في الجاهليّة، و هو من المعمَّرين، و كان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حَكَماً للعرب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من أُمّهات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يوجد فراغ بمقدار كلمة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يُجزى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المعيد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العبد عبدك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صُحِّحت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بتطويله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و ما جاء فيها من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سيرة ابن إسحاق،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الإماميّة علىٰ أنّ آباء النبي صلّى اللّٰه عليه و آله كلّهم إلىٰ آدم عليه السلام مؤمنون باللّٰه تعالىٰ و موحِّدون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 بن عبد اللّٰه أبي الصلت بن أبي ربيعة بن عوف الثقفيّ‌؛ شاعر جاهليّ حكيم، من أهل الطائف، قدم دمشق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حرّموا على أنفسهم الخمر و نبذوا عبادة الأوثان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السَّكَن في الصحابة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يُدركه الإسلام، و قد صدَّقَه النبيُّ في بعض شِعره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كاد أُميّةُ أن 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الخامسة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يوم</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الحنفيّة</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 يكون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 طبقاً لما جاء في المصادر المعتمدة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 طبقاً لما جاء في المصادر المعتمدة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بواحد</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باكي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ناعي الموت</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يصاح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إفصاح به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رقداته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مضى، ثمّ هذا بعد ذا خُلقوا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مضى مثل هذا بَعدُ، و اختلفوا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المصادر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خَلقاً جديداً، كما مِن قَبلِهِ خُلِقوا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كما في المصادر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موتى</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المعمَّرين،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الزاهر في معاني كلمات الناس،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إعجاز القرآن للباقلّاني،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الوصيّة الطويلة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الوصيّة طويلة</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شيء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شتّى، حتّى</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البيان و التبيين،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جمهرة خطب العرب في عصور العربيّة الزاهرة،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أبي سُلمى ربيعة المُزَنيّ‌؛ كان من الشعراء المتقدّمين الثلاثة في الجاهليّة،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امرؤالقيس، و النابغة الذُّبياني، و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أبوه شاعراً، و كذلك خاله و أُختاه و ابناه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مقرَّباً من أُمراء ذُبيان، و خصوصاً هَرِم بن سِنان و الحرث بن عوف، و كانت قصائده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بنواحي المدينة، و كان يقيم في الحاجز من ديار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ديوان شعر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يميز</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الصواب</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ذمّته</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فينتقم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جاهليّ من بني ضَبَّة، نُقلت بعض أشعاره في المصادر الإسلاميّة، و كان فارساً من فرسان الجاهليّة، و اسم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شَولَةُ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البيت في ربيع الأبرار للزمخشري،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تاريخ مختصر الدول،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ترجمة الرجل في المصادر الموجودة عندنا، إلّاأنّ الزَّبيدي ذكر اسم سيفه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راحلتي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و قد استفدناه من المصادر المعتمدة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و قد استفدناه من المصادر المعتمدة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الرحل القاتر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الجيّد منه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سيوسقين</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يراقبه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استفدناه من المصادر المعتمدة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مضىٰ على حَملِها عشرةُ أشهُرٍ؛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اَلْعِشٰارُ عُطِّلَتْ‌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نُقلت الأبيات عنه أيضاً في المحبّر،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مطابق 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المعتمدة</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جاهلي، و نِسبتُه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فَقعَس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أسد 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الوصيّة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الوصاة 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مطابق 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المعتمدة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النسخ، و بدونه يختلّ معنى الشعر؛ لذا وجدنا إضافته ضروريّةً‌</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مطابق 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المعتمدة</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طبقاً للمصادر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الصحيح، طبقاً لحاشية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البدء و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هو إهمالٌ من النُّسّاخ</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زُبَيدٍ الطائيّ‌؛ قال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لبيد بن ربيعة بن مالك أبو عَقيل العامري، من الشعراء الفرسان الأشراف في الجاهليّة، من أهل عالية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الإسلام، و وفد على النبيّ صلّى اللّٰه عليه و آله، و يُعدّ من الصحابة، و من المؤلَّفة قلوبُهم، و ترك الشعر فلم يقل في الإسلام إلّابيتاً واحداً،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لكنّها صُحِّحَت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المهزولة من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رذي</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هو الصحيح المطابق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أشعار العرب</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إهمالاً من النُّسّاخ</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الصعبة</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سهو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الشِّيزىٰ و الشيز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يُتَّخَذ منه الجِفان، و أراد بالجِفان أربابُها الذين كانوا يُطعِمونَ فيها و قُتلوا ببدرٍ و أُلقوا في القليب، فهو يَرثيهم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سَمَّى الجِفانَ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شيز</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يظلّل</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بالقليب من أصحاب الجِفانِ املأى بلحوم أسنمة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سحبا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طائرٌ خُرافيٌّ زعموا أنه يخرج من رأس المقتول، و لا يزال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يؤخذ بثأره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فالأصداء و الهام هنا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 المخصّص،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ابن هشام في سيرته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شدّاد بن أبي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الزمخشري في ربيع الأبرار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 بن عبد يغوث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الأثير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ربيع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عيسي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لينتفع</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 لم يفصل بين الآيتين، بل ضمهما و جمع بينهما، و كأنهما آية واحدة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أوّل من اتّخذ تلك الأصنام هُذيل بن مُدرِكة، اتّخذوا سُواعاً، فكان لهم برُهاط من أرض يَنبُع، و يَنبُع عِرض من أعراض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جميع النسخ و المطبوع؛ و قد أضفناه من المصادر المعتمدة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الأصنام،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و قُرىً بين الشام و المدينة، قرب جَبَلَي طيّئ، كانت به بنو كِنانة من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كانت</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سَدَنَةُ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خُدّامه و حُجّابه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سدن</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بالمسلك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يُهبط منه إلىٰ قُدَيد من ناحية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مناة منصوبة علىٰ ساحل البحر من ناحية المُشَلَّل بقُدَيد، بين المدينة و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مِسخان،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إساف بن يَعلى، و نائلة بنت ذئب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إساف بن عمرو، و نائلة بنت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إنّهما زنيا في الكعبة، فمُسِخا حجرَين، فنُصبا عند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أحدهما على الصفا، و الآخر على المروة؛ ليُعتبر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الأمرُ، فأمر عمرو بن لُحَي الخُزاعي بعبادتهما، ثمّ حوَّلهما قُصيٌّ‌، فجعَل أحدهما بلِصق البيت، و جعَل الآخر بزمزم، و كان ينحر عندهما، و كانت الجاهليّة تتمسّح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المنذر هشام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عن أبي صالح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إسافاً رجل من جُرهُمَ‌،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إساف بن يعلى، و نائلة بنت زيد من جُرهُمَ‌، و كان يتعشّقها بأرض اليمن، فأقبلا حاجَّين، فدخلا الكعبة، فوجدا غفلة من الناس، و خلوة في البيت، ففَجَرَ بها في البيت، فمُسِخا، فأصبحوا فوجدوهما مِسخَين، فأخرجوهما، فوضعوهما موضعهما، فعبَدَتهما خُزاعة و قريش و من حَجَّ البيتَ بَعدُ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عمدة القاري،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بن لُحَيّ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ربيعة، و هو لُحَيّ بن حارثة بن عمرو بن عامر الأزدي، و كانت أُمّه من 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غيَّر دين إسماعيل عليه السلام؛ فنصَب الأوثان، و سيَّب السائبة، و وصَل الوصيلة، و بحَّر البَحيرة، و حَمَى الحامية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جُرهُمَ من مكّة، و تولّىٰ حِجابة البيت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بالأصنام من الشام إلىٰ مكّة، و نصبها حول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الأصنام،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خبرهم</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 العطف</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الحسن بن موسى النوبختي، من متكلّمي الإماميّة، و أحد كبار علماء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أُخت أبي سهل 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يجتمع إليه جماعة من النقَلة و المترجمين لكتب الفلسفة، مثل أبي عثمان الدمشقي، و إسحاق، و ثابت،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جَمَّاعة للكتب، و قد نسخ بخطّه شيئاً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 و الديانات، و هو أشهر كتبه، لكنّه مفقود، و كتاب فِرق الشيعة، و الجامع في الإمامة، و الردّ على المنجّمين، و الردّ على أصحاب المنزلة بين المنزلتين في الوعيد،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الحسن بن موسىٰ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أثبتناه استفدناه من كتاب المعتمد لابن المَلاحِمي، ص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حيث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حكَى الحسن بن موسىٰ عن قوم ممّن بحَث عن أمور العالم و عرَفها، منهم جعفر بن محمّد المنجّم أبو 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كثيراً من أهل الهند و 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عبارات هذا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المغني عبارة قريبة من ذلك، حيث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حكَى الحسن بن موسىٰ عن أبي معشر المنجّم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كثيراً من أهل الهند و الصين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غير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معشر جعفر بن محمّد المنجِّم البلخيّ‌؛ صاحب التصانيف في النجوم و الهندسة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محدّثاً، ثمّ دخل في النجوم بعد أن صار ابن نيِّف و أربعين، ثمّ تجاوز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الزيج، و المواليد، و القِرانات، و طبائع البلدان،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بواسط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فهرست ابن النديم،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كأتمّ الصنام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أجسام حسنة</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بعضها</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شفيعهم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شفعهم</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المعتمد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قبيل</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المعتمد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الأجسام</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مدبّرة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يختلف</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ليشفعهم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لتشفعهم</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يخفىٰ‌</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المطبوع و المعتمد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 و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ينحر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عظّموا الأصنام لحرمة الكواكب هم يحتاجون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عظّمواالأصنام تحرّكت الكواكب لهم بما يحبّون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استفدناه من المغني و المعتمد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تفسير الآلوسي،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أنّها</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زلفى</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يوذاسُف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بوذاسُف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 الحروف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بوذا حوالَي سنة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الميلاد في الهند، و كان ينتمي إلى طبقة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الكشاتريّة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المقاتلين، و قد أُحسن تدريبه على القتال، و تزوّج و أنجب طفلاً، لكنّه بعد ذلك هرب من القصر، و أخضَعَ نفسه لأشدّ أنواع الرياضات مدّة ستّ سنين، ثمّ ترك ذلك لأنّه لم يجد فيه فائدة، و جلس في ظلّ شجرة وارفة، و صمّم على أن لا يبرح ذلك المكان حتّى يأتيه التنوير، فتنبّه حينئذ إلى ظاهرة الموت و الولادة المتكرّرة، و أنّها لا تتوقَّف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السبب و المسبَّب، أو العلّة و المعلول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 ذلك؛ كي تكفِّر الأرواح عن ذنوبها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فوجد أنّه إذا عاش الإنسان حياة يسودها العدل الكامل و الصبر و الشفقة فسوف يتمكّن من تجنيب نفسه من العودة إلى الحياة، و سوف يدرك السكينة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فالسعادة مستحيلة، سواء في الدنيا أو في الآخرة، ولكنّ الذي يمكن أن نُصيبه هو السكون و الهمود البارد الذي 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النِّرْفانا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فتوجّه نحو المدينة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أخذ يبشِّر بالنِّرْفانا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بوذا سنة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إكمال الدين،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طَهمورِث بن ويجَهانَ‌، من ملوك الفُرس البيشداذيّين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بعد أُوشهنج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ابتَنى سابورَ من فارِسَ و نَزَلَها، و دَعا إلى ملّة الصابئة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في المُلك ثلاثين سنة، و قيل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كتب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عهده ظهر بوذاسُف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الآثار الباقية،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فادّعىٰ‌</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يدّع بوذا النبوّةَ و الاتّصالَ باللّٰه تعالىٰ‌، بل ادّعَى الاستنارة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في المتن مصحَّفة من كلمة أُخرىٰ‌،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لعلّه لا يجود تصحيف، و إنّما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تعكس تصوّر علماء المقالات من المسلمين حول بوذا، و أنّه كان برأيهم يدّعي النبوّة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المعتمد و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 أو جَمشيد بن ويجَهان أخو طهمورِث؛ من ملوك الفُرس البيشداذيّين، مَلَكَ بعد طهمورِث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القمر،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الشعاع، سَمَّوه بذلك لجماله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أمر بصناعة السيوف و الدروع من الحديد، كما أمر بغزل الإبريسم و القطن و الكَتّان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اختلطت سيرته ببعض الخرافات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الآثار الباقية،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تعظيم</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المعتمد، و هو الصواب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لُحَيّ‌</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البلغاء</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فيَنصُر</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نستقي</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فنُسقىٰ‌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فيسقي</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أسيل</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عنهما في نهاية الفصل السابق، فراجع</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سابور ذو الأكتاف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سابور بن هُرمُز بن نَرسي، من ملوك الفرس الساسانيّين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و هو صغير السنّ‌، فطَمِعَت به الملوك و منهم العرب، فسار جمع كبير منهم إلى بلاده و استقرّوا فيها؛ فلمّا بلغ غزا العربَ و غوَّر عليهم المياه، و غزاه مَلِكَ الروم، و هو يوليانوس فأعانته العرب، و أقام سابور على معاداة العرب لا يظفر بأحد منهم إلّاخلَع كتفه، فلذلك 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ذا الأكتاف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مُلكه اثنتين و 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التنبيه و الإشراف،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المعتمد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ذكر أبو محمّد الحسن بن موسىٰ بيوت الأصنام التي كانت في الأرض، و مواضعها من أقاليم الأرض، ثمّ ذكر بيوت النيران، و لا طائل في ذكرها</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بيت اللّٰه الحرام، صانه اللّٰه من البلايا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التسعة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إخراجها</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كُشتاسِب أو كَيْبُشتاسِب بن لُهراسِب، أحد ملوك الفُرس الكيانيّين، و هو الذي ظهر زَرادُشتُ في زمانه، و دعاه إلى المجوسيّة فقبِلها، و حمَل أهل مملكته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كانوا قبل ذلك على رأي الصابئة التي دعا إليها طهمورث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قاتل عليها حتى ظهرت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الآثار الباقية،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المصادر المعتمدة</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عجن</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صحيحٌ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مُولتان أو مُلتان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بلاد الهند بالقرب من غَزنة، و بها صنم يعظّمه الهند و يحُجّون إليه من أقصى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فُتحت في عهد الوليد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مندوسان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وصف هذا المعبد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منوشهر بن إيْرَج بن أفريدون؛ أحد ملوك الفرس البيشداذيّين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الفُرس تعظِّم أمره، و ترفع من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سبعة أولاد، ترجع إليهم أكثر شعوب فارس في أنسابها و سائر طبقات ملوكهم؛ فهو كالشجرة في النسب 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الآثار الباقية،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أو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الآثار الباقية،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بَيوَرأسبُ بنُ أروَندأسبَ‌؛ من ملوك الفُرس البيشداذيّين، مَلَكَ بعد 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أخباره ما يقال من أنّ حيّتَين كانتا في كتفَيه تعتريانه، لا تهدءان إلّابأدمغة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الكثير من أهل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كانتا لحمتين طويلتين على كتفيه كلُّ واحدة منهما كرأس الثعبان، و كان يسترهما بالثياب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عظُم بغيُه ظهَر رجُل من أصبهان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الناسَ إلى خَلعه و تمليك أفريدون، فاتّبَعه العوامُّ و كثيرٌ من الخواصّ‌، و تمكَّن من خَلعه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الآثار الباقية،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كاوُسُ أو كَيكاوُسُ بن كَيقُبادَ، من ملوك الفُرس الكيانيّين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بعد كَيقُبادَ، و كان يسكن بنواحي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له وقعات كثيرة مع أفراسيابَ مَلِك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غزا اليمَن فلقيه ذو الأذعار في حِميَر و قحطان، فظفر به و حبَسه في بئر، إلى أن تمكّن رُستَم الشديدُ بن داستانَ من تحريره بعد أن اصطلح مع ذي الأذعار، و أعاده إلى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بناه أعجبنا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عجيباً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أشهر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 بمدينة</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أفريدونُ بن أثفيانَ‌، من ملوك الفُرس البيشداذيّين، و هو من وُلد جَم، مَلَك بعد خَلع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أردَشيرُ بَهمَنُ بنُ إسفَندِيارَ بنِ كُشتاسِبَ بنِ لُهراسِبَ‌؛ أحد ملوك الفُرس الكيانيّين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بعد جدّه كُشتاسِبَ‌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مظفَّراً في مَغازيه، و كان ملوك الأرض يحملون إليه الإتاوة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الإشراف،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 المطبوع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اتّخذ بهمن بيتاً بسجستان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استفدناه من الملل و النحل</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 و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كَركُويَه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نواحي سِجِستان، فيها بيتُ نارٍ معظَّمٌ عند 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أبحو</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image" Target="media/image2.jpeg"/><Relationship Id="rId500" Type="http://schemas.openxmlformats.org/officeDocument/2006/relationships/image" Target="media/image2.jpeg"/><Relationship Id="rId501" Type="http://schemas.openxmlformats.org/officeDocument/2006/relationships/footer" Target="footer494.xml"/><Relationship Id="rId502" Type="http://schemas.openxmlformats.org/officeDocument/2006/relationships/footnotes" Target="footnotes.xml"/><Relationship Id="rId503" Type="http://schemas.openxmlformats.org/officeDocument/2006/relationships/numbering" Target="numbering.xml"/><Relationship Id="rId504" Type="http://schemas.openxmlformats.org/officeDocument/2006/relationships/fontTable" Target="fontTable.xml"/><Relationship Id="rId505" Type="http://schemas.openxmlformats.org/officeDocument/2006/relationships/settings" Target="settings.xml"/><Relationship Id="rId5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48122</Words>
  <Characters>200053</Characters>
  <CharactersWithSpaces>246253</CharactersWithSpaces>
  <Paragraphs>1915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2026-08-25T13:18:26Z</dcterms:created>
  <dc:creator>ghaemiyeh.com</dc:creator>
  <dc:description/>
  <dc:language>en-US</dc:language>
  <cp:lastModifiedBy/>
  <dcterms:modified xsi:type="dcterms:W3CDTF">2026-08-25T16:48:48Z</dcterms:modified>
  <cp:revision>1</cp:revision>
  <dc:subject/>
  <dc:title>الرسائل و المسائل جلد 3</dc:title>
</cp:coreProperties>
</file>

<file path=docProps/custom.xml><?xml version="1.0" encoding="utf-8"?>
<Properties xmlns="http://schemas.openxmlformats.org/officeDocument/2006/custom-properties" xmlns:vt="http://schemas.openxmlformats.org/officeDocument/2006/docPropsVTypes"/>
</file>