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46.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3.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سلسلة مصطلحات معاصرة جلد </w:t>
      </w:r>
      <w:r>
        <w:rPr/>
        <w:t>40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736732_1280447820">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6736734_128044782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6736736_1280447820">
            <w:r>
              <w:rPr>
                <w:webHidden/>
                <w:rStyle w:val="IndexLink"/>
                <w:rtl w:val="true"/>
              </w:rPr>
              <w:t>الفهرس</w:t>
            </w:r>
            <w:r>
              <w:rPr>
                <w:rStyle w:val="IndexLink"/>
                <w:rtl w:val="true"/>
              </w:rPr>
              <w:tab/>
            </w:r>
            <w:r>
              <w:rPr>
                <w:rStyle w:val="IndexLink"/>
              </w:rPr>
              <w:t>9</w:t>
            </w:r>
          </w:hyperlink>
        </w:p>
        <w:p>
          <w:pPr>
            <w:pStyle w:val="Contents2"/>
            <w:tabs>
              <w:tab w:val="clear" w:pos="8743"/>
              <w:tab w:val="right" w:pos="9026" w:leader="dot"/>
            </w:tabs>
            <w:rPr/>
          </w:pPr>
          <w:hyperlink w:anchor="__RefHeading___Toc6736738_1280447820">
            <w:r>
              <w:rPr>
                <w:webHidden/>
                <w:rStyle w:val="IndexLink"/>
                <w:rtl w:val="true"/>
              </w:rPr>
              <w:t>مقدمة المركز</w:t>
            </w:r>
            <w:r>
              <w:rPr>
                <w:rStyle w:val="IndexLink"/>
                <w:rtl w:val="true"/>
              </w:rPr>
              <w:tab/>
            </w:r>
            <w:r>
              <w:rPr>
                <w:rStyle w:val="IndexLink"/>
              </w:rPr>
              <w:t>11</w:t>
            </w:r>
          </w:hyperlink>
        </w:p>
        <w:p>
          <w:pPr>
            <w:pStyle w:val="Contents2"/>
            <w:tabs>
              <w:tab w:val="clear" w:pos="8743"/>
              <w:tab w:val="right" w:pos="9026" w:leader="dot"/>
            </w:tabs>
            <w:rPr/>
          </w:pPr>
          <w:hyperlink w:anchor="__RefHeading___Toc6736740_1280447820">
            <w:r>
              <w:rPr>
                <w:webHidden/>
                <w:rStyle w:val="IndexLink"/>
                <w:rtl w:val="true"/>
              </w:rPr>
              <w:t>مدخل</w:t>
            </w:r>
            <w:r>
              <w:rPr>
                <w:rStyle w:val="IndexLink"/>
                <w:rtl w:val="true"/>
              </w:rPr>
              <w:tab/>
            </w:r>
            <w:r>
              <w:rPr>
                <w:rStyle w:val="IndexLink"/>
              </w:rPr>
              <w:t>13</w:t>
            </w:r>
          </w:hyperlink>
        </w:p>
        <w:p>
          <w:pPr>
            <w:pStyle w:val="Contents2"/>
            <w:tabs>
              <w:tab w:val="clear" w:pos="8743"/>
              <w:tab w:val="right" w:pos="9026" w:leader="dot"/>
            </w:tabs>
            <w:rPr/>
          </w:pPr>
          <w:hyperlink w:anchor="__RefHeading___Toc6736742_1280447820">
            <w:r>
              <w:rPr>
                <w:webHidden/>
                <w:rStyle w:val="IndexLink"/>
                <w:rtl w:val="true"/>
              </w:rPr>
              <w:t xml:space="preserve">الفصل الأول </w:t>
            </w:r>
            <w:r>
              <w:rPr>
                <w:rStyle w:val="IndexLink"/>
                <w:rtl w:val="true"/>
              </w:rPr>
              <w:t xml:space="preserve">: </w:t>
            </w:r>
            <w:r>
              <w:rPr>
                <w:rStyle w:val="IndexLink"/>
                <w:rtl w:val="true"/>
              </w:rPr>
              <w:t>مدرسة فرانكفورت</w:t>
            </w:r>
            <w:r>
              <w:rPr>
                <w:rStyle w:val="IndexLink"/>
                <w:rtl w:val="true"/>
              </w:rPr>
              <w:t xml:space="preserve">: </w:t>
            </w:r>
            <w:r>
              <w:rPr>
                <w:rStyle w:val="IndexLink"/>
                <w:rtl w:val="true"/>
              </w:rPr>
              <w:t>لبس التسمية ومراحلها التأسيسيّة</w:t>
            </w:r>
            <w:r>
              <w:rPr>
                <w:rStyle w:val="IndexLink"/>
                <w:rtl w:val="true"/>
              </w:rPr>
              <w:tab/>
            </w:r>
            <w:r>
              <w:rPr>
                <w:rStyle w:val="IndexLink"/>
              </w:rPr>
              <w:t>21</w:t>
            </w:r>
          </w:hyperlink>
        </w:p>
        <w:p>
          <w:pPr>
            <w:pStyle w:val="Contents3"/>
            <w:tabs>
              <w:tab w:val="clear" w:pos="8459"/>
              <w:tab w:val="right" w:pos="9026" w:leader="dot"/>
            </w:tabs>
            <w:rPr/>
          </w:pPr>
          <w:hyperlink w:anchor="__RefHeading___Toc6736744_1280447820">
            <w:r>
              <w:rPr>
                <w:webHidden/>
                <w:rStyle w:val="IndexLink"/>
                <w:rtl w:val="true"/>
              </w:rPr>
              <w:t>اشارة</w:t>
            </w:r>
            <w:r>
              <w:rPr>
                <w:rStyle w:val="IndexLink"/>
                <w:rtl w:val="true"/>
              </w:rPr>
              <w:tab/>
            </w:r>
            <w:r>
              <w:rPr>
                <w:rStyle w:val="IndexLink"/>
              </w:rPr>
              <w:t>21</w:t>
            </w:r>
          </w:hyperlink>
        </w:p>
        <w:p>
          <w:pPr>
            <w:pStyle w:val="Contents3"/>
            <w:tabs>
              <w:tab w:val="clear" w:pos="8459"/>
              <w:tab w:val="right" w:pos="9026" w:leader="dot"/>
            </w:tabs>
            <w:rPr/>
          </w:pPr>
          <w:hyperlink w:anchor="__RefHeading___Toc6736746_1280447820">
            <w:r>
              <w:rPr>
                <w:webHidden/>
                <w:rStyle w:val="IndexLink"/>
                <w:rtl w:val="true"/>
              </w:rPr>
              <w:t>المطلب الأوّل</w:t>
            </w:r>
            <w:r>
              <w:rPr>
                <w:rStyle w:val="IndexLink"/>
                <w:rtl w:val="true"/>
              </w:rPr>
              <w:t xml:space="preserve">: </w:t>
            </w:r>
            <w:r>
              <w:rPr>
                <w:rStyle w:val="IndexLink"/>
                <w:rtl w:val="true"/>
              </w:rPr>
              <w:t>لبس التسمية ما بين المدرسة والمركز</w:t>
            </w:r>
            <w:r>
              <w:rPr>
                <w:rStyle w:val="IndexLink"/>
                <w:rtl w:val="true"/>
              </w:rPr>
              <w:tab/>
            </w:r>
            <w:r>
              <w:rPr>
                <w:rStyle w:val="IndexLink"/>
              </w:rPr>
              <w:t>22</w:t>
            </w:r>
          </w:hyperlink>
        </w:p>
        <w:p>
          <w:pPr>
            <w:pStyle w:val="Contents3"/>
            <w:tabs>
              <w:tab w:val="clear" w:pos="8459"/>
              <w:tab w:val="right" w:pos="9026" w:leader="dot"/>
            </w:tabs>
            <w:rPr/>
          </w:pPr>
          <w:hyperlink w:anchor="__RefHeading___Toc6736748_1280447820">
            <w:r>
              <w:rPr>
                <w:webHidden/>
                <w:rStyle w:val="IndexLink"/>
                <w:rtl w:val="true"/>
              </w:rPr>
              <w:t>المطلب الثاني</w:t>
            </w:r>
            <w:r>
              <w:rPr>
                <w:rStyle w:val="IndexLink"/>
                <w:rtl w:val="true"/>
              </w:rPr>
              <w:t xml:space="preserve">: </w:t>
            </w:r>
            <w:r>
              <w:rPr>
                <w:rStyle w:val="IndexLink"/>
                <w:rtl w:val="true"/>
              </w:rPr>
              <w:t>المراحل التاريخيّة لتشكّل المدرسة النَّقْدِيَّة</w:t>
            </w:r>
            <w:r>
              <w:rPr>
                <w:rStyle w:val="IndexLink"/>
                <w:rtl w:val="true"/>
              </w:rPr>
              <w:tab/>
            </w:r>
            <w:r>
              <w:rPr>
                <w:rStyle w:val="IndexLink"/>
              </w:rPr>
              <w:t>25</w:t>
            </w:r>
          </w:hyperlink>
        </w:p>
        <w:p>
          <w:pPr>
            <w:pStyle w:val="Contents2"/>
            <w:tabs>
              <w:tab w:val="clear" w:pos="8743"/>
              <w:tab w:val="right" w:pos="9026" w:leader="dot"/>
            </w:tabs>
            <w:rPr/>
          </w:pPr>
          <w:hyperlink w:anchor="__RefHeading___Toc6736750_1280447820">
            <w:r>
              <w:rPr>
                <w:webHidden/>
                <w:rStyle w:val="IndexLink"/>
                <w:rtl w:val="true"/>
              </w:rPr>
              <w:t xml:space="preserve">الفصل الثاني </w:t>
            </w:r>
            <w:r>
              <w:rPr>
                <w:rStyle w:val="IndexLink"/>
                <w:rtl w:val="true"/>
              </w:rPr>
              <w:t xml:space="preserve">: </w:t>
            </w:r>
            <w:r>
              <w:rPr>
                <w:rStyle w:val="IndexLink"/>
                <w:rtl w:val="true"/>
              </w:rPr>
              <w:t>روّاد مدرسة فرانكفورت ومؤسّسوها</w:t>
            </w:r>
            <w:r>
              <w:rPr>
                <w:rStyle w:val="IndexLink"/>
                <w:rtl w:val="true"/>
              </w:rPr>
              <w:tab/>
            </w:r>
            <w:r>
              <w:rPr>
                <w:rStyle w:val="IndexLink"/>
              </w:rPr>
              <w:t>39</w:t>
            </w:r>
          </w:hyperlink>
        </w:p>
        <w:p>
          <w:pPr>
            <w:pStyle w:val="Contents3"/>
            <w:tabs>
              <w:tab w:val="clear" w:pos="8459"/>
              <w:tab w:val="right" w:pos="9026" w:leader="dot"/>
            </w:tabs>
            <w:rPr/>
          </w:pPr>
          <w:hyperlink w:anchor="__RefHeading___Toc6736752_1280447820">
            <w:r>
              <w:rPr>
                <w:webHidden/>
                <w:rStyle w:val="IndexLink"/>
                <w:rtl w:val="true"/>
              </w:rPr>
              <w:t>اشارة</w:t>
            </w:r>
            <w:r>
              <w:rPr>
                <w:rStyle w:val="IndexLink"/>
                <w:rtl w:val="true"/>
              </w:rPr>
              <w:tab/>
            </w:r>
            <w:r>
              <w:rPr>
                <w:rStyle w:val="IndexLink"/>
              </w:rPr>
              <w:t>39</w:t>
            </w:r>
          </w:hyperlink>
        </w:p>
        <w:p>
          <w:pPr>
            <w:pStyle w:val="Contents3"/>
            <w:tabs>
              <w:tab w:val="clear" w:pos="8459"/>
              <w:tab w:val="right" w:pos="9026" w:leader="dot"/>
            </w:tabs>
            <w:rPr/>
          </w:pPr>
          <w:hyperlink w:anchor="__RefHeading___Toc6736754_1280447820">
            <w:r>
              <w:rPr>
                <w:webHidden/>
                <w:rStyle w:val="IndexLink"/>
                <w:rtl w:val="true"/>
              </w:rPr>
              <w:t>المطلب الأوّل</w:t>
            </w:r>
            <w:r>
              <w:rPr>
                <w:rStyle w:val="IndexLink"/>
                <w:rtl w:val="true"/>
              </w:rPr>
              <w:t xml:space="preserve">: </w:t>
            </w:r>
            <w:r>
              <w:rPr>
                <w:rStyle w:val="IndexLink"/>
                <w:rtl w:val="true"/>
              </w:rPr>
              <w:t xml:space="preserve">ماكس هوركايمر </w:t>
            </w:r>
            <w:r>
              <w:rPr>
                <w:rStyle w:val="IndexLink"/>
                <w:rtl w:val="true"/>
              </w:rPr>
              <w:t>(</w:t>
            </w:r>
            <w:r>
              <w:rPr>
                <w:rStyle w:val="IndexLink"/>
              </w:rPr>
              <w:t>Max Horkheimer</w:t>
            </w:r>
            <w:r>
              <w:rPr>
                <w:rStyle w:val="IndexLink"/>
                <w:rtl w:val="true"/>
              </w:rPr>
              <w:t>)</w:t>
              <w:tab/>
            </w:r>
            <w:r>
              <w:rPr>
                <w:rStyle w:val="IndexLink"/>
              </w:rPr>
              <w:t>41</w:t>
            </w:r>
          </w:hyperlink>
        </w:p>
        <w:p>
          <w:pPr>
            <w:pStyle w:val="Contents4"/>
            <w:tabs>
              <w:tab w:val="clear" w:pos="8176"/>
              <w:tab w:val="right" w:pos="9026" w:leader="dot"/>
            </w:tabs>
            <w:rPr/>
          </w:pPr>
          <w:hyperlink w:anchor="__RefHeading___Toc6736756_1280447820">
            <w:r>
              <w:rPr>
                <w:webHidden/>
                <w:rStyle w:val="IndexLink"/>
                <w:rtl w:val="true"/>
              </w:rPr>
              <w:t>اشارة</w:t>
            </w:r>
            <w:r>
              <w:rPr>
                <w:rStyle w:val="IndexLink"/>
                <w:rtl w:val="true"/>
              </w:rPr>
              <w:tab/>
            </w:r>
            <w:r>
              <w:rPr>
                <w:rStyle w:val="IndexLink"/>
              </w:rPr>
              <w:t>41</w:t>
            </w:r>
          </w:hyperlink>
        </w:p>
        <w:p>
          <w:pPr>
            <w:pStyle w:val="Contents4"/>
            <w:tabs>
              <w:tab w:val="clear" w:pos="8176"/>
              <w:tab w:val="right" w:pos="9026" w:leader="dot"/>
            </w:tabs>
            <w:rPr/>
          </w:pPr>
          <w:hyperlink w:anchor="__RefHeading___Toc6736758_1280447820">
            <w:r>
              <w:rPr>
                <w:webHidden/>
                <w:rStyle w:val="IndexLink"/>
              </w:rPr>
              <w:t>1</w:t>
            </w:r>
            <w:r>
              <w:rPr>
                <w:rStyle w:val="IndexLink"/>
                <w:rtl w:val="true"/>
              </w:rPr>
              <w:t xml:space="preserve">- </w:t>
            </w:r>
            <w:r>
              <w:rPr>
                <w:rStyle w:val="IndexLink"/>
                <w:rtl w:val="true"/>
              </w:rPr>
              <w:t xml:space="preserve">كتاب النَّظَرِيَّة التقليديّة والنظريّة النَّقْدِيَّة </w:t>
            </w:r>
            <w:r>
              <w:rPr>
                <w:rStyle w:val="IndexLink"/>
                <w:rtl w:val="true"/>
              </w:rPr>
              <w:t xml:space="preserve">( </w:t>
            </w:r>
            <w:r>
              <w:rPr>
                <w:rStyle w:val="IndexLink"/>
              </w:rPr>
              <w:t>1937</w:t>
            </w:r>
            <w:r>
              <w:rPr>
                <w:rStyle w:val="IndexLink"/>
                <w:rtl w:val="true"/>
              </w:rPr>
              <w:t xml:space="preserve"> ):</w:t>
              <w:tab/>
            </w:r>
            <w:r>
              <w:rPr>
                <w:rStyle w:val="IndexLink"/>
              </w:rPr>
              <w:t>44</w:t>
            </w:r>
          </w:hyperlink>
        </w:p>
        <w:p>
          <w:pPr>
            <w:pStyle w:val="Contents3"/>
            <w:tabs>
              <w:tab w:val="clear" w:pos="8459"/>
              <w:tab w:val="right" w:pos="9026" w:leader="dot"/>
            </w:tabs>
            <w:rPr/>
          </w:pPr>
          <w:hyperlink w:anchor="__RefHeading___Toc6736760_1280447820">
            <w:r>
              <w:rPr>
                <w:webHidden/>
                <w:rStyle w:val="IndexLink"/>
                <w:rtl w:val="true"/>
              </w:rPr>
              <w:t>المطلب الثاني</w:t>
            </w:r>
            <w:r>
              <w:rPr>
                <w:rStyle w:val="IndexLink"/>
                <w:rtl w:val="true"/>
              </w:rPr>
              <w:t xml:space="preserve">: </w:t>
            </w:r>
            <w:r>
              <w:rPr>
                <w:rStyle w:val="IndexLink"/>
                <w:rtl w:val="true"/>
              </w:rPr>
              <w:t xml:space="preserve">تيودور أدورنو </w:t>
            </w:r>
            <w:r>
              <w:rPr>
                <w:rStyle w:val="IndexLink"/>
                <w:rtl w:val="true"/>
              </w:rPr>
              <w:t>(</w:t>
            </w:r>
            <w:r>
              <w:rPr>
                <w:rStyle w:val="IndexLink"/>
              </w:rPr>
              <w:t>Theodor Adorno</w:t>
            </w:r>
            <w:r>
              <w:rPr>
                <w:rStyle w:val="IndexLink"/>
                <w:rtl w:val="true"/>
              </w:rPr>
              <w:t>)</w:t>
              <w:tab/>
            </w:r>
            <w:r>
              <w:rPr>
                <w:rStyle w:val="IndexLink"/>
              </w:rPr>
              <w:t>45</w:t>
            </w:r>
          </w:hyperlink>
        </w:p>
        <w:p>
          <w:pPr>
            <w:pStyle w:val="Contents4"/>
            <w:tabs>
              <w:tab w:val="clear" w:pos="8176"/>
              <w:tab w:val="right" w:pos="9026" w:leader="dot"/>
            </w:tabs>
            <w:rPr/>
          </w:pPr>
          <w:hyperlink w:anchor="__RefHeading___Toc6736762_1280447820">
            <w:r>
              <w:rPr>
                <w:webHidden/>
                <w:rStyle w:val="IndexLink"/>
                <w:rtl w:val="true"/>
              </w:rPr>
              <w:t>اشارة</w:t>
            </w:r>
            <w:r>
              <w:rPr>
                <w:rStyle w:val="IndexLink"/>
                <w:rtl w:val="true"/>
              </w:rPr>
              <w:tab/>
            </w:r>
            <w:r>
              <w:rPr>
                <w:rStyle w:val="IndexLink"/>
              </w:rPr>
              <w:t>45</w:t>
            </w:r>
          </w:hyperlink>
        </w:p>
        <w:p>
          <w:pPr>
            <w:pStyle w:val="Contents4"/>
            <w:tabs>
              <w:tab w:val="clear" w:pos="8176"/>
              <w:tab w:val="right" w:pos="9026" w:leader="dot"/>
            </w:tabs>
            <w:rPr/>
          </w:pPr>
          <w:hyperlink w:anchor="__RefHeading___Toc6736764_1280447820">
            <w:r>
              <w:rPr>
                <w:webHidden/>
                <w:rStyle w:val="IndexLink"/>
              </w:rPr>
              <w:t>2</w:t>
            </w:r>
            <w:r>
              <w:rPr>
                <w:rStyle w:val="IndexLink"/>
                <w:rtl w:val="true"/>
              </w:rPr>
              <w:t xml:space="preserve"> - </w:t>
            </w:r>
            <w:r>
              <w:rPr>
                <w:rStyle w:val="IndexLink"/>
                <w:rtl w:val="true"/>
              </w:rPr>
              <w:t>جدل التنوير</w:t>
            </w:r>
            <w:r>
              <w:rPr>
                <w:rStyle w:val="IndexLink"/>
                <w:rtl w:val="true"/>
              </w:rPr>
              <w:tab/>
            </w:r>
            <w:r>
              <w:rPr>
                <w:rStyle w:val="IndexLink"/>
              </w:rPr>
              <w:t>48</w:t>
            </w:r>
          </w:hyperlink>
        </w:p>
        <w:p>
          <w:pPr>
            <w:pStyle w:val="Contents4"/>
            <w:tabs>
              <w:tab w:val="clear" w:pos="8176"/>
              <w:tab w:val="right" w:pos="9026" w:leader="dot"/>
            </w:tabs>
            <w:rPr/>
          </w:pPr>
          <w:hyperlink w:anchor="__RefHeading___Toc6736766_1280447820">
            <w:r>
              <w:rPr>
                <w:webHidden/>
                <w:rStyle w:val="IndexLink"/>
                <w:rtl w:val="true"/>
              </w:rPr>
              <w:t>الجدل السلبي</w:t>
            </w:r>
            <w:r>
              <w:rPr>
                <w:rStyle w:val="IndexLink"/>
                <w:rtl w:val="true"/>
              </w:rPr>
              <w:tab/>
            </w:r>
            <w:r>
              <w:rPr>
                <w:rStyle w:val="IndexLink"/>
              </w:rPr>
              <w:t>48</w:t>
            </w:r>
          </w:hyperlink>
        </w:p>
        <w:p>
          <w:pPr>
            <w:pStyle w:val="Contents3"/>
            <w:tabs>
              <w:tab w:val="clear" w:pos="8459"/>
              <w:tab w:val="right" w:pos="9026" w:leader="dot"/>
            </w:tabs>
            <w:rPr/>
          </w:pPr>
          <w:hyperlink w:anchor="__RefHeading___Toc6736768_1280447820">
            <w:r>
              <w:rPr>
                <w:webHidden/>
                <w:rStyle w:val="IndexLink"/>
                <w:rtl w:val="true"/>
              </w:rPr>
              <w:t>المطلب الثالث</w:t>
            </w:r>
            <w:r>
              <w:rPr>
                <w:rStyle w:val="IndexLink"/>
                <w:rtl w:val="true"/>
              </w:rPr>
              <w:t xml:space="preserve">: </w:t>
            </w:r>
            <w:r>
              <w:rPr>
                <w:rStyle w:val="IndexLink"/>
                <w:rtl w:val="true"/>
              </w:rPr>
              <w:t xml:space="preserve">فريدريش بولوك </w:t>
            </w:r>
            <w:r>
              <w:rPr>
                <w:rStyle w:val="IndexLink"/>
                <w:rtl w:val="true"/>
              </w:rPr>
              <w:t>(</w:t>
            </w:r>
            <w:r>
              <w:rPr>
                <w:rStyle w:val="IndexLink"/>
              </w:rPr>
              <w:t>Friedrich Pollock</w:t>
            </w:r>
            <w:r>
              <w:rPr>
                <w:rStyle w:val="IndexLink"/>
                <w:rtl w:val="true"/>
              </w:rPr>
              <w:t>)</w:t>
              <w:tab/>
            </w:r>
            <w:r>
              <w:rPr>
                <w:rStyle w:val="IndexLink"/>
              </w:rPr>
              <w:t>49</w:t>
            </w:r>
          </w:hyperlink>
        </w:p>
        <w:p>
          <w:pPr>
            <w:pStyle w:val="Contents3"/>
            <w:tabs>
              <w:tab w:val="clear" w:pos="8459"/>
              <w:tab w:val="right" w:pos="9026" w:leader="dot"/>
            </w:tabs>
            <w:rPr/>
          </w:pPr>
          <w:hyperlink w:anchor="__RefHeading___Toc6736770_1280447820">
            <w:r>
              <w:rPr>
                <w:webHidden/>
                <w:rStyle w:val="IndexLink"/>
                <w:rtl w:val="true"/>
              </w:rPr>
              <w:t>المطلب الرابع</w:t>
            </w:r>
            <w:r>
              <w:rPr>
                <w:rStyle w:val="IndexLink"/>
                <w:rtl w:val="true"/>
              </w:rPr>
              <w:t xml:space="preserve">: </w:t>
            </w:r>
            <w:r>
              <w:rPr>
                <w:rStyle w:val="IndexLink"/>
                <w:rtl w:val="true"/>
              </w:rPr>
              <w:t xml:space="preserve">هيربرت ماركوز </w:t>
            </w:r>
            <w:r>
              <w:rPr>
                <w:rStyle w:val="IndexLink"/>
                <w:rtl w:val="true"/>
              </w:rPr>
              <w:t>(</w:t>
            </w:r>
            <w:r>
              <w:rPr>
                <w:rStyle w:val="IndexLink"/>
              </w:rPr>
              <w:t>Herbert Marcuse</w:t>
            </w:r>
            <w:r>
              <w:rPr>
                <w:rStyle w:val="IndexLink"/>
                <w:rtl w:val="true"/>
              </w:rPr>
              <w:t>)</w:t>
              <w:tab/>
            </w:r>
            <w:r>
              <w:rPr>
                <w:rStyle w:val="IndexLink"/>
              </w:rPr>
              <w:t>51</w:t>
            </w:r>
          </w:hyperlink>
        </w:p>
        <w:p>
          <w:pPr>
            <w:pStyle w:val="Contents4"/>
            <w:tabs>
              <w:tab w:val="clear" w:pos="8176"/>
              <w:tab w:val="right" w:pos="9026" w:leader="dot"/>
            </w:tabs>
            <w:rPr/>
          </w:pPr>
          <w:hyperlink w:anchor="__RefHeading___Toc6736772_1280447820">
            <w:r>
              <w:rPr>
                <w:webHidden/>
                <w:rStyle w:val="IndexLink"/>
                <w:rtl w:val="true"/>
              </w:rPr>
              <w:t>اشارة</w:t>
            </w:r>
            <w:r>
              <w:rPr>
                <w:rStyle w:val="IndexLink"/>
                <w:rtl w:val="true"/>
              </w:rPr>
              <w:tab/>
            </w:r>
            <w:r>
              <w:rPr>
                <w:rStyle w:val="IndexLink"/>
              </w:rPr>
              <w:t>51</w:t>
            </w:r>
          </w:hyperlink>
        </w:p>
        <w:p>
          <w:pPr>
            <w:pStyle w:val="Contents4"/>
            <w:tabs>
              <w:tab w:val="clear" w:pos="8176"/>
              <w:tab w:val="right" w:pos="9026" w:leader="dot"/>
            </w:tabs>
            <w:rPr/>
          </w:pPr>
          <w:hyperlink w:anchor="__RefHeading___Toc6736774_1280447820">
            <w:r>
              <w:rPr>
                <w:webHidden/>
                <w:rStyle w:val="IndexLink"/>
                <w:rtl w:val="true"/>
              </w:rPr>
              <w:t>العقل والثورة</w:t>
            </w:r>
            <w:r>
              <w:rPr>
                <w:rStyle w:val="IndexLink"/>
              </w:rPr>
              <w:t>Reason and Revolution) 1941 )</w:t>
            </w:r>
            <w:r>
              <w:rPr>
                <w:rStyle w:val="IndexLink"/>
                <w:rtl w:val="true"/>
              </w:rPr>
              <w:tab/>
            </w:r>
            <w:r>
              <w:rPr>
                <w:rStyle w:val="IndexLink"/>
              </w:rPr>
              <w:t>54</w:t>
            </w:r>
          </w:hyperlink>
        </w:p>
        <w:p>
          <w:pPr>
            <w:pStyle w:val="Contents4"/>
            <w:tabs>
              <w:tab w:val="clear" w:pos="8176"/>
              <w:tab w:val="right" w:pos="9026" w:leader="dot"/>
            </w:tabs>
            <w:rPr/>
          </w:pPr>
          <w:hyperlink w:anchor="__RefHeading___Toc6736776_1280447820">
            <w:r>
              <w:rPr>
                <w:webHidden/>
                <w:rStyle w:val="IndexLink"/>
                <w:rtl w:val="true"/>
              </w:rPr>
              <w:t xml:space="preserve">الحضارة والرغبة </w:t>
            </w:r>
            <w:r>
              <w:rPr>
                <w:rStyle w:val="IndexLink"/>
                <w:rtl w:val="true"/>
              </w:rPr>
              <w:t>(</w:t>
            </w:r>
            <w:r>
              <w:rPr>
                <w:rStyle w:val="IndexLink"/>
              </w:rPr>
              <w:t>Eros and civilization</w:t>
            </w:r>
            <w:r>
              <w:rPr>
                <w:rStyle w:val="IndexLink"/>
                <w:rtl w:val="true"/>
              </w:rPr>
              <w:t xml:space="preserve">) </w:t>
            </w:r>
            <w:r>
              <w:rPr>
                <w:rStyle w:val="IndexLink"/>
              </w:rPr>
              <w:t>1955</w:t>
            </w:r>
            <w:r>
              <w:rPr>
                <w:rStyle w:val="IndexLink"/>
                <w:rtl w:val="true"/>
              </w:rPr>
              <w:tab/>
            </w:r>
            <w:r>
              <w:rPr>
                <w:rStyle w:val="IndexLink"/>
              </w:rPr>
              <w:t>55</w:t>
            </w:r>
          </w:hyperlink>
        </w:p>
        <w:p>
          <w:pPr>
            <w:pStyle w:val="Contents4"/>
            <w:tabs>
              <w:tab w:val="clear" w:pos="8176"/>
              <w:tab w:val="right" w:pos="9026" w:leader="dot"/>
            </w:tabs>
            <w:rPr/>
          </w:pPr>
          <w:hyperlink w:anchor="__RefHeading___Toc6736778_1280447820">
            <w:r>
              <w:rPr>
                <w:webHidden/>
                <w:rStyle w:val="IndexLink"/>
                <w:rtl w:val="true"/>
              </w:rPr>
              <w:t>الْ مَرْكِسِيَّة السوفيتيّة</w:t>
            </w:r>
            <w:r>
              <w:rPr>
                <w:rStyle w:val="IndexLink"/>
              </w:rPr>
              <w:t>Soviet Marxism) 1958)</w:t>
            </w:r>
            <w:r>
              <w:rPr>
                <w:rStyle w:val="IndexLink"/>
                <w:rtl w:val="true"/>
              </w:rPr>
              <w:tab/>
            </w:r>
            <w:r>
              <w:rPr>
                <w:rStyle w:val="IndexLink"/>
              </w:rPr>
              <w:t>55</w:t>
            </w:r>
          </w:hyperlink>
        </w:p>
        <w:p>
          <w:pPr>
            <w:pStyle w:val="Contents4"/>
            <w:tabs>
              <w:tab w:val="clear" w:pos="8176"/>
              <w:tab w:val="right" w:pos="9026" w:leader="dot"/>
            </w:tabs>
            <w:rPr/>
          </w:pPr>
          <w:hyperlink w:anchor="__RefHeading___Toc6736780_1280447820">
            <w:r>
              <w:rPr>
                <w:webHidden/>
                <w:rStyle w:val="IndexLink"/>
                <w:rtl w:val="true"/>
              </w:rPr>
              <w:t xml:space="preserve">الإنسان ذو البعد الواحد </w:t>
            </w:r>
            <w:r>
              <w:rPr>
                <w:rStyle w:val="IndexLink"/>
                <w:rtl w:val="true"/>
              </w:rPr>
              <w:t>(</w:t>
            </w:r>
            <w:r>
              <w:rPr>
                <w:rStyle w:val="IndexLink"/>
              </w:rPr>
              <w:t>One Dimentional Man( 1958</w:t>
            </w:r>
            <w:r>
              <w:rPr>
                <w:rStyle w:val="IndexLink"/>
                <w:rtl w:val="true"/>
              </w:rPr>
              <w:tab/>
            </w:r>
            <w:r>
              <w:rPr>
                <w:rStyle w:val="IndexLink"/>
              </w:rPr>
              <w:t>55</w:t>
            </w:r>
          </w:hyperlink>
        </w:p>
        <w:p>
          <w:pPr>
            <w:pStyle w:val="Contents3"/>
            <w:tabs>
              <w:tab w:val="clear" w:pos="8459"/>
              <w:tab w:val="right" w:pos="9026" w:leader="dot"/>
            </w:tabs>
            <w:rPr/>
          </w:pPr>
          <w:hyperlink w:anchor="__RefHeading___Toc6736782_1280447820">
            <w:r>
              <w:rPr>
                <w:webHidden/>
                <w:rStyle w:val="IndexLink"/>
                <w:rtl w:val="true"/>
              </w:rPr>
              <w:t>المطلب الخامس</w:t>
            </w:r>
            <w:r>
              <w:rPr>
                <w:rStyle w:val="IndexLink"/>
                <w:rtl w:val="true"/>
              </w:rPr>
              <w:t xml:space="preserve">: </w:t>
            </w:r>
            <w:r>
              <w:rPr>
                <w:rStyle w:val="IndexLink"/>
                <w:rtl w:val="true"/>
              </w:rPr>
              <w:t xml:space="preserve">يورغن هابرماس </w:t>
            </w:r>
            <w:r>
              <w:rPr>
                <w:rStyle w:val="IndexLink"/>
                <w:rtl w:val="true"/>
              </w:rPr>
              <w:t>(</w:t>
            </w:r>
            <w:r>
              <w:rPr>
                <w:rStyle w:val="IndexLink"/>
              </w:rPr>
              <w:t>Jürgen Habermas</w:t>
            </w:r>
            <w:r>
              <w:rPr>
                <w:rStyle w:val="IndexLink"/>
                <w:rtl w:val="true"/>
              </w:rPr>
              <w:t>)</w:t>
              <w:tab/>
            </w:r>
            <w:r>
              <w:rPr>
                <w:rStyle w:val="IndexLink"/>
              </w:rPr>
              <w:t>56</w:t>
            </w:r>
          </w:hyperlink>
        </w:p>
        <w:p>
          <w:pPr>
            <w:pStyle w:val="Contents3"/>
            <w:tabs>
              <w:tab w:val="clear" w:pos="8459"/>
              <w:tab w:val="right" w:pos="9026" w:leader="dot"/>
            </w:tabs>
            <w:rPr/>
          </w:pPr>
          <w:hyperlink w:anchor="__RefHeading___Toc6736784_1280447820">
            <w:r>
              <w:rPr>
                <w:webHidden/>
                <w:rStyle w:val="IndexLink"/>
                <w:rtl w:val="true"/>
              </w:rPr>
              <w:t>المطلب السادس</w:t>
            </w:r>
            <w:r>
              <w:rPr>
                <w:rStyle w:val="IndexLink"/>
                <w:rtl w:val="true"/>
              </w:rPr>
              <w:t xml:space="preserve">: </w:t>
            </w:r>
            <w:r>
              <w:rPr>
                <w:rStyle w:val="IndexLink"/>
                <w:rtl w:val="true"/>
              </w:rPr>
              <w:t>إريك فروم</w:t>
            </w:r>
            <w:r>
              <w:rPr>
                <w:rStyle w:val="IndexLink"/>
                <w:rtl w:val="true"/>
              </w:rPr>
              <w:t>(</w:t>
            </w:r>
            <w:r>
              <w:rPr>
                <w:rStyle w:val="IndexLink"/>
              </w:rPr>
              <w:t>Erich Fromm</w:t>
            </w:r>
            <w:r>
              <w:rPr>
                <w:rStyle w:val="IndexLink"/>
                <w:rtl w:val="true"/>
              </w:rPr>
              <w:t>)</w:t>
              <w:tab/>
            </w:r>
            <w:r>
              <w:rPr>
                <w:rStyle w:val="IndexLink"/>
              </w:rPr>
              <w:t>65</w:t>
            </w:r>
          </w:hyperlink>
        </w:p>
        <w:p>
          <w:pPr>
            <w:pStyle w:val="Contents3"/>
            <w:tabs>
              <w:tab w:val="clear" w:pos="8459"/>
              <w:tab w:val="right" w:pos="9026" w:leader="dot"/>
            </w:tabs>
            <w:rPr/>
          </w:pPr>
          <w:hyperlink w:anchor="__RefHeading___Toc6736786_1280447820">
            <w:r>
              <w:rPr>
                <w:webHidden/>
                <w:rStyle w:val="IndexLink"/>
                <w:rtl w:val="true"/>
              </w:rPr>
              <w:t>المطلب السابع</w:t>
            </w:r>
            <w:r>
              <w:rPr>
                <w:rStyle w:val="IndexLink"/>
                <w:rtl w:val="true"/>
              </w:rPr>
              <w:t xml:space="preserve">: </w:t>
            </w:r>
            <w:r>
              <w:rPr>
                <w:rStyle w:val="IndexLink"/>
                <w:rtl w:val="true"/>
              </w:rPr>
              <w:t>ليولوفنتال</w:t>
            </w:r>
            <w:r>
              <w:rPr>
                <w:rStyle w:val="IndexLink"/>
                <w:rtl w:val="true"/>
              </w:rPr>
              <w:t>(</w:t>
            </w:r>
            <w:r>
              <w:rPr>
                <w:rStyle w:val="IndexLink"/>
              </w:rPr>
              <w:t>Leo Löwenthal</w:t>
            </w:r>
            <w:r>
              <w:rPr>
                <w:rStyle w:val="IndexLink"/>
                <w:rtl w:val="true"/>
              </w:rPr>
              <w:t>)</w:t>
              <w:tab/>
            </w:r>
            <w:r>
              <w:rPr>
                <w:rStyle w:val="IndexLink"/>
              </w:rPr>
              <w:t>67</w:t>
            </w:r>
          </w:hyperlink>
        </w:p>
        <w:p>
          <w:pPr>
            <w:pStyle w:val="Contents3"/>
            <w:tabs>
              <w:tab w:val="clear" w:pos="8459"/>
              <w:tab w:val="right" w:pos="9026" w:leader="dot"/>
            </w:tabs>
            <w:rPr/>
          </w:pPr>
          <w:hyperlink w:anchor="__RefHeading___Toc6736788_1280447820">
            <w:r>
              <w:rPr>
                <w:webHidden/>
                <w:rStyle w:val="IndexLink"/>
                <w:rtl w:val="true"/>
              </w:rPr>
              <w:t>المطلب الثامن</w:t>
            </w:r>
            <w:r>
              <w:rPr>
                <w:rStyle w:val="IndexLink"/>
                <w:rtl w:val="true"/>
              </w:rPr>
              <w:t xml:space="preserve">: </w:t>
            </w:r>
            <w:r>
              <w:rPr>
                <w:rStyle w:val="IndexLink"/>
                <w:rtl w:val="true"/>
              </w:rPr>
              <w:t xml:space="preserve">والتر بنيامين </w:t>
            </w:r>
            <w:r>
              <w:rPr>
                <w:rStyle w:val="IndexLink"/>
                <w:rtl w:val="true"/>
              </w:rPr>
              <w:t>(</w:t>
            </w:r>
            <w:r>
              <w:rPr>
                <w:rStyle w:val="IndexLink"/>
              </w:rPr>
              <w:t>w.Benjamin</w:t>
            </w:r>
            <w:r>
              <w:rPr>
                <w:rStyle w:val="IndexLink"/>
                <w:rtl w:val="true"/>
              </w:rPr>
              <w:t>)</w:t>
              <w:tab/>
            </w:r>
            <w:r>
              <w:rPr>
                <w:rStyle w:val="IndexLink"/>
              </w:rPr>
              <w:t>68</w:t>
            </w:r>
          </w:hyperlink>
        </w:p>
        <w:p>
          <w:pPr>
            <w:pStyle w:val="Contents3"/>
            <w:tabs>
              <w:tab w:val="clear" w:pos="8459"/>
              <w:tab w:val="right" w:pos="9026" w:leader="dot"/>
            </w:tabs>
            <w:rPr/>
          </w:pPr>
          <w:hyperlink w:anchor="__RefHeading___Toc6736790_1280447820">
            <w:r>
              <w:rPr>
                <w:webHidden/>
                <w:rStyle w:val="IndexLink"/>
                <w:rtl w:val="true"/>
              </w:rPr>
              <w:t>المطلب التاسع</w:t>
            </w:r>
            <w:r>
              <w:rPr>
                <w:rStyle w:val="IndexLink"/>
                <w:rtl w:val="true"/>
              </w:rPr>
              <w:t xml:space="preserve">: </w:t>
            </w:r>
            <w:r>
              <w:rPr>
                <w:rStyle w:val="IndexLink"/>
                <w:rtl w:val="true"/>
              </w:rPr>
              <w:t>إرنست بلوخ</w:t>
            </w:r>
            <w:r>
              <w:rPr>
                <w:rStyle w:val="IndexLink"/>
                <w:rtl w:val="true"/>
              </w:rPr>
              <w:t>(</w:t>
            </w:r>
            <w:r>
              <w:rPr>
                <w:rStyle w:val="IndexLink"/>
              </w:rPr>
              <w:t>Ernst Bloch</w:t>
            </w:r>
            <w:r>
              <w:rPr>
                <w:rStyle w:val="IndexLink"/>
                <w:rtl w:val="true"/>
              </w:rPr>
              <w:t>)</w:t>
              <w:tab/>
            </w:r>
            <w:r>
              <w:rPr>
                <w:rStyle w:val="IndexLink"/>
              </w:rPr>
              <w:t>70</w:t>
            </w:r>
          </w:hyperlink>
        </w:p>
        <w:p>
          <w:pPr>
            <w:pStyle w:val="Contents3"/>
            <w:tabs>
              <w:tab w:val="clear" w:pos="8459"/>
              <w:tab w:val="right" w:pos="9026" w:leader="dot"/>
            </w:tabs>
            <w:rPr/>
          </w:pPr>
          <w:hyperlink w:anchor="__RefHeading___Toc6736792_1280447820">
            <w:r>
              <w:rPr>
                <w:webHidden/>
                <w:rStyle w:val="IndexLink"/>
                <w:rtl w:val="true"/>
              </w:rPr>
              <w:t>المطلب العاشر</w:t>
            </w:r>
            <w:r>
              <w:rPr>
                <w:rStyle w:val="IndexLink"/>
                <w:rtl w:val="true"/>
              </w:rPr>
              <w:t xml:space="preserve">: </w:t>
            </w:r>
            <w:r>
              <w:rPr>
                <w:rStyle w:val="IndexLink"/>
                <w:rtl w:val="true"/>
              </w:rPr>
              <w:t xml:space="preserve">أكسيل هونيت </w:t>
            </w:r>
            <w:r>
              <w:rPr>
                <w:rStyle w:val="IndexLink"/>
                <w:rtl w:val="true"/>
              </w:rPr>
              <w:t>(</w:t>
            </w:r>
            <w:r>
              <w:rPr>
                <w:rStyle w:val="IndexLink"/>
              </w:rPr>
              <w:t>Axel Honneth</w:t>
            </w:r>
            <w:r>
              <w:rPr>
                <w:rStyle w:val="IndexLink"/>
                <w:rtl w:val="true"/>
              </w:rPr>
              <w:t>)</w:t>
              <w:tab/>
            </w:r>
            <w:r>
              <w:rPr>
                <w:rStyle w:val="IndexLink"/>
              </w:rPr>
              <w:t>72</w:t>
            </w:r>
          </w:hyperlink>
        </w:p>
        <w:p>
          <w:pPr>
            <w:pStyle w:val="Contents3"/>
            <w:tabs>
              <w:tab w:val="clear" w:pos="8459"/>
              <w:tab w:val="right" w:pos="9026" w:leader="dot"/>
            </w:tabs>
            <w:rPr/>
          </w:pPr>
          <w:hyperlink w:anchor="__RefHeading___Toc6736794_1280447820">
            <w:r>
              <w:rPr>
                <w:webHidden/>
                <w:rStyle w:val="IndexLink"/>
                <w:rtl w:val="true"/>
              </w:rPr>
              <w:t>المطلب الحادي عشر</w:t>
            </w:r>
            <w:r>
              <w:rPr>
                <w:rStyle w:val="IndexLink"/>
                <w:rtl w:val="true"/>
              </w:rPr>
              <w:t xml:space="preserve">: </w:t>
            </w:r>
            <w:r>
              <w:rPr>
                <w:rStyle w:val="IndexLink"/>
                <w:rtl w:val="true"/>
              </w:rPr>
              <w:t>جورج لوكاش</w:t>
            </w:r>
            <w:r>
              <w:rPr>
                <w:rStyle w:val="IndexLink"/>
                <w:rtl w:val="true"/>
              </w:rPr>
              <w:tab/>
            </w:r>
            <w:r>
              <w:rPr>
                <w:rStyle w:val="IndexLink"/>
              </w:rPr>
              <w:t>75</w:t>
            </w:r>
          </w:hyperlink>
        </w:p>
        <w:p>
          <w:pPr>
            <w:pStyle w:val="Contents2"/>
            <w:tabs>
              <w:tab w:val="clear" w:pos="8743"/>
              <w:tab w:val="right" w:pos="9026" w:leader="dot"/>
            </w:tabs>
            <w:rPr/>
          </w:pPr>
          <w:hyperlink w:anchor="__RefHeading___Toc6736796_1280447820">
            <w:r>
              <w:rPr>
                <w:webHidden/>
                <w:rStyle w:val="IndexLink"/>
                <w:rtl w:val="true"/>
              </w:rPr>
              <w:t xml:space="preserve">الفصل الثالث </w:t>
            </w:r>
            <w:r>
              <w:rPr>
                <w:rStyle w:val="IndexLink"/>
                <w:rtl w:val="true"/>
              </w:rPr>
              <w:t xml:space="preserve">: </w:t>
            </w:r>
            <w:r>
              <w:rPr>
                <w:rStyle w:val="IndexLink"/>
                <w:rtl w:val="true"/>
              </w:rPr>
              <w:t>مدرسة فرانكفورت مرجعيّاتها الفكريَّة وأ صولها النقديّة</w:t>
            </w:r>
            <w:r>
              <w:rPr>
                <w:rStyle w:val="IndexLink"/>
                <w:rtl w:val="true"/>
              </w:rPr>
              <w:tab/>
            </w:r>
            <w:r>
              <w:rPr>
                <w:rStyle w:val="IndexLink"/>
              </w:rPr>
              <w:t>81</w:t>
            </w:r>
          </w:hyperlink>
        </w:p>
        <w:p>
          <w:pPr>
            <w:pStyle w:val="Contents3"/>
            <w:tabs>
              <w:tab w:val="clear" w:pos="8459"/>
              <w:tab w:val="right" w:pos="9026" w:leader="dot"/>
            </w:tabs>
            <w:rPr/>
          </w:pPr>
          <w:hyperlink w:anchor="__RefHeading___Toc6736798_1280447820">
            <w:r>
              <w:rPr>
                <w:webHidden/>
                <w:rStyle w:val="IndexLink"/>
                <w:rtl w:val="true"/>
              </w:rPr>
              <w:t>اشارة</w:t>
            </w:r>
            <w:r>
              <w:rPr>
                <w:rStyle w:val="IndexLink"/>
                <w:rtl w:val="true"/>
              </w:rPr>
              <w:tab/>
            </w:r>
            <w:r>
              <w:rPr>
                <w:rStyle w:val="IndexLink"/>
              </w:rPr>
              <w:t>81</w:t>
            </w:r>
          </w:hyperlink>
        </w:p>
        <w:p>
          <w:pPr>
            <w:pStyle w:val="Contents3"/>
            <w:tabs>
              <w:tab w:val="clear" w:pos="8459"/>
              <w:tab w:val="right" w:pos="9026" w:leader="dot"/>
            </w:tabs>
            <w:rPr/>
          </w:pPr>
          <w:hyperlink w:anchor="__RefHeading___Toc6736800_1280447820">
            <w:r>
              <w:rPr>
                <w:webHidden/>
                <w:rStyle w:val="IndexLink"/>
                <w:rtl w:val="true"/>
              </w:rPr>
              <w:t>المطلب الأول</w:t>
            </w:r>
            <w:r>
              <w:rPr>
                <w:rStyle w:val="IndexLink"/>
                <w:rtl w:val="true"/>
              </w:rPr>
              <w:t xml:space="preserve">: </w:t>
            </w:r>
            <w:r>
              <w:rPr>
                <w:rStyle w:val="IndexLink"/>
                <w:rtl w:val="true"/>
              </w:rPr>
              <w:t>الأثر الكَانْطِي في فَلسفَة مدرسة فرانكفورت</w:t>
            </w:r>
            <w:r>
              <w:rPr>
                <w:rStyle w:val="IndexLink"/>
                <w:rtl w:val="true"/>
              </w:rPr>
              <w:tab/>
            </w:r>
            <w:r>
              <w:rPr>
                <w:rStyle w:val="IndexLink"/>
              </w:rPr>
              <w:t>88</w:t>
            </w:r>
          </w:hyperlink>
        </w:p>
        <w:p>
          <w:pPr>
            <w:pStyle w:val="Contents3"/>
            <w:tabs>
              <w:tab w:val="clear" w:pos="8459"/>
              <w:tab w:val="right" w:pos="9026" w:leader="dot"/>
            </w:tabs>
            <w:rPr/>
          </w:pPr>
          <w:hyperlink w:anchor="__RefHeading___Toc6736802_1280447820">
            <w:r>
              <w:rPr>
                <w:webHidden/>
                <w:rStyle w:val="IndexLink"/>
                <w:rtl w:val="true"/>
              </w:rPr>
              <w:t>المطلب الثاني</w:t>
            </w:r>
            <w:r>
              <w:rPr>
                <w:rStyle w:val="IndexLink"/>
                <w:rtl w:val="true"/>
              </w:rPr>
              <w:t xml:space="preserve">: </w:t>
            </w:r>
            <w:r>
              <w:rPr>
                <w:rStyle w:val="IndexLink"/>
                <w:rtl w:val="true"/>
              </w:rPr>
              <w:t>الأثر الهيغلي في فلسفة مدرسة فرانكفورت</w:t>
            </w:r>
            <w:r>
              <w:rPr>
                <w:rStyle w:val="IndexLink"/>
                <w:rtl w:val="true"/>
              </w:rPr>
              <w:tab/>
            </w:r>
            <w:r>
              <w:rPr>
                <w:rStyle w:val="IndexLink"/>
              </w:rPr>
              <w:t>90</w:t>
            </w:r>
          </w:hyperlink>
        </w:p>
        <w:p>
          <w:pPr>
            <w:pStyle w:val="Contents3"/>
            <w:tabs>
              <w:tab w:val="clear" w:pos="8459"/>
              <w:tab w:val="right" w:pos="9026" w:leader="dot"/>
            </w:tabs>
            <w:rPr/>
          </w:pPr>
          <w:hyperlink w:anchor="__RefHeading___Toc6736804_1280447820">
            <w:r>
              <w:rPr>
                <w:webHidden/>
                <w:rStyle w:val="IndexLink"/>
                <w:rtl w:val="true"/>
              </w:rPr>
              <w:t>المطلب الثالث</w:t>
            </w:r>
            <w:r>
              <w:rPr>
                <w:rStyle w:val="IndexLink"/>
                <w:rtl w:val="true"/>
              </w:rPr>
              <w:t xml:space="preserve">: </w:t>
            </w:r>
            <w:r>
              <w:rPr>
                <w:rStyle w:val="IndexLink"/>
                <w:rtl w:val="true"/>
              </w:rPr>
              <w:t>الأثر الْاَرْكِسِّ في مدرسة فرانكفورت</w:t>
            </w:r>
            <w:r>
              <w:rPr>
                <w:rStyle w:val="IndexLink"/>
                <w:rtl w:val="true"/>
              </w:rPr>
              <w:tab/>
            </w:r>
            <w:r>
              <w:rPr>
                <w:rStyle w:val="IndexLink"/>
              </w:rPr>
              <w:t>94</w:t>
            </w:r>
          </w:hyperlink>
        </w:p>
        <w:p>
          <w:pPr>
            <w:pStyle w:val="Contents3"/>
            <w:tabs>
              <w:tab w:val="clear" w:pos="8459"/>
              <w:tab w:val="right" w:pos="9026" w:leader="dot"/>
            </w:tabs>
            <w:rPr/>
          </w:pPr>
          <w:hyperlink w:anchor="__RefHeading___Toc6736806_1280447820">
            <w:r>
              <w:rPr>
                <w:webHidden/>
                <w:rStyle w:val="IndexLink"/>
                <w:rtl w:val="true"/>
              </w:rPr>
              <w:t>المطلب الرابع</w:t>
            </w:r>
            <w:r>
              <w:rPr>
                <w:rStyle w:val="IndexLink"/>
                <w:rtl w:val="true"/>
              </w:rPr>
              <w:t xml:space="preserve">: </w:t>
            </w:r>
            <w:r>
              <w:rPr>
                <w:rStyle w:val="IndexLink"/>
                <w:rtl w:val="true"/>
              </w:rPr>
              <w:t>الأثر الفرويدي في مدرسة فرانكفورت</w:t>
            </w:r>
            <w:r>
              <w:rPr>
                <w:rStyle w:val="IndexLink"/>
                <w:rtl w:val="true"/>
              </w:rPr>
              <w:tab/>
            </w:r>
            <w:r>
              <w:rPr>
                <w:rStyle w:val="IndexLink"/>
              </w:rPr>
              <w:t>97</w:t>
            </w:r>
          </w:hyperlink>
        </w:p>
        <w:p>
          <w:pPr>
            <w:pStyle w:val="Contents2"/>
            <w:tabs>
              <w:tab w:val="clear" w:pos="8743"/>
              <w:tab w:val="right" w:pos="9026" w:leader="dot"/>
            </w:tabs>
            <w:rPr/>
          </w:pPr>
          <w:hyperlink w:anchor="__RefHeading___Toc6736808_1280447820">
            <w:r>
              <w:rPr>
                <w:webHidden/>
                <w:rStyle w:val="IndexLink"/>
                <w:rtl w:val="true"/>
              </w:rPr>
              <w:t xml:space="preserve">الفصل الرابع </w:t>
            </w:r>
            <w:r>
              <w:rPr>
                <w:rStyle w:val="IndexLink"/>
                <w:rtl w:val="true"/>
              </w:rPr>
              <w:t xml:space="preserve">: </w:t>
            </w:r>
            <w:r>
              <w:rPr>
                <w:rStyle w:val="IndexLink"/>
                <w:rtl w:val="true"/>
              </w:rPr>
              <w:t>مدرسة فرانكفورت معاثر ها الفکریه او نقد النقد</w:t>
            </w:r>
            <w:r>
              <w:rPr>
                <w:rStyle w:val="IndexLink"/>
                <w:rtl w:val="true"/>
              </w:rPr>
              <w:tab/>
            </w:r>
            <w:r>
              <w:rPr>
                <w:rStyle w:val="IndexLink"/>
              </w:rPr>
              <w:t>103</w:t>
            </w:r>
          </w:hyperlink>
        </w:p>
        <w:p>
          <w:pPr>
            <w:pStyle w:val="Contents3"/>
            <w:tabs>
              <w:tab w:val="clear" w:pos="8459"/>
              <w:tab w:val="right" w:pos="9026" w:leader="dot"/>
            </w:tabs>
            <w:rPr/>
          </w:pPr>
          <w:hyperlink w:anchor="__RefHeading___Toc6736810_1280447820">
            <w:r>
              <w:rPr>
                <w:webHidden/>
                <w:rStyle w:val="IndexLink"/>
                <w:rtl w:val="true"/>
              </w:rPr>
              <w:t>اشارة</w:t>
            </w:r>
            <w:r>
              <w:rPr>
                <w:rStyle w:val="IndexLink"/>
                <w:rtl w:val="true"/>
              </w:rPr>
              <w:tab/>
            </w:r>
            <w:r>
              <w:rPr>
                <w:rStyle w:val="IndexLink"/>
              </w:rPr>
              <w:t>103</w:t>
            </w:r>
          </w:hyperlink>
        </w:p>
        <w:p>
          <w:pPr>
            <w:pStyle w:val="Contents3"/>
            <w:tabs>
              <w:tab w:val="clear" w:pos="8459"/>
              <w:tab w:val="right" w:pos="9026" w:leader="dot"/>
            </w:tabs>
            <w:rPr/>
          </w:pPr>
          <w:hyperlink w:anchor="__RefHeading___Toc6736812_1280447820">
            <w:r>
              <w:rPr>
                <w:webHidden/>
                <w:rStyle w:val="IndexLink"/>
                <w:rtl w:val="true"/>
              </w:rPr>
              <w:t>المطلب الأوّل</w:t>
            </w:r>
            <w:r>
              <w:rPr>
                <w:rStyle w:val="IndexLink"/>
                <w:rtl w:val="true"/>
              </w:rPr>
              <w:t xml:space="preserve">: </w:t>
            </w:r>
            <w:r>
              <w:rPr>
                <w:rStyle w:val="IndexLink"/>
                <w:rtl w:val="true"/>
              </w:rPr>
              <w:t>الدلالة اللّغويّة والفلسفيّة</w:t>
            </w:r>
            <w:r>
              <w:rPr>
                <w:rStyle w:val="IndexLink"/>
                <w:rtl w:val="true"/>
              </w:rPr>
              <w:t xml:space="preserve">: </w:t>
            </w:r>
            <w:r>
              <w:rPr>
                <w:rStyle w:val="IndexLink"/>
                <w:rtl w:val="true"/>
              </w:rPr>
              <w:t>تأصيل مفهوم العقل الأداتي</w:t>
            </w:r>
            <w:r>
              <w:rPr>
                <w:rStyle w:val="IndexLink"/>
                <w:rtl w:val="true"/>
              </w:rPr>
              <w:tab/>
            </w:r>
            <w:r>
              <w:rPr>
                <w:rStyle w:val="IndexLink"/>
              </w:rPr>
              <w:t>111</w:t>
            </w:r>
          </w:hyperlink>
        </w:p>
        <w:p>
          <w:pPr>
            <w:pStyle w:val="Contents3"/>
            <w:tabs>
              <w:tab w:val="clear" w:pos="8459"/>
              <w:tab w:val="right" w:pos="9026" w:leader="dot"/>
            </w:tabs>
            <w:rPr/>
          </w:pPr>
          <w:hyperlink w:anchor="__RefHeading___Toc6736814_1280447820">
            <w:r>
              <w:rPr>
                <w:webHidden/>
                <w:rStyle w:val="IndexLink"/>
                <w:rtl w:val="true"/>
              </w:rPr>
              <w:t>المطلب الثاني</w:t>
            </w:r>
            <w:r>
              <w:rPr>
                <w:rStyle w:val="IndexLink"/>
                <w:rtl w:val="true"/>
              </w:rPr>
              <w:t xml:space="preserve">: </w:t>
            </w:r>
            <w:r>
              <w:rPr>
                <w:rStyle w:val="IndexLink"/>
                <w:rtl w:val="true"/>
              </w:rPr>
              <w:t>جذور نقد العقل الأداتي</w:t>
            </w:r>
            <w:r>
              <w:rPr>
                <w:rStyle w:val="IndexLink"/>
                <w:rtl w:val="true"/>
              </w:rPr>
              <w:t xml:space="preserve">: </w:t>
            </w:r>
            <w:r>
              <w:rPr>
                <w:rStyle w:val="IndexLink"/>
                <w:rtl w:val="true"/>
              </w:rPr>
              <w:t>هوركهايمروأدورنو</w:t>
            </w:r>
            <w:r>
              <w:rPr>
                <w:rStyle w:val="IndexLink"/>
                <w:rtl w:val="true"/>
              </w:rPr>
              <w:tab/>
            </w:r>
            <w:r>
              <w:rPr>
                <w:rStyle w:val="IndexLink"/>
              </w:rPr>
              <w:t>113</w:t>
            </w:r>
          </w:hyperlink>
        </w:p>
        <w:p>
          <w:pPr>
            <w:pStyle w:val="Contents3"/>
            <w:tabs>
              <w:tab w:val="clear" w:pos="8459"/>
              <w:tab w:val="right" w:pos="9026" w:leader="dot"/>
            </w:tabs>
            <w:rPr/>
          </w:pPr>
          <w:hyperlink w:anchor="__RefHeading___Toc6736816_1280447820">
            <w:r>
              <w:rPr>
                <w:webHidden/>
                <w:rStyle w:val="IndexLink"/>
                <w:rtl w:val="true"/>
              </w:rPr>
              <w:t>المطلب الثالث</w:t>
            </w:r>
            <w:r>
              <w:rPr>
                <w:rStyle w:val="IndexLink"/>
                <w:rtl w:val="true"/>
              </w:rPr>
              <w:t xml:space="preserve">: </w:t>
            </w:r>
            <w:r>
              <w:rPr>
                <w:rStyle w:val="IndexLink"/>
                <w:rtl w:val="true"/>
              </w:rPr>
              <w:t>نقد العقل الأداتي هو نقدٌ للتشيّؤ</w:t>
            </w:r>
            <w:r>
              <w:rPr>
                <w:rStyle w:val="IndexLink"/>
                <w:rtl w:val="true"/>
              </w:rPr>
              <w:tab/>
            </w:r>
            <w:r>
              <w:rPr>
                <w:rStyle w:val="IndexLink"/>
              </w:rPr>
              <w:t>116</w:t>
            </w:r>
          </w:hyperlink>
        </w:p>
        <w:p>
          <w:pPr>
            <w:pStyle w:val="Contents4"/>
            <w:tabs>
              <w:tab w:val="clear" w:pos="8176"/>
              <w:tab w:val="right" w:pos="9026" w:leader="dot"/>
            </w:tabs>
            <w:rPr/>
          </w:pPr>
          <w:hyperlink w:anchor="__RefHeading___Toc6736818_1280447820">
            <w:r>
              <w:rPr>
                <w:webHidden/>
                <w:rStyle w:val="IndexLink"/>
                <w:rtl w:val="true"/>
              </w:rPr>
              <w:t>اشارة</w:t>
            </w:r>
            <w:r>
              <w:rPr>
                <w:rStyle w:val="IndexLink"/>
                <w:rtl w:val="true"/>
              </w:rPr>
              <w:tab/>
            </w:r>
            <w:r>
              <w:rPr>
                <w:rStyle w:val="IndexLink"/>
              </w:rPr>
              <w:t>116</w:t>
            </w:r>
          </w:hyperlink>
        </w:p>
        <w:p>
          <w:pPr>
            <w:pStyle w:val="Contents4"/>
            <w:tabs>
              <w:tab w:val="clear" w:pos="8176"/>
              <w:tab w:val="right" w:pos="9026" w:leader="dot"/>
            </w:tabs>
            <w:rPr/>
          </w:pPr>
          <w:hyperlink w:anchor="__RefHeading___Toc6736820_1280447820">
            <w:r>
              <w:rPr>
                <w:webHidden/>
                <w:rStyle w:val="IndexLink"/>
              </w:rPr>
              <w:t>1</w:t>
            </w:r>
            <w:r>
              <w:rPr>
                <w:rStyle w:val="IndexLink"/>
                <w:rtl w:val="true"/>
              </w:rPr>
              <w:t xml:space="preserve">. </w:t>
            </w:r>
            <w:r>
              <w:rPr>
                <w:rStyle w:val="IndexLink"/>
                <w:rtl w:val="true"/>
              </w:rPr>
              <w:t>نقد النزعة الموضوعيّة في العلم</w:t>
            </w:r>
            <w:r>
              <w:rPr>
                <w:rStyle w:val="IndexLink"/>
                <w:rtl w:val="true"/>
              </w:rPr>
              <w:tab/>
            </w:r>
            <w:r>
              <w:rPr>
                <w:rStyle w:val="IndexLink"/>
              </w:rPr>
              <w:t>117</w:t>
            </w:r>
          </w:hyperlink>
        </w:p>
        <w:p>
          <w:pPr>
            <w:pStyle w:val="Contents4"/>
            <w:tabs>
              <w:tab w:val="clear" w:pos="8176"/>
              <w:tab w:val="right" w:pos="9026" w:leader="dot"/>
            </w:tabs>
            <w:rPr/>
          </w:pPr>
          <w:hyperlink w:anchor="__RefHeading___Toc6736822_1280447820">
            <w:r>
              <w:rPr>
                <w:webHidden/>
                <w:rStyle w:val="IndexLink"/>
              </w:rPr>
              <w:t>2</w:t>
            </w:r>
            <w:r>
              <w:rPr>
                <w:rStyle w:val="IndexLink"/>
                <w:rtl w:val="true"/>
              </w:rPr>
              <w:t xml:space="preserve">. </w:t>
            </w:r>
            <w:r>
              <w:rPr>
                <w:rStyle w:val="IndexLink"/>
                <w:rtl w:val="true"/>
              </w:rPr>
              <w:t>نقد أداتيّة الأنظِمة الشُموليّة</w:t>
            </w:r>
            <w:r>
              <w:rPr>
                <w:rStyle w:val="IndexLink"/>
                <w:rtl w:val="true"/>
              </w:rPr>
              <w:tab/>
            </w:r>
            <w:r>
              <w:rPr>
                <w:rStyle w:val="IndexLink"/>
              </w:rPr>
              <w:t>119</w:t>
            </w:r>
          </w:hyperlink>
        </w:p>
        <w:p>
          <w:pPr>
            <w:pStyle w:val="Contents4"/>
            <w:tabs>
              <w:tab w:val="clear" w:pos="8176"/>
              <w:tab w:val="right" w:pos="9026" w:leader="dot"/>
            </w:tabs>
            <w:rPr/>
          </w:pPr>
          <w:hyperlink w:anchor="__RefHeading___Toc6736824_1280447820">
            <w:r>
              <w:rPr>
                <w:webHidden/>
                <w:rStyle w:val="IndexLink"/>
              </w:rPr>
              <w:t>3</w:t>
            </w:r>
            <w:r>
              <w:rPr>
                <w:rStyle w:val="IndexLink"/>
                <w:rtl w:val="true"/>
              </w:rPr>
              <w:t xml:space="preserve">. </w:t>
            </w:r>
            <w:r>
              <w:rPr>
                <w:rStyle w:val="IndexLink"/>
                <w:rtl w:val="true"/>
              </w:rPr>
              <w:t>نقد الفعل الأداتي</w:t>
            </w:r>
            <w:r>
              <w:rPr>
                <w:rStyle w:val="IndexLink"/>
                <w:rtl w:val="true"/>
              </w:rPr>
              <w:t xml:space="preserve">: </w:t>
            </w:r>
            <w:r>
              <w:rPr>
                <w:rStyle w:val="IndexLink"/>
                <w:rtl w:val="true"/>
              </w:rPr>
              <w:t>الإدماج وصناعة الثقافة</w:t>
            </w:r>
            <w:r>
              <w:rPr>
                <w:rStyle w:val="IndexLink"/>
                <w:rtl w:val="true"/>
              </w:rPr>
              <w:tab/>
            </w:r>
            <w:r>
              <w:rPr>
                <w:rStyle w:val="IndexLink"/>
              </w:rPr>
              <w:t>121</w:t>
            </w:r>
          </w:hyperlink>
        </w:p>
        <w:p>
          <w:pPr>
            <w:pStyle w:val="Contents3"/>
            <w:tabs>
              <w:tab w:val="clear" w:pos="8459"/>
              <w:tab w:val="right" w:pos="9026" w:leader="dot"/>
            </w:tabs>
            <w:rPr/>
          </w:pPr>
          <w:hyperlink w:anchor="__RefHeading___Toc6736826_1280447820">
            <w:r>
              <w:rPr>
                <w:webHidden/>
                <w:rStyle w:val="IndexLink"/>
                <w:rtl w:val="true"/>
              </w:rPr>
              <w:t>المطلب الرابع</w:t>
            </w:r>
            <w:r>
              <w:rPr>
                <w:rStyle w:val="IndexLink"/>
                <w:rtl w:val="true"/>
              </w:rPr>
              <w:t xml:space="preserve">: </w:t>
            </w:r>
            <w:r>
              <w:rPr>
                <w:rStyle w:val="IndexLink"/>
                <w:rtl w:val="true"/>
              </w:rPr>
              <w:t>انفتاح العقل الأداتي على العقل التواصلي</w:t>
            </w:r>
            <w:r>
              <w:rPr>
                <w:rStyle w:val="IndexLink"/>
                <w:rtl w:val="true"/>
              </w:rPr>
              <w:tab/>
            </w:r>
            <w:r>
              <w:rPr>
                <w:rStyle w:val="IndexLink"/>
              </w:rPr>
              <w:t>123</w:t>
            </w:r>
          </w:hyperlink>
        </w:p>
        <w:p>
          <w:pPr>
            <w:pStyle w:val="Contents2"/>
            <w:tabs>
              <w:tab w:val="clear" w:pos="8743"/>
              <w:tab w:val="right" w:pos="9026" w:leader="dot"/>
            </w:tabs>
            <w:rPr/>
          </w:pPr>
          <w:hyperlink w:anchor="__RefHeading___Toc6736828_1280447820">
            <w:r>
              <w:rPr>
                <w:webHidden/>
                <w:rStyle w:val="IndexLink"/>
                <w:rtl w:val="true"/>
              </w:rPr>
              <w:t xml:space="preserve">الفصل الخامس </w:t>
            </w:r>
            <w:r>
              <w:rPr>
                <w:rStyle w:val="IndexLink"/>
                <w:rtl w:val="true"/>
              </w:rPr>
              <w:t xml:space="preserve">: </w:t>
            </w:r>
            <w:r>
              <w:rPr>
                <w:rStyle w:val="IndexLink"/>
                <w:rtl w:val="true"/>
              </w:rPr>
              <w:t>داء مدرسة فرانكفورت وتهافتها</w:t>
            </w:r>
            <w:r>
              <w:rPr>
                <w:rStyle w:val="IndexLink"/>
                <w:rtl w:val="true"/>
              </w:rPr>
              <w:tab/>
            </w:r>
            <w:r>
              <w:rPr>
                <w:rStyle w:val="IndexLink"/>
              </w:rPr>
              <w:t>127</w:t>
            </w:r>
          </w:hyperlink>
        </w:p>
        <w:p>
          <w:pPr>
            <w:pStyle w:val="Contents3"/>
            <w:tabs>
              <w:tab w:val="clear" w:pos="8459"/>
              <w:tab w:val="right" w:pos="9026" w:leader="dot"/>
            </w:tabs>
            <w:rPr/>
          </w:pPr>
          <w:hyperlink w:anchor="__RefHeading___Toc6736830_1280447820">
            <w:r>
              <w:rPr>
                <w:webHidden/>
                <w:rStyle w:val="IndexLink"/>
                <w:rtl w:val="true"/>
              </w:rPr>
              <w:t>اشارة</w:t>
            </w:r>
            <w:r>
              <w:rPr>
                <w:rStyle w:val="IndexLink"/>
                <w:rtl w:val="true"/>
              </w:rPr>
              <w:tab/>
            </w:r>
            <w:r>
              <w:rPr>
                <w:rStyle w:val="IndexLink"/>
              </w:rPr>
              <w:t>127</w:t>
            </w:r>
          </w:hyperlink>
        </w:p>
        <w:p>
          <w:pPr>
            <w:pStyle w:val="Contents3"/>
            <w:tabs>
              <w:tab w:val="clear" w:pos="8459"/>
              <w:tab w:val="right" w:pos="9026" w:leader="dot"/>
            </w:tabs>
            <w:rPr/>
          </w:pPr>
          <w:hyperlink w:anchor="__RefHeading___Toc6736832_1280447820">
            <w:r>
              <w:rPr>
                <w:webHidden/>
                <w:rStyle w:val="IndexLink"/>
                <w:rtl w:val="true"/>
              </w:rPr>
              <w:t>المطلب الأوّل</w:t>
            </w:r>
            <w:r>
              <w:rPr>
                <w:rStyle w:val="IndexLink"/>
                <w:rtl w:val="true"/>
              </w:rPr>
              <w:t xml:space="preserve">: </w:t>
            </w:r>
            <w:r>
              <w:rPr>
                <w:rStyle w:val="IndexLink"/>
                <w:rtl w:val="true"/>
              </w:rPr>
              <w:t>داء الاستغراق في الأحداث اليوميّة</w:t>
            </w:r>
            <w:r>
              <w:rPr>
                <w:rStyle w:val="IndexLink"/>
                <w:rtl w:val="true"/>
              </w:rPr>
              <w:tab/>
            </w:r>
            <w:r>
              <w:rPr>
                <w:rStyle w:val="IndexLink"/>
              </w:rPr>
              <w:t>132</w:t>
            </w:r>
          </w:hyperlink>
        </w:p>
        <w:p>
          <w:pPr>
            <w:pStyle w:val="Contents3"/>
            <w:tabs>
              <w:tab w:val="clear" w:pos="8459"/>
              <w:tab w:val="right" w:pos="9026" w:leader="dot"/>
            </w:tabs>
            <w:rPr/>
          </w:pPr>
          <w:hyperlink w:anchor="__RefHeading___Toc6736834_1280447820">
            <w:r>
              <w:rPr>
                <w:webHidden/>
                <w:rStyle w:val="IndexLink"/>
                <w:rtl w:val="true"/>
              </w:rPr>
              <w:t>المطلب الثاني</w:t>
            </w:r>
            <w:r>
              <w:rPr>
                <w:rStyle w:val="IndexLink"/>
                <w:rtl w:val="true"/>
              </w:rPr>
              <w:t xml:space="preserve">: </w:t>
            </w:r>
            <w:r>
              <w:rPr>
                <w:rStyle w:val="IndexLink"/>
                <w:rtl w:val="true"/>
              </w:rPr>
              <w:t>التهافت الأيديولوجي للمدرسة</w:t>
            </w:r>
            <w:r>
              <w:rPr>
                <w:rStyle w:val="IndexLink"/>
                <w:rtl w:val="true"/>
              </w:rPr>
              <w:tab/>
            </w:r>
            <w:r>
              <w:rPr>
                <w:rStyle w:val="IndexLink"/>
              </w:rPr>
              <w:t>136</w:t>
            </w:r>
          </w:hyperlink>
        </w:p>
        <w:p>
          <w:pPr>
            <w:pStyle w:val="Contents2"/>
            <w:tabs>
              <w:tab w:val="clear" w:pos="8743"/>
              <w:tab w:val="right" w:pos="9026" w:leader="dot"/>
            </w:tabs>
            <w:rPr/>
          </w:pPr>
          <w:hyperlink w:anchor="__RefHeading___Toc6736836_1280447820">
            <w:r>
              <w:rPr>
                <w:webHidden/>
                <w:rStyle w:val="IndexLink"/>
                <w:rtl w:val="true"/>
              </w:rPr>
              <w:t>قائمة المراجع</w:t>
            </w:r>
            <w:r>
              <w:rPr>
                <w:rStyle w:val="IndexLink"/>
                <w:rtl w:val="true"/>
              </w:rPr>
              <w:tab/>
            </w:r>
            <w:r>
              <w:rPr>
                <w:rStyle w:val="IndexLink"/>
              </w:rPr>
              <w:t>155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380_210271"/>
      <w:bookmarkStart w:id="1" w:name="pg16380_210271"/>
      <w:bookmarkEnd w:id="1"/>
    </w:p>
    <w:p>
      <w:pPr>
        <w:pStyle w:val="Heading2"/>
        <w:numPr>
          <w:ilvl w:val="1"/>
          <w:numId w:val="1"/>
        </w:numPr>
        <w:rPr/>
      </w:pPr>
      <w:bookmarkStart w:id="2" w:name="pg16380_210271"/>
      <w:bookmarkStart w:id="3" w:name="__RefHeading___Toc6736732_128044782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سلسلة مصطحات معاصرة</w:t>
      </w:r>
    </w:p>
    <w:p>
      <w:pPr>
        <w:pStyle w:val="BookText"/>
        <w:rPr/>
      </w:pPr>
      <w:r>
        <w:rPr>
          <w:rFonts w:ascii="IRNazanin" w:hAnsi="IRNazanin" w:eastAsia="IRNazanin"/>
          <w:color w:val="111111"/>
          <w:sz w:val="28"/>
          <w:sz w:val="28"/>
          <w:szCs w:val="28"/>
          <w:rtl w:val="true"/>
          <w:lang w:bidi="fa-IR"/>
        </w:rPr>
        <w:t>العتبة العباسیة المقدسه</w:t>
      </w:r>
    </w:p>
    <w:p>
      <w:pPr>
        <w:pStyle w:val="BookText"/>
        <w:rPr/>
      </w:pPr>
      <w:r>
        <w:rPr>
          <w:rFonts w:ascii="IRNazanin" w:hAnsi="IRNazanin" w:eastAsia="IRNazanin"/>
          <w:color w:val="111111"/>
          <w:sz w:val="28"/>
          <w:sz w:val="28"/>
          <w:szCs w:val="28"/>
          <w:rtl w:val="true"/>
          <w:lang w:bidi="fa-IR"/>
        </w:rPr>
        <w:t>المرکز الاسلامي للدراسات الاستراتیجیة</w:t>
      </w:r>
    </w:p>
    <w:p>
      <w:pPr>
        <w:pStyle w:val="BookText"/>
        <w:rPr/>
      </w:pPr>
      <w:r>
        <w:rPr>
          <w:rFonts w:ascii="Amiri" w:hAnsi="Amiri" w:eastAsia="Amiri" w:cs="Amiri"/>
          <w:color w:val="111111"/>
          <w:sz w:val="28"/>
          <w:sz w:val="28"/>
          <w:szCs w:val="28"/>
          <w:rtl w:val="true"/>
          <w:lang w:bidi="ar-SA"/>
        </w:rPr>
        <w:t>مدرسة فرانكفورت</w:t>
      </w:r>
    </w:p>
    <w:p>
      <w:pPr>
        <w:pStyle w:val="BookText"/>
        <w:rPr/>
      </w:pPr>
      <w:r>
        <w:rPr>
          <w:rFonts w:ascii="IRNazanin" w:hAnsi="IRNazanin" w:eastAsia="IRNazanin"/>
          <w:color w:val="111111"/>
          <w:sz w:val="28"/>
          <w:sz w:val="28"/>
          <w:szCs w:val="28"/>
          <w:rtl w:val="true"/>
          <w:lang w:bidi="fa-IR"/>
        </w:rPr>
        <w:t>تألیف الشیخ مرتضی فرج</w:t>
      </w:r>
    </w:p>
    <w:p>
      <w:pPr>
        <w:pStyle w:val="BookText"/>
        <w:rPr/>
      </w:pPr>
      <w:r>
        <w:rPr>
          <w:rFonts w:ascii="Amiri" w:hAnsi="Amiri" w:eastAsia="Amiri" w:cs="Amiri"/>
          <w:color w:val="111111"/>
          <w:sz w:val="28"/>
          <w:sz w:val="28"/>
          <w:szCs w:val="28"/>
          <w:rtl w:val="true"/>
          <w:lang w:bidi="ar-SA"/>
        </w:rPr>
        <w:t>الداروينيّة</w:t>
      </w:r>
    </w:p>
    <w:p>
      <w:pPr>
        <w:pStyle w:val="BookText"/>
        <w:rPr/>
      </w:pPr>
      <w:r>
        <w:rPr>
          <w:rFonts w:ascii="Amiri" w:hAnsi="Amiri" w:eastAsia="Amiri" w:cs="Amiri"/>
          <w:color w:val="111111"/>
          <w:sz w:val="28"/>
          <w:sz w:val="28"/>
          <w:szCs w:val="28"/>
          <w:rtl w:val="true"/>
          <w:lang w:bidi="ar-SA"/>
        </w:rPr>
        <w:t>الشيخ مرتضى فرج</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محمدرضا راهجو</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736734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380_210275"/>
      <w:bookmarkStart w:id="8" w:name="pg16380_210275"/>
      <w:bookmarkEnd w:id="8"/>
    </w:p>
    <w:p>
      <w:pPr>
        <w:pStyle w:val="Heading2"/>
        <w:numPr>
          <w:ilvl w:val="1"/>
          <w:numId w:val="1"/>
        </w:numPr>
        <w:rPr/>
      </w:pPr>
      <w:bookmarkStart w:id="9" w:name="pg16380_210275"/>
      <w:bookmarkStart w:id="10" w:name="__RefHeading___Toc6736736_1280447820"/>
      <w:bookmarkStart w:id="11" w:name="_Toc3"/>
      <w:bookmarkEnd w:id="9"/>
      <w:bookmarkEnd w:id="10"/>
      <w:r>
        <w:rPr>
          <w:rtl w:val="true"/>
        </w:rPr>
        <w:t>الفهرس</w:t>
      </w:r>
      <w:bookmarkEnd w:id="11"/>
    </w:p>
    <w:p>
      <w:pPr>
        <w:pStyle w:val="BookText"/>
        <w:rPr/>
      </w:pPr>
      <w:r>
        <w:rPr>
          <w:rFonts w:ascii="Amiri" w:hAnsi="Amiri" w:eastAsia="Amiri" w:cs="Amiri"/>
          <w:color w:val="111111"/>
          <w:sz w:val="28"/>
          <w:sz w:val="28"/>
          <w:szCs w:val="28"/>
          <w:rtl w:val="true"/>
          <w:lang w:bidi="ar-SA"/>
        </w:rPr>
        <w:t>مقدمة المركز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مدخل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فرانكفورت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التسمية ومراحلها التأسيسيّة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التسمية ما بين المدرسة والمركز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المراحل التاريخيّة لتشكّل المدرسة النَّقْدِيَّة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روّاد مدرسة فرانكفورت ومؤسّسوها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ماكس هوركايمر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كتاب النَّظَرِيَّة التقليديّة والنظريّة النَّقْدِيَّة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1937</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تيودور أدورنو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جدل التنوير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الجدل السلبي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فريدريش بولوك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المطلب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هيربرت ماركوز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العقل والثورة </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الحضارة والرغبة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الْمَرْكِسِيَّة السوفيتيّة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الإنسان ذو البعد الواحد </w:t>
      </w:r>
      <w:r>
        <w:rPr>
          <w:rFonts w:eastAsia="IRNazanin" w:cs="IRNazanin"/>
          <w:color w:val="111111"/>
          <w:sz w:val="28"/>
          <w:szCs w:val="28"/>
          <w:lang w:bidi="fa-IR"/>
        </w:rPr>
        <w:t>1958</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المطلب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يورغن هابرماس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المطلب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إريك فروم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المطلب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ليولوفنتال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المطلب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 بنيامين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المطلب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إرنست بلوخ</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المطلب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أكسيل هونيت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المطلب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جورج لوكاش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فرانكفورت مرجعيّاتها الفكريَّة وأُصولها النقديّة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المطلب الأول الأثر الكَانْطِي في فَلسفَة مدرسة فرانكفورت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المطلب الثاني الأثر الهيغلي في فلسفة مدرسة فرانكفورت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الأثر الْمَرْكِسِّ في مدرسة فرانكفورت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المطلب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الأثر الفرويدي في مدرسة فرانكفورت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فرانكفورت مَعاثرِها الفِْكرِْيةَّ أوَْ نَقْد النقَّْدِ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اللّغويّة والفلسفيّة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تأصيل مفهوم العقل الأداتي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جذور نقد العقل الأداتي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هوركهايمر وأدورنو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العقل الأداتي هو نقدٌ للتشيّؤ</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نقد النزعة الموضوعيّة في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نقد أداتيّة الأنظِمة الشُموليّة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نقد الفعل الأداتي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الإدماج وصناعة الثقافة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المطلب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انفتاح العقل الأداتي على العقل التواصلي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داء مدرسة فرانكفورت وتهافتها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الاستغراق في الأحداث اليوميّة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التهافت الأيديولوجي للمدرسة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قائمة المراجع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bookmarkStart w:id="12" w:name="pg16380_210277"/>
    </w:p>
    <w:p>
      <w:pPr>
        <w:pStyle w:val="Heading2"/>
        <w:numPr>
          <w:ilvl w:val="1"/>
          <w:numId w:val="1"/>
        </w:numPr>
        <w:rPr/>
      </w:pPr>
      <w:bookmarkStart w:id="13" w:name="__RefHeading___Toc6736738_1280447820"/>
      <w:bookmarkStart w:id="14" w:name="_Toc4"/>
      <w:bookmarkEnd w:id="12"/>
      <w:bookmarkEnd w:id="13"/>
      <w:r>
        <w:rPr>
          <w:rtl w:val="true"/>
        </w:rPr>
        <w:t>مقدمة المركز</w:t>
      </w:r>
      <w:bookmarkEnd w:id="14"/>
    </w:p>
    <w:p>
      <w:pPr>
        <w:pStyle w:val="BookText"/>
        <w:rPr/>
      </w:pPr>
      <w:r>
        <w:rPr>
          <w:rFonts w:ascii="Amiri" w:hAnsi="Amiri" w:eastAsia="Amiri" w:cs="Amiri"/>
          <w:color w:val="111111"/>
          <w:sz w:val="28"/>
          <w:sz w:val="28"/>
          <w:szCs w:val="28"/>
          <w:rtl w:val="true"/>
          <w:lang w:bidi="ar-SA"/>
        </w:rPr>
        <w:t>تدخل هذه السلسلة التي يصدرها المركز الإسلامي للدراسات الاستراتيجية في سياق منظومة معرفية يعكف المركز على تظهيرها، وتهدف إلى بحث وتأصيل ونقد مفاهيم شكَّلت ولمّا تزل مرتكزاتٍ أساسيةً في فضاء التفكير المعاصر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وسعيًا إلى تحقيق هذا الهدف وضعت الهيئة المشرفة خارطةً شاملةً للعناية بالمصطلحات والمفاهيم الأكثر حضورًا وتداو ل وتأثيرًا في العلوم الإنسانية؛ ولا سي ا في حقول الفلسفة، وعلم م الاجت اع، والفكر السياسي، وفلسفة الدين، والاقتصاد، وتاريخ م الحضارات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الغاية من هذا المشروع المعرفي فيمكن إج الها بالآتي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الوعي بالمفاهيم وأهميّتها في تشكيل وتنمية المعارف والعلوم الإنسانية وإدراك مبانيها وغاياتها، وبالتالي التعامل معها كضرورةٍ للتواصل مع عالم الأفكار، والتعرُّف على النظريات والمناهج التي تتشكّل منها الأنظمة الفكريّة المختلفة</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الغموض حول الكثير من المصطلحات والمفاهيم التي غالبًا ما تُستعمل في غير موضعها أو يجري تفسيرها على خلاف المراد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 ا وأنّ كثيرًا من الإشكاليات المعرفية ناتجة من اضطراب م الفهم في تحديد المفاهيم والوقوف على مقاصدها الحقيقية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حقيقة ما يؤدّيه توظيف المفاهيم في ميادين الاحتدام الحضاري بين الشرق والغرب، وما يترتّب على هذا التوظيف من آثارٍ سلبيةٍ بفعل العولمة الثقافية والقيمية التي تتعرَّض لها المجتمعات العربية والإسلامية، وخصوصًا في الحقبة المعاصرة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رفد المعاهد الجامعية ومراكز الأبحاث والمنتديات الفكرية بعملٍ موسوعيٍ جديدٍ يحيط بنشأة المفهوم ومعناه ودلالاته الاصطلاحية، ومجال استخداماته العلمية، فضلً عن صِلاته وارتباطه بالعلوم والمعارف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وانطلاقًا من البعد العلمي والمنهجي والتحكيمي لهذا المشروع، فقد حرص المركز على أن يشارك في إنجازه نخبةٌ من كبار الأكاديميين والباحثين والمفكّرين من العالمين العربي والإسلامي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تقارب هذه الدراسة للباحثة التونسية ثريا بن مسميّة ما عُرِفَ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 فرانكفورت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شكّلت علامةً فارقةً في نقد الحداثة وتفكيك أبنيتها الفلسفية والفكرية على امتداد مساحة واسعة من القرن المنصرم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مدى خمسة فصول تناولت الباحثة الظروف التي أدّت إلى ولادة مدرسة فرانكفورت في ألمانيا، وأثرها في المدارس والتيارات الفلسفية الأخرى؛ كما قدّمت قراءة نقدية لمسار هذه المدرسة، وبيّنت أهم وأبرز المعاثر التي واجهتها سواء على صعيد المفاهيم، أو على مستوى الانهيارات والانشقاقات التي تعرَّضت لها</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رب العالمين </w:t>
      </w:r>
      <w:bookmarkStart w:id="15" w:name="pg16380_210279"/>
    </w:p>
    <w:p>
      <w:pPr>
        <w:pStyle w:val="Heading2"/>
        <w:numPr>
          <w:ilvl w:val="1"/>
          <w:numId w:val="1"/>
        </w:numPr>
        <w:rPr/>
      </w:pPr>
      <w:bookmarkStart w:id="16" w:name="__RefHeading___Toc6736740_1280447820"/>
      <w:bookmarkStart w:id="17" w:name="_Toc5"/>
      <w:bookmarkEnd w:id="15"/>
      <w:bookmarkEnd w:id="16"/>
      <w:r>
        <w:rPr>
          <w:rtl w:val="true"/>
        </w:rPr>
        <w:t>مدخل</w:t>
      </w:r>
      <w:bookmarkEnd w:id="17"/>
    </w:p>
    <w:p>
      <w:pPr>
        <w:pStyle w:val="BookText"/>
        <w:rPr/>
      </w:pPr>
      <w:r>
        <w:rPr>
          <w:rFonts w:ascii="Amiri" w:hAnsi="Amiri" w:eastAsia="Amiri" w:cs="Amiri"/>
          <w:color w:val="111111"/>
          <w:sz w:val="28"/>
          <w:sz w:val="28"/>
          <w:szCs w:val="28"/>
          <w:rtl w:val="true"/>
          <w:lang w:bidi="ar-SA"/>
        </w:rPr>
        <w:t xml:space="preserve">الكتابة أو الخوض في السيرة التاريخيّة والفكريّة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مدرسة فرانكفورت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النظريّة النقديّة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يعدّ مغامرةً فلسفيّةً ونظريّةً بالدرجة الأولى، وذلك راجع إلى عدّة أسباب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التّطورات العديدة والمتجدّدة التي شهدها تاريخ هذه المدرسة؛ إلى درجة أنّنا لا يمكن أن نبحث فيها من دون ملاحظة مراحل تطوّرها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 لكلّ مرحلة آليّاتها ومناهجها ومضامينها الخاصّة، على الرَّغْمِ من ترابطها مع المراحل التي تسبقها أو تليها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الجذور والأصول الْفِكْرِيَّة الْمُخْتَلِفَةُ والمتنوّعة التي أسهمت في تأسيسها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تعدّد انت اءات المدرسة ومناهجها، فمنها ما ينتمي إليها م أكاديميًّا، ومنها ما يتقاطع معها في الرؤى والمسار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من كان ناقدًا عنيدًا لمبادئها ومنطلقاتها وغاياتها</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الخليط اللاَّ متجانس من الاختصاصات العلميّة والاهت امات م الفلسفيّة لمؤسّ ي مدرسة فرانكفورت يؤكّد على الطابع الج اعي س م للمدرسة ويضيف المزيد من الإشكاليات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ا سيتب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 م لا تدين في وجودها لجهدٍ فرديٍّ أو فلسفة أحاديّة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تستلزم الكتابة عن هذا التيّار الواسع والمعّقد اعت اد منهج التغطية الشاملة م وبلحاظ الجوانب التاريخيّة والفكريّة والفلسفيّة</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كلّ هذه الاعتبارات وغيرها تجعل البحث في مدرسة فرانكفورت أمرًا شاقًّا، ويتطلّب الغوص في أفكار مؤسّسيها وتفاصيل نشأتها فضلاً عن الدوافع الْفِكْرِيَّة والسياسيّة والسوسيولوجيّة التي ساهمت في ظهورها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من المفيد إحاطة القارئ العزيز إلى أنّ من أهمّ المرتكزات المعرِفيّة التي انبنت عليها تجربة مدرسة فرانكفورت والتي ستضيء عليها دراستنا تكمن في النقاط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تعتبر مدرسة فرانكفورت النقديّة، بمشروعها الفلسفيّ النقديّ، من أبرز المدارس التي تكرَّست جهود أعضائها من الفلاسفة وعلماء الاجتماع على نقد المجتمع الغربيّ الحديث؛ بقصد كشف تناقضاته، وجعل التغيير الِجْتِمَعِيِّ هدفًا لها، والنقد الجذريّ منهجًا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أبانت مدرسة فرانكفورت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جيلها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مظاهر الاستغلال والاغتراب والتشيّؤ التي أفرزها مشروع التنوير نتيجة هيمنة العقلانيّة الأداتيّة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أكّدت مدرسة فرانكفورت أنّ مشروع التنوير قد عجز عن تحقيق الأهداف والمبادئ التي وُجد من أجلها، ولم يعد متماهيًا مع فكرة التقدّم كما روّج له المدافعون عنه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هاجمت مدرسة فرانكفورت الفلسفات النسقيّة؛ لأنّها قامت على التنظير العقلي دون اكتراثٍ بواقع الإنسان الِجْتِمَعِيِّ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وانطلاقًا من ابتعاد الفلسفة عن وظيفتها دافع روّاد مدرسة فرانكفورت </w:t>
      </w:r>
    </w:p>
    <w:p>
      <w:pPr>
        <w:pStyle w:val="BookText"/>
        <w:rPr/>
      </w:pPr>
      <w:r>
        <w:rPr>
          <w:rFonts w:ascii="Amiri" w:hAnsi="Amiri" w:eastAsia="Amiri" w:cs="Amiri"/>
          <w:color w:val="111111"/>
          <w:sz w:val="28"/>
          <w:sz w:val="28"/>
          <w:szCs w:val="28"/>
          <w:rtl w:val="true"/>
          <w:lang w:bidi="ar-SA"/>
        </w:rPr>
        <w:t>عن ضرورة إعادة الاعتبار لهذا الدّور من خلال المطالبة بضرورة ربط الفلسفة بالحياة الِجْتِمَعِيِّة؛ لتصبح فلسفةً اجتماعيّةً تُعنى بالحياة الِجْتِمَعِيِّة للأفراد، أي ربط النَّظَرِيَّة بالممارسة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أكّدت مدرسة فرانكفورت على تهافت النزعة الوضعيّة التي تجعل من العلوم الطبيعية نموذجًا للعلميّة، وتجعل من العلم والتقنية الأداتين الكفيلتين بمفردهما على إحداث التغيير الاجتماعي، وخلق سعادة الإنسان، متجاهلين دور الفلسفة والعلوم الِجْتِمَعِيِّة في تحقيق هذه المهمّة، خاصّةً إذا تمّ الارتباط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بيّنت مدرسة فرانكفورت في حديثها عن صناعة الثقافة في المؤلّف المشترك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جدليّة التنوير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الثقافة بمختلف مظاهرها خاصّة ما تعلّق منها بالفنون المختلفة والجوانب الإعلاميّة والاتّصاليّة، ووسائل الإعلام المختلفة؛ كالسينما والتليفزيون والإذاعة تحوّلت في المجتمعات الغربية المعاصرة إلى أدواتٍ للسيطرة تُارس بواسطتها الأنظمة السياسيّة في المجتمعات الرأسماليّة ضغطًا لانتهاك حريّة الأفراد بجميع صورها خاصّةً منها حريّة التعبير، بل صارت هذه الوسائل تعمل على المحافظة على سيرورة هذا النظام الرأسمالي، وبهذا الشكل تكون الثقافة بكلّ مظاهرها قد أبعدت عن دورها الأساس في نشر الوعي السياسي والاجتماعي للأفراد، والكشف عن زيف الأنظمة السياسيّة والاقتصاديّة بفقدانها للقدرة النقديّة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بالطبع لم يأتِ المشروع العلمي الذي قدّمته هذه المدرسة من </w:t>
      </w:r>
    </w:p>
    <w:p>
      <w:pPr>
        <w:pStyle w:val="BookText"/>
        <w:rPr/>
      </w:pPr>
      <w:r>
        <w:rPr>
          <w:rFonts w:ascii="Amiri" w:hAnsi="Amiri" w:eastAsia="Amiri" w:cs="Amiri"/>
          <w:color w:val="111111"/>
          <w:sz w:val="28"/>
          <w:sz w:val="28"/>
          <w:szCs w:val="28"/>
          <w:rtl w:val="true"/>
          <w:lang w:bidi="ar-SA"/>
        </w:rPr>
        <w:t>فراغ، فلقد تضافرت جملة من العوامل الموضوعيةّ والذاتيةّ التي حكمت تطوّرات الفكر الغربي في مستهلّ القرن 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فلقد تواكبت وقائع ماديّة بعينها على التأثير في مشروع هذه المدرسة، منها اندلاع الحرب العالميّة الأولى، وقيام الثورة البولشفيّة، وإخفاق الثورة في ألمانيا، وعدم نجاح الحركات الاشتراكيّة الراديكاليّة في أوروبا الغربية، وظهور الستالينيّة في الاتحاد السوفياتي، والنظم الفاشيّة والنازيّة في إيطاليا وألمانيا، وهيمنة النظم الرأسمالية وتعزيز سيطرتها الاقتصادية والأيديولوجيّة، خاصّة بعد خروجها من الأزمة الاقتصادية الطاحنة التي مرّت بها في ثلاثينيات القرن العشرين</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 ضاعف من ذلك التفسيرات الأورثوذكسية للمَرْكِسِيَّة التي طرحت في ظلّ تعاظم الستالينية، وبزوغ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دولة الرفاهية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شكّ فإنّ هذه الوقائع والاستراتيجيات النَّظَرِيَّة تؤكّد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تفكير مدرسة فرانكفورت النّقديّ هو تفكير أزمة، بحسب المعنى الموضوعي للكلمة، وفي الوقت نفسه، تفكير ضدّ القطيعة والعقائديّة بالمعنى الكانطي</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وجدت هذه المدرسة نفسها تضطلع بمهمّةٍ رئيسيّةٍ، هي الرّغبة في صوغ أساس لنظريّة وممارسة أكثر قدرة وفاعليّة على تفسير الظروف التاريخيّة المستجدّة والتعامل معها، بواسطة ممارسة نمط من النقد السلبي، يتجاوز أفكار كانط التي ساهمت في تأسيس العقلانيّة الحديثة، وأفكار الْمَرْكِسِيَّة الأورثوذكسية التي </w:t>
      </w:r>
    </w:p>
    <w:p>
      <w:pPr>
        <w:pStyle w:val="BookText"/>
        <w:rPr/>
      </w:pPr>
      <w:r>
        <w:rPr>
          <w:rFonts w:ascii="Amiri" w:hAnsi="Amiri" w:eastAsia="Amiri" w:cs="Amiri"/>
          <w:color w:val="111111"/>
          <w:sz w:val="28"/>
          <w:sz w:val="28"/>
          <w:szCs w:val="28"/>
          <w:rtl w:val="true"/>
          <w:lang w:bidi="ar-SA"/>
        </w:rPr>
        <w:t>استبعدت الذات الإنسانيّة من حساباتها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النحو اتّجهت أطروحات المدرسة إلى محاولة البرهنة على أنّ عقلانيّة المشروع الثقافيّ الغربيّ في جوانبه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كنتاج فلسفيٍّ نظريٍّ علميٍّ، ونظم اجتماعية تاريخية، ونسق قيمي سلوكي، تؤلف جميعها أيديولوجيا شموليّة متكاملة ومتماسكة، تهدف إلى تبرير التّسلّط، وجعله عقيدةً وحيدةً تغطّي أولويّات القمع المتحقّقة كواقع مستمرّ يجمع مختلف فعاليّات هذا المشروع</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صبّ هوركايمر، المُنظّر الأوّل لفلسفة النقد، اهتمامه الأساسيّ على الجانب المعرفيّ لهذه الفلسفة، من منطلق أنّ العقلانيّة كأيديولوجيا، تستند إلى يقينٍ معرفيٍّ محدّد، يجب التصدِّي له واكتشاف تهافته وتسلّطه، وهو ما دعاه إلى اقتراح مهامٍّ أربع أساسيّة لهذه الفلسفة،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الكشف في كلّ نظريّة عن المصلحة الِجْتِمَعِيِّة التي ولدتها، عن طريق استخدام التخليل الناقد، من أجل النّفاذ إلى أعماقها، في العلاقات الِجْتِمَعِيِّة التي تتضمّنها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تأسيس فهم جدليّ للذات الإنسانية، لا يتوقفّ عند وصف الصيرورة التاريخيّة للحاضر فحسب، بل ويقوم أيضًا على إدراك قوّتها الحقيقيّة المتحوّلة، وتأثيرها في الصراعات الواقعيّة لعصرنا الرّاهن</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والمهمّة الثالثة لنظريّة النّقد عند هوركايمر، هي أن تظلّ هذه </w:t>
      </w:r>
    </w:p>
    <w:p>
      <w:pPr>
        <w:pStyle w:val="BookText"/>
        <w:rPr/>
      </w:pPr>
      <w:r>
        <w:rPr>
          <w:rFonts w:ascii="Amiri" w:hAnsi="Amiri" w:eastAsia="Amiri" w:cs="Amiri"/>
          <w:color w:val="111111"/>
          <w:sz w:val="28"/>
          <w:sz w:val="28"/>
          <w:szCs w:val="28"/>
          <w:rtl w:val="true"/>
          <w:lang w:bidi="ar-SA"/>
        </w:rPr>
        <w:t>النَّظَرِيَّة على وعي بكونها لا تمثّل مذهبًا خارج التطوُّر الِجْتِمَعِيِّ التاريخيِّ</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لا تطرح نفسها باعتبارها مبدأ اطلاقيًّا، أو أنّها تعكس أي مبدأ إطلاقيٍّ خارج صيرورة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والمقياس الأساس والوحيد الذي تلتزم به هو أن تعكس مصلحة الأغلبيّة الِجْتِمَعِيِّة وسعي الفئات المقهورة في تنظيم علاقات للإنتاج، بما يُحقّق تطابق العقل مع الواقع، بواسطة ربط النَّظَرِيَّة بالممارسة، في إطار نقدٍ أيديولوجيٍّ، يتيح للإنسان الكشف عن قدراته اللاَّ محدودة، وتديم الحلول التي تساعده على تكوين وجودٍ 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المهمّة الأخيرة، فتكمن في التصدِّي لمختلف الأشكال اللاَّعقلانيّة التي حاولت المصالح الطبقيّة السائدة أن تلبسها للعقل، وأن تُؤسّس اليقين بها على اعتبار أنّها هي التّي تجسّده، في حين أنّ هذه الأشكال من العقلانيّة المزيّفة ليست سوى أدوات لاستخدام العقل في تدعيم النُّظم الِجْتِمَعِيِّة القائمة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ولكي نقارب دراستنا حول مدرسة فرانكفورت بإشكاليّاتها واتّجاهاتها وتعقيداتها المختلفة والمتنوّعة، فقد ارتأينا تقسيمها إلى مقدمة وأربعة فصول وخاتمة نقدية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يهتم بنشأة المدرسة والإطار التاريخي والفلسفي الذي نمت في أرجائه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طرح لإشكاليّة التسمية ومحاولة للاستقرار على التسمية التي تحوز على أوسع مساحة من التداول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فالمعروف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مدرسة فرانكفورت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ترافقت منذ ولادتها بعدّة</w:t>
      </w:r>
    </w:p>
    <w:p>
      <w:pPr>
        <w:pStyle w:val="BookText"/>
        <w:rPr/>
      </w:pPr>
      <w:r>
        <w:rPr>
          <w:rFonts w:ascii="Amiri" w:hAnsi="Amiri" w:eastAsia="Amiri" w:cs="Amiri"/>
          <w:color w:val="111111"/>
          <w:sz w:val="28"/>
          <w:sz w:val="28"/>
          <w:szCs w:val="28"/>
          <w:rtl w:val="true"/>
          <w:lang w:bidi="ar-SA"/>
        </w:rPr>
        <w:t>تسميات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المدرسة النقديّة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مركز البحوث الِجْتِمَعِيِّة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لذا وجدنا ضرورة للفصل والتمييز بين هذه المسمّيات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عرضنا في هذا الفصل إلى روّاد مدرسة فرانكفورت ومؤسِّسيها بالتركيز على سيرة الشخصيّات المؤسّسة للمدرسة من خلال فلسفتهم وفكرهم النقدِّي وتصنيفاتهم العلمية في هذا المجال، ونظرًا لكثرة الروّاد الوافدين إلى المدرسة حاولنا التركيز على أهمّ الشخصيات المُؤثّرة في برامجها وتحوّلاتها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 الفلسفات والمدارس المؤثّرة في نشأة المدرسة النَّقْدِيَّة كالكانطيّة والفرويديّة أو الهيغليّة والمَارْكِسِيَّة والتي تعدّ الركيزة الأساسية لولادتها ونموّها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تناولنا في هذا الفصل مدرسة فرانكفورت بالنقد والتحليل والمناقشة، وخصوصًا لجهة كونها مدرسة نقديّة بالدرجة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خلال مسيرتها وقعت في الكثير من العيوب والمعاثر سواءً على الصعيد النظري وإنتاج المفاهيم، أو على الصعيد التطبيقي وما طرأ عليها من انشقاقات في صفوفها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ركَّز هذا الفصل على داء مدرسة فرانكفورت وتهافتها، واستغراقها في الأحداث اليومية، مع تركيز على التهافت الأيديولوجي للمدرسة</w:t>
      </w:r>
      <w:r>
        <w:rPr>
          <w:rFonts w:eastAsia="Amiri" w:cs="Amiri" w:ascii="Amiri" w:hAnsi="Amiri"/>
          <w:color w:val="111111"/>
          <w:sz w:val="28"/>
          <w:szCs w:val="28"/>
          <w:rtl w:val="true"/>
          <w:lang w:bidi="ar-SA"/>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16380_210287"/>
      <w:bookmarkStart w:id="19" w:name="pg16380_210287"/>
      <w:bookmarkEnd w:id="19"/>
    </w:p>
    <w:p>
      <w:pPr>
        <w:pStyle w:val="Heading2"/>
        <w:numPr>
          <w:ilvl w:val="1"/>
          <w:numId w:val="1"/>
        </w:numPr>
        <w:rPr/>
      </w:pPr>
      <w:bookmarkStart w:id="20" w:name="pg16380_210287"/>
      <w:bookmarkStart w:id="21" w:name="__RefHeading___Toc6736742_1280447820"/>
      <w:bookmarkStart w:id="22" w:name="_Toc6"/>
      <w:bookmarkEnd w:id="20"/>
      <w:bookmarkEnd w:id="21"/>
      <w:r>
        <w:rPr>
          <w:rtl w:val="true"/>
        </w:rPr>
        <w:t xml:space="preserve">الفصل الأول </w:t>
      </w:r>
      <w:r>
        <w:rPr>
          <w:rtl w:val="true"/>
        </w:rPr>
        <w:t xml:space="preserve">: </w:t>
      </w:r>
      <w:r>
        <w:rPr>
          <w:rtl w:val="true"/>
        </w:rPr>
        <w:t>مدرسة فرانكفورت</w:t>
      </w:r>
      <w:r>
        <w:rPr>
          <w:rtl w:val="true"/>
        </w:rPr>
        <w:t xml:space="preserve">: </w:t>
      </w:r>
      <w:r>
        <w:rPr>
          <w:rtl w:val="true"/>
        </w:rPr>
        <w:t>لبس التسمية ومراحلها التأسيسيّة</w:t>
      </w:r>
      <w:bookmarkEnd w:id="22"/>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 w:name="__RefHeading___Toc6736744_1280447820"/>
      <w:bookmarkStart w:id="24" w:name="_Toc7"/>
      <w:bookmarkEnd w:id="23"/>
      <w:r>
        <w:rPr>
          <w:rtl w:val="true"/>
        </w:rPr>
        <w:t>اشارة</w:t>
      </w:r>
      <w:bookmarkStart w:id="25" w:name="pg16380_210288"/>
      <w:bookmarkEnd w:id="24"/>
    </w:p>
    <w:p>
      <w:pPr>
        <w:pStyle w:val="Heading3"/>
        <w:numPr>
          <w:ilvl w:val="2"/>
          <w:numId w:val="1"/>
        </w:numPr>
        <w:rPr/>
      </w:pPr>
      <w:bookmarkStart w:id="26" w:name="__RefHeading___Toc6736746_1280447820"/>
      <w:bookmarkStart w:id="27" w:name="_Toc8"/>
      <w:bookmarkEnd w:id="25"/>
      <w:bookmarkEnd w:id="26"/>
      <w:r>
        <w:rPr>
          <w:rtl w:val="true"/>
        </w:rPr>
        <w:t>المطلب الأوّل</w:t>
      </w:r>
      <w:r>
        <w:rPr>
          <w:rtl w:val="true"/>
        </w:rPr>
        <w:t xml:space="preserve">: </w:t>
      </w:r>
      <w:r>
        <w:rPr>
          <w:rtl w:val="true"/>
        </w:rPr>
        <w:t>لبس التسمية ما بين المدرسة والمركز</w:t>
      </w:r>
      <w:bookmarkEnd w:id="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مَدْرَسَةٌ فرَانْكِفُورْتْ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المدرسة النقديّة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مركز البحوث الإجت 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تسميات لكيان واحد، ف ا الخطب وراء تعدّدها م م وأيّها الأسبق ولمَ هذا التعدّد والتحوّل في المسمّيات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لبس التسمية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يتحدّث الدكتور محسن الخوني</w:t>
      </w:r>
      <w:r>
        <w:rPr>
          <w:rStyle w:val="FootnoteAnchor"/>
          <w:rtl w:val="true"/>
        </w:rPr>
        <w:footnoteReference w:id="6"/>
      </w:r>
      <w:r>
        <w:rPr>
          <w:rFonts w:ascii="Amiri" w:hAnsi="Amiri" w:eastAsia="Amiri" w:cs="Amiri"/>
          <w:color w:val="111111"/>
          <w:sz w:val="28"/>
          <w:sz w:val="28"/>
          <w:szCs w:val="28"/>
          <w:rtl w:val="true"/>
          <w:lang w:bidi="ar-SA"/>
        </w:rPr>
        <w:t xml:space="preserve">فيُبن أنّ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مَدْرَسَةٌ فرَانْكِفُورْتْ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متأخّرًا في ظهوره،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مركز البحوث ا جِْتِمَعِيِّة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مَدْرَسَةٌ فرَانْكِفُورْتْ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الأكثر استع الاً م ل وشيوعًا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اسم أطلق على مجموعة من المفكّرين أهمّهم هوركهايمر وأدرنوو ماركوز داخل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مركز البحوث الاجت 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 ولكن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مَدْرَسَةٌ فرَانْكِفُورْتْ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 على المركز من الخارج خلال السنوات الستين، وقد انتهى الأمر بأدرنو إلى قبول ذلك بضرب من الفخر</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فرَانْكِفُورْتْ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إشارة للمكان الّذي ظهر فيه مركز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البحوث الاجت 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ما وراء تحوّل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المركز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البداية كانت مع المركز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مركز البحوث الاجت 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 عبارة عن حدث أو هو بمثابة مشروعٍ علميٍّ خاصٍّ بالفلسفة الاجت اعية، اللّفظ الّذي أطلقه ماكس هوركهايمر على الأفق العلمي م </w:t>
      </w:r>
    </w:p>
    <w:p>
      <w:pPr>
        <w:pStyle w:val="BookText"/>
        <w:rPr/>
      </w:pPr>
      <w:r>
        <w:rPr>
          <w:rFonts w:ascii="Amiri" w:hAnsi="Amiri" w:eastAsia="Amiri" w:cs="Amiri"/>
          <w:color w:val="111111"/>
          <w:sz w:val="28"/>
          <w:sz w:val="28"/>
          <w:szCs w:val="28"/>
          <w:rtl w:val="true"/>
          <w:lang w:bidi="ar-SA"/>
        </w:rPr>
        <w:t xml:space="preserve">للمعهد والذي وُضع مختصرًا ضمن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النظريّة النقديّة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Théorie Critique</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المركز لم يتضمّن في نشأته رؤيةً نقديّةً واضحةً يمكن أن تعدّ مدرسة، بل كان جملةً من الأفكار والنظرياّت المتعدّدة، وكان هوركهايمر الواصل لهاته الرؤى حول واقع المجتمع الألماني بعد الحرب داخل المركز، وقد سانده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أدرنو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تشتّت الأفكار وعدم وضوح الرؤية تجعلنا نُؤكّد على فكرة المركز لا المدرسة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ثمّة نظريّة نقديّة ولا يُوجد بالأحرى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 الأجدر أن نقول بوجود نظريّات نقديّةٍ عديدةٍ ومنظّرون نقديّون مختلفون يعالجون قضايا مشتركة تجمعهم من قريب أو بعيد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الهيمنة، التشيّؤ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 تقليد معرفي موزّع بصورة أكثر أو أقل فيما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المَارْكِسِيَّة الغربية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ويتناولون النَّظَرِيَّة النَّقْدِيَّة بإعتبارها كتابات متجانسة تصرّ دائمًا على تجاهل الاختلافات القائمة بين مختلف مفكّريها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هوركهايمر، أدرنو، ماركوز، بينيامين، هابرماس، هونيست</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الفكر النّقدي للواقع السياسيّ والاجتماعي كان هو الأساس لتكوّن المركز كمركز بحوث اجتماعية يستبطن تحوّلات ذات تأسيسات مَارْكِسِيَّة فرويديّة وهيغليّة كانطيّة، فما علينا فهمه أنّ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تتكوّن إلّ عند مغادرة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المركز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فرَانكِْفُورْتْ إلى ألمانيا سنة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هذا الوجه من التّتبّع المفاهيمي علينا أن نستخلص أسبقيّة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مركز البحوث الِجْتِمَعِيِّة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كنواةٍ 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لِمَدْرَسَةٌ فرَانْكِفُورْتْ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لما يتطلّبه مفهوم المدرسة من تناسقٍ وتناسبٍ ولو عامّ لمفكريها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يتطلّب على حدّ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أبسنور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تبلور عددٍ معيٍّ من الأطروحات في مذهبٍ موحّد وإن لزم الأمر في عقيدة، وتقوم بذلك مجموعة تلتفّ حول فكر مؤسّس، وتنشر نسقًا جديدًا في فضاءٍ عموميٍّ بهدف مساعدة حقبةٍ حرجةٍ على المرور إلى حقبةٍ عضويّة جديدة </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 xml:space="preserve">فما هي المراحل التي مرّ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مركز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معهد البحوث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لتتشكّل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المَدْرَسَة النقدية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 فرَانْكِفُورْتْ ؟</w:t>
      </w:r>
      <w:r>
        <w:rPr>
          <w:rFonts w:eastAsia="Amiri" w:cs="Amiri" w:ascii="Amiri" w:hAnsi="Amiri"/>
          <w:color w:val="111111"/>
          <w:sz w:val="28"/>
          <w:szCs w:val="28"/>
          <w:rtl w:val="true"/>
          <w:lang w:bidi="ar-SA"/>
        </w:rPr>
        <w:t xml:space="preserve">» </w:t>
      </w:r>
      <w:bookmarkStart w:id="28" w:name="pg16380_210291"/>
    </w:p>
    <w:p>
      <w:pPr>
        <w:pStyle w:val="Heading3"/>
        <w:numPr>
          <w:ilvl w:val="2"/>
          <w:numId w:val="1"/>
        </w:numPr>
        <w:rPr/>
      </w:pPr>
      <w:bookmarkStart w:id="29" w:name="__RefHeading___Toc6736748_1280447820"/>
      <w:bookmarkStart w:id="30" w:name="_Toc9"/>
      <w:bookmarkEnd w:id="28"/>
      <w:bookmarkEnd w:id="29"/>
      <w:r>
        <w:rPr>
          <w:rtl w:val="true"/>
        </w:rPr>
        <w:t>المطلب الثاني</w:t>
      </w:r>
      <w:r>
        <w:rPr>
          <w:rtl w:val="true"/>
        </w:rPr>
        <w:t xml:space="preserve">: </w:t>
      </w:r>
      <w:r>
        <w:rPr>
          <w:rtl w:val="true"/>
        </w:rPr>
        <w:t>المراحل التاريخيّة لتشكّل المدرسة النَّقْدِيَّة</w:t>
      </w:r>
      <w:bookmarkEnd w:id="30"/>
    </w:p>
    <w:p>
      <w:pPr>
        <w:pStyle w:val="BookText"/>
        <w:rPr/>
      </w:pPr>
      <w:r>
        <w:rPr>
          <w:rFonts w:ascii="Amiri" w:hAnsi="Amiri" w:eastAsia="Amiri" w:cs="Amiri"/>
          <w:color w:val="111111"/>
          <w:sz w:val="28"/>
          <w:sz w:val="28"/>
          <w:szCs w:val="28"/>
          <w:rtl w:val="true"/>
          <w:lang w:bidi="ar-SA"/>
        </w:rPr>
        <w:t>من المعلوم أنّ المشهد الثقافي الألماني إبّان الحرب العالميّة الثانية كان مضطربًا، وقاتمًا، ونقديًّا جدًّا، فقد انتهت تلك الحرب مخلِّفة وراءها ألمانيا مدمّرة، كانت الجراح لا تزال تنزف، والكارثة قد أحاطت بالرّوح الألمانيّة التي شعرت بأنّها قد تُركت إلى المجهول بعد أن أضاعت كلّ شيءٍ، هويّتها ومكانتها، بل وربّا تراثها الفلسفيّ العريق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يتجلَّ هذا الإحساس بالضياع في موقف الفيلسوف الألماني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كارل ياسبيرس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YaspersKarl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الذي أعلن حينها فقدهم كلّ شيءٍ تقريباً من وضعٍ إقليميٍّ، وقوّةٍ اقتصاديّةٍ وسلامةٍ جسديّةٍ، والأسوأ من هذا كلّه المعايير المُلزِمة التي تقرّب الكرامة الأخلاقيّة من المشاعر لتكوين شعب، ويرثي ياسبيرس حكوماتهم التي اختفت دون أن تنبس ببنت شفةٍ، معلنًا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أسفٍ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الأمّة الألمانيّة لم تَعُد موجودة، وأنّه قد صار لزامًا عليهم أن يلتمسوا الإذن من أجل فعل أدنى تصرّفٍ</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ويتّضح من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ياسبيرس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عجز الفلسفة عن منع الكارثة، وهي أمام هذا الوضع تجد نفسها بين خيارين اثنين؛ فإمّا أن تواجه واقعها ذاك دون القفز فوقه، وفي مثل هذه الحالة تُخْلِ الأسئلة النَّظَرِيَّة مكانها شيئًا فشيئًا أمام أسئلة ذات طابعٍ عمليٍّ؛ بحيث تجد الفلسفة نفسها منخرطةً في مهمّة تغيير العالم على الطريقة </w:t>
      </w:r>
    </w:p>
    <w:p>
      <w:pPr>
        <w:pStyle w:val="BookText"/>
        <w:rPr/>
      </w:pPr>
      <w:r>
        <w:rPr>
          <w:rFonts w:ascii="Amiri" w:hAnsi="Amiri" w:eastAsia="Amiri" w:cs="Amiri"/>
          <w:color w:val="111111"/>
          <w:sz w:val="28"/>
          <w:sz w:val="28"/>
          <w:szCs w:val="28"/>
          <w:rtl w:val="true"/>
          <w:lang w:bidi="ar-SA"/>
        </w:rPr>
        <w:t>المَارْكِسِيَّة، بدلً من الاكتفاء بتأمّله على طريقة هيغل، وإمّا أن تتمرّد على واقعها السوداويّ الذي وجدت نفسها فيه، وذلك بلجوئها إلى النقد الجذريّ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هذا الوضع المتردّي ظهرت النظريّات النَّقْدِيَّة وتبلورت داخل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مركز البحوث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معهد البحوث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تأسّس بقرارٍ من وزارة التربية بتاريخ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نوفمبر </w:t>
      </w:r>
      <w:r>
        <w:rPr>
          <w:rFonts w:eastAsia="Amiri" w:cs="Amiri" w:ascii="Amiri" w:hAnsi="Amiri"/>
          <w:color w:val="111111"/>
          <w:sz w:val="28"/>
          <w:szCs w:val="28"/>
          <w:lang w:bidi="ar-SA"/>
        </w:rPr>
        <w:t>1923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وافتتح رسميًّا في يونيو </w:t>
      </w: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ذلك المعهد الذي شكّل النواة التنظيميّة الأولى لمدرسة فرانكفورت، وذلك بالاتّفاق مع معهد الأبحاث الاجتماعية، الذي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جرلاش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Gerlach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قد اقترح إنشاءه منذ عام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1922</w:t>
      </w:r>
    </w:p>
    <w:p>
      <w:pPr>
        <w:pStyle w:val="BookText"/>
        <w:rPr/>
      </w:pPr>
      <w:r>
        <w:rPr>
          <w:rFonts w:ascii="Amiri" w:hAnsi="Amiri" w:eastAsia="Amiri" w:cs="Amiri"/>
          <w:color w:val="111111"/>
          <w:sz w:val="28"/>
          <w:sz w:val="28"/>
          <w:szCs w:val="28"/>
          <w:rtl w:val="true"/>
          <w:lang w:bidi="ar-SA"/>
        </w:rPr>
        <w:t xml:space="preserve">ويرجع الفضل في تأسيس هذا المعهد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فليكس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فايل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Félix j .Weil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فريدريك بولوك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F.pollok</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ماكس هوركايمر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ولقد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فليكس فايل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بالتّعاون مع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هيرمان فايل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بتمويل المعهد ماليًّا من حيث إعداد المبنى اللّئق، والالتزام برواتب العاملين فيه، وفي سبتمبر عام </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فليكس فايل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بيانًا بشأن ميلاد المعهد الجديد</w:t>
      </w:r>
      <w:r>
        <w:rPr>
          <w:rFonts w:eastAsia="Amiri" w:cs="Amiri" w:ascii="Amiri" w:hAnsi="Amiri"/>
          <w:color w:val="111111"/>
          <w:sz w:val="28"/>
          <w:szCs w:val="28"/>
          <w:rtl w:val="true"/>
          <w:lang w:bidi="ar-SA"/>
        </w:rPr>
        <w:t>.</w:t>
      </w:r>
      <w:r>
        <w:rPr>
          <w:rStyle w:val="FootnoteAnchor"/>
          <w:rtl w:val="true"/>
        </w:rPr>
        <w:footnoteReference w:id="13"/>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كانت نشأة المعهد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مبادرةً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فليكس فايل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نظّم أوّل أسبوعِ عملٍ ماركسيٍّ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Erstmarxistische arbeitswoche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ايلمونو</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Ilmeneau</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تورينغ </w:t>
      </w:r>
      <w:r>
        <w:rPr>
          <w:rFonts w:eastAsia="Times New Roman" w:cs="Times New Roman" w:ascii="Times New Roman" w:hAnsi="Times New Roman"/>
          <w:color w:val="111111"/>
          <w:sz w:val="28"/>
          <w:szCs w:val="28"/>
          <w:lang w:val="en-US" w:bidi="en-US"/>
        </w:rPr>
        <w:t>Thuringe</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خلال صيف عام </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شارك فيه لوكاش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Luckacs</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وكورش</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Korsch</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وبولوك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Pollock</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وفيتفوجل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Wittfogel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وقد وُلدت هناك فكرة مؤسّسة على شكلِ معهدٍ مستقلٍّ للأبحاث يستفيد من هبة هيرمان فايل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فليكس فايل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العقد المُبرَم مع وزارة التربية كما بيّنا سلفًا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فليكس فايل</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أوّل من فكّر في خلق كوادر أكاديميّة لمتابعة البحوث في الفكر الْمَرْكِسِِّ والنظرِيّة النَّقْدِيَّة فيه بغية تجديد طاقتها الراديكاليّة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واجه المعهد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إنشائه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مشكلةً كبيرةً تكمن فيمن سيترأّس المعهد؛ حيث كانت اللوائح تشترط فيمن يتولّ رئاسة المعهد أن يكون حائزًا على درجة الأستاذيّة</w:t>
      </w:r>
      <w:r>
        <w:rPr>
          <w:rStyle w:val="FootnoteAnchor"/>
          <w:rtl w:val="true"/>
        </w:rPr>
        <w:footnoteReference w:id="15"/>
      </w:r>
      <w:r>
        <w:rPr>
          <w:rFonts w:ascii="Amiri" w:hAnsi="Amiri" w:eastAsia="Amiri" w:cs="Amiri"/>
          <w:color w:val="111111"/>
          <w:sz w:val="28"/>
          <w:sz w:val="28"/>
          <w:szCs w:val="28"/>
          <w:rtl w:val="true"/>
          <w:lang w:bidi="ar-SA"/>
        </w:rPr>
        <w:t xml:space="preserve">، وهذا ما كان يفتقر إليه المؤسّسون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فايل، بولوك، هوركايمر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لذلك لم يكن أيٌّ من المفكرين الثلاثة مؤهّلً لتولّ هذا المنصب، ومن ثمّ اقترح فايل </w:t>
      </w:r>
    </w:p>
    <w:p>
      <w:pPr>
        <w:pStyle w:val="BookText"/>
        <w:rPr/>
      </w:pPr>
      <w:r>
        <w:rPr>
          <w:rFonts w:ascii="Amiri" w:hAnsi="Amiri" w:eastAsia="Amiri" w:cs="Amiri"/>
          <w:color w:val="111111"/>
          <w:sz w:val="28"/>
          <w:sz w:val="28"/>
          <w:szCs w:val="28"/>
          <w:rtl w:val="true"/>
          <w:lang w:bidi="ar-SA"/>
        </w:rPr>
        <w:t xml:space="preserve">ترشيح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ألبرت جيرلاخ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Gerlach kurt Albert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كمديرٍ للمعهد؛ إلاّ أنّ جيرلاخ مات فجأة في أكتوبر </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يتولّ مهام منصبه الجديد، ومن هنا اتجّه فايل إلى التفاوض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كارل جرونبرغ</w:t>
      </w:r>
      <w:r>
        <w:rPr>
          <w:rStyle w:val="FootnoteAnchor"/>
          <w:rtl w:val="true"/>
        </w:rPr>
        <w:footnoteReference w:id="16"/>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وتمّ الاتفّاق بين الجميع وأصبح جرونبرغ مديرًا رسميًّا للمعهد عام </w:t>
      </w:r>
      <w:r>
        <w:rPr>
          <w:rFonts w:eastAsia="Amiri" w:cs="Amiri" w:ascii="Amiri" w:hAnsi="Amiri"/>
          <w:color w:val="111111"/>
          <w:sz w:val="28"/>
          <w:szCs w:val="28"/>
          <w:lang w:bidi="ar-SA"/>
        </w:rPr>
        <w:t>1923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تولِّ الإشراف على المعهد من طرف جرونبرغ، جعل بعض الباحثين يعتبرون فترة رئاسته للمعهد مرحلة أولى من مراحل المدرسة، من بينهم الباحث حسن حماد</w:t>
      </w:r>
      <w:r>
        <w:rPr>
          <w:rStyle w:val="FootnoteAnchor"/>
          <w:rtl w:val="true"/>
        </w:rPr>
        <w:footnoteReference w:id="17"/>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النظرية النَّقْدِيَّة لمدرسة فرَانْكِفُورْتْ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ماركوز نموذجًا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حاول أن يقف فيه على مميّزات هذه المرحلة من مراحل المدرسة وأهمّ إنجازاتها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تميّزت تلك المرحلة بسمةٍ ماركسيّةٍ واضحةٍ، وقد ظهر هذا للوهلة الأولى التي ألقى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جرونبرج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محاضرته في افتتاح المعهد؛ حيث أظهر نوعًا من التعاطف مع التوجُّه الماركسيّ، وصرّح بمعارضته للنظام الِجْتِمَعِيِّ والاقتصاديّ القائمين كما صرّح بانتمائه الفكريّ للمَرْكِسِيَّة، إلاّ أنّه لم يغفل عن التأكيد على كون التوجّه الْمَرْكِسِِّ لا يجب أن يُفهم بأيّ معنى سياسي حزبي، ولكن فقط بالمعنى العلمي الأكاديمي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حاول أن يقف على أهمّ المساهمات العلميّة التي اتّسمت بها فترة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جرونبرج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قدّمها الباحثون الشباب في المعهد؛ منها أوّل المنشورات الرئيسة من إصدارات المعهد الذي تمثّل في البحث الذي قدّمه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هنريك جروسمان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 .Grossman</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 وكان موضوعه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قانون التراكم والتّدهور في النّظام الرأسماليّ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بيّ فيه أنّ التّدهور الاقتصادي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يضمن الثورة؛ إذ إنّ الثورة تحدث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التَّدَخُّل الفاعل للطبقة العاملة، وكان ثاني المنشورات الرئيسة من إصدارات المعهد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تجارب التخطيط الاقتصادي في الحكومة السوفياتية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لمؤلّفه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فريدريك بولوك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البحث تناول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المفهوم الْمَرْكِسِِّ للشيوعيّة في ضوء تجربة تاريخية عينيّة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والعمل الأخير المتميّز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فترة رئاسة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جرونبرج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كارل أوجست فيتفوجل </w:t>
      </w:r>
      <w:r>
        <w:rPr>
          <w:rFonts w:eastAsia="Times New Roman" w:cs="Times New Roman" w:ascii="Times New Roman" w:hAnsi="Times New Roman"/>
          <w:color w:val="111111"/>
          <w:sz w:val="28"/>
          <w:szCs w:val="28"/>
          <w:lang w:val="en-US" w:bidi="en-US"/>
        </w:rPr>
        <w:t>Karl August .Wit�(» tfogel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الذي نُشر عام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وموضوعه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الاقتصاد والمجتمع في الصين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ركز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فيتفوجل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البحث على مشكلات البناء الفوقيّ بما تتضمّنه من قضايا كالإيديولوجيا والوعي الطبقي</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 xml:space="preserve">ولقد انصبّ اهتمام المعهد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الفترة التي تولّ فيها جرونبرج الإشراف عليه في 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ستّة موضوعات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الماديّة التاريخيّة، والأساس الفلسفي للمَرْكِسِيَّة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الاقتصاد السياسيّ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مشكلات الاقتصاد المخطّط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مهام البروليتاريا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علم الاجتماع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تاريخ المذاهب والأحزاب الاشتراكيّة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انتهت المرحلة الأولى عام </w:t>
      </w:r>
      <w:r>
        <w:rPr>
          <w:rFonts w:eastAsia="Amiri" w:cs="Amiri" w:ascii="Amiri" w:hAnsi="Amiri"/>
          <w:color w:val="111111"/>
          <w:sz w:val="28"/>
          <w:szCs w:val="28"/>
          <w:lang w:bidi="ar-SA"/>
        </w:rPr>
        <w:t>1929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جاوز البروفيسور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جرونبرج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الستين وساءت حالته الصحِّية؛ فقرّر التنازل عن منصب إدارة المعهد وبقيّة المناصب الأكاديميّة الأخرى التي كان يشغلها كأستاذٍ متخصّصٍ، وبذلك وجد المعهد نفسه من جديدٍ يواجه مشكلة اختيار رئيسٍ له، وقد عُرض المنصب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لكنّه اعتذر لإيثاره أن يكون مسؤولً عن القضايا الإداريّة للمعهد على أن يكون رئيسًا له،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فليكس فايل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آثر أن يبقى عمله محصورًا فيما يتعلّق بالتمويل والميزانيّة الماليّة للمعهد، وفي هذه الحالة لم يتبقّ 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هوركايمر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بدا كمرشحٍ وحيدٍ بلا منازع لاحتلال المنصب الجديد</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نجد من المتحمّسين لتأسيسِ معهدٍ دائمٍ من أجل القيام بالدراسات الْمَرْكِسِيَّة والسياسية والسوسيولوجية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فريديريك بولوك </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 xml:space="preserve">الصديق الحميم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ربطته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الحرب في عام </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علاقة صداقة حميمة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ماكس هوركايمر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أصبح </w:t>
      </w:r>
    </w:p>
    <w:p>
      <w:pPr>
        <w:pStyle w:val="BookText"/>
        <w:rPr/>
      </w:pPr>
      <w:r>
        <w:rPr>
          <w:rFonts w:ascii="Amiri" w:hAnsi="Amiri" w:eastAsia="Amiri" w:cs="Amiri"/>
          <w:color w:val="111111"/>
          <w:sz w:val="28"/>
          <w:sz w:val="28"/>
          <w:szCs w:val="28"/>
          <w:rtl w:val="true"/>
          <w:lang w:bidi="ar-SA"/>
        </w:rPr>
        <w:t xml:space="preserve">بعد ذلك من أوائل المتحمّسين لفكرة إنشاء المعهد، بل ومساندًا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إنشاء مؤسّسة أكاديميّة للبحوث الاجتماعية</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وبتولّ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ماكس هوركايمر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رئاسة المعهد بشكلٍ رسميٍّ في يناير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وتبدأ المرحلة الثانية من مراحل مدرسة فرانكفورت؛ تلك التي يُطلق عليها مرحلة النضج، بحيث أصبح لمعهد فرَانْكِفُورْتْ طابع جديد ومحدّد يختلف عن مرحلة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جرونبرج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اتّسمت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أشرنا سالفًا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بنوعٍ من الالتزام بالمَارْكِسِيَّة الأرثوذكسية؛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جرونبرج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يتعامل مع الْمَرْكِسِيَّة بوصفها علمً، وبشكلٍ عامٍ فقد ندرت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الدراسات الفلسفية،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هوركايمر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الرَّغْمِ من إقراره النظريّ بأنّ مشروع معهده هو الماديّة التاريخيّة، إلاّ أنهّ في ا وقع الأمر قد جعل من الفلسفة الموضوع الئريس للنظرية الِجْتِمَعِيِّة النقديّة</w:t>
      </w:r>
      <w:r>
        <w:rPr>
          <w:rStyle w:val="FootnoteAnchor"/>
          <w:rtl w:val="true"/>
        </w:rPr>
        <w:footnoteReference w:id="22"/>
      </w:r>
      <w:r>
        <w:rPr>
          <w:rFonts w:ascii="Amiri" w:hAnsi="Amiri" w:eastAsia="Amiri" w:cs="Amiri"/>
          <w:color w:val="111111"/>
          <w:sz w:val="28"/>
          <w:sz w:val="28"/>
          <w:szCs w:val="28"/>
          <w:rtl w:val="true"/>
          <w:lang w:bidi="ar-SA"/>
        </w:rPr>
        <w:t xml:space="preserve">التي اهتمّت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بتحليل البُنى الِجْتِمَعِيِّة والاقتصاديّة للمجتمع القائم، ويظهر هذا الاهتمام بالجانب الفلسفيّ النقديّ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هوركايمر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مقاله الافتتاحيّ للمعهد الذي كان عنوانه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الحالة الراهنة للفلسفة الِجْتِمَعِيِّة وواجبات معهد الأبحاث الاجتماعية</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جانب اهتمام مرحلة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هوركايمر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بالجانب الفلسفيّ فقد </w:t>
      </w:r>
    </w:p>
    <w:p>
      <w:pPr>
        <w:pStyle w:val="BookText"/>
        <w:rPr/>
      </w:pPr>
      <w:r>
        <w:rPr>
          <w:rFonts w:ascii="Amiri" w:hAnsi="Amiri" w:eastAsia="Amiri" w:cs="Amiri"/>
          <w:color w:val="111111"/>
          <w:sz w:val="28"/>
          <w:sz w:val="28"/>
          <w:szCs w:val="28"/>
          <w:rtl w:val="true"/>
          <w:lang w:bidi="ar-SA"/>
        </w:rPr>
        <w:t xml:space="preserve">تميَّزت بالاهتمام المتزايد بالأبحاث السيكولوجية وخاصّةً التحليل النفسيّ الفرويديّ الذي جرى مزجه بالفكر الماركسيّ؛ ففي عام </w:t>
      </w: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هوركايمر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بكتابة مقال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التاريخ وعلم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نشره في الطبعة الأولى لجريدة المعهد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Zeitschrift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وفي هذا المقال يؤكّد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هوركايمر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علم النفس الفرديّ ذو أهميّةٍ كبيرةٍ في فهم التاريخ</w:t>
      </w:r>
      <w:r>
        <w:rPr>
          <w:rFonts w:eastAsia="Amiri" w:cs="Amiri" w:ascii="Amiri" w:hAnsi="Amiri"/>
          <w:color w:val="111111"/>
          <w:sz w:val="28"/>
          <w:szCs w:val="28"/>
          <w:rtl w:val="true"/>
          <w:lang w:bidi="ar-SA"/>
        </w:rPr>
        <w:t>.</w:t>
      </w:r>
      <w:r>
        <w:rPr>
          <w:rStyle w:val="FootnoteAnchor"/>
          <w:rtl w:val="true"/>
        </w:rPr>
        <w:footnoteReference w:id="24"/>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الطّابع الجديد الذي اتّسمت به مدرسة فرانكفورت مع إدارة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هوركايمر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يعني أن تغ ريّ النظرة قد تمّ دفعةً واحدةً، بل كان ضربًا من التّطوّر التدريجيّ، فلقد 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هوركايمر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ىل كث ريٍ من افتراضات سلفه الْمَرْكِسِيَّة ولكن مع إدخال تغي رياتٍ دقيقةٍ عليها، ففي خطابه الافتتاحيّ، وبخ الف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جرون ربغ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 يقل أنّ كلّ تعب ري من تعاب ري حياة المجتمع هو انعكاسٌ لحالة الحياة الاقتصاديّة، بل قلب هذا الزّعم بما قلّ ودلّ، داعيًا مثل هذه النظرة بالمَارْكِسِيَّة الرديئة، دون أن يذكر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جرون ربغ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الصدد، وقد أعلن أنّه من الخطأ أن نعتقد أنّ الأفكار أو المضام ني الروحية تقتحم التاريخ وتحدّد فعل الكائنات البشريّة، ك ام أنّه من الخطأ أن نعتقد أنّ الاقتصاد هوالواقع الحقيقي الوحيد</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هناك اختلافات حاسمة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تفصّل بين المشروع الْمَرْكِسِِّ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جرونبرغ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مشروع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هوركايمر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ما بين اختلاف في السنّ، وفي الجيل، وفي التكوين الفكريّ، وفي المزاج</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وبهذا الشّكل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هوركايمر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ينفتح المعهد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آفاق معرفيّة أخرى كالفرويديّة والظاهراتيّة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Phenomenology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سعيٍ دؤوبٍ منه إلى مزيدٍ من الاهتمام بالجوانب الثقافيّة والأيديولوجيّة؛ اتّساقًا مع التغيّات الِجْتِمَعِيِّة التي انتابت ألمانيا وأوروبا والغرب خلال تلك الفترة، وهو ما يشير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مارتن جاي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إنّه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من الممكن الحديث بأنّ المعهد قد اهتمّ أساسًا خلال سنوات تكوينه الأولى بتحليل البنى الِجْتِمَعِيِّة الاقتصاديّة للمجتمع البرجوازيّ؛ فقد وجّه اهتمامه بعد عام </w:t>
      </w: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بناه الفوقيّة الثقافية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شهدت المرحلة السابقة بعض الإسهامات العلميّة، كذلك شهدت المرحلة التي تولّ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هوركايمر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رئاسة المعهد عددًا من الإسهامات؛ وكان أوّل هذه الإسهامات، تلك الدراسة التي قام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فرانز بوركينا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التحوّل من النظرة الإقطاعيّة للعالم إلى النظرة البرجوازيّة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العمل الثاني المتميّز في تلك الفترة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دراسات في السلطة والأسرة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والكتاب عبارة عن دراسة جماعيّة اشترك فيها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هوركايمر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ErichFromm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ماركوز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Herbert Mar</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cuse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وكان عبارة عن دراسةٍ تحضيريّةٍ لدراسةٍ أخرى ظهرت عام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الشخصيّة المتسلِّطة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ولقد اهتمّت الدراسة الأولى بتحليل الأسس السيكولوجيّة للسلطة، وهدفت إلى تقديم تفسير ملائم لصعود التيّار الفاشي وازدهاره في دول أوروبا</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ومع وصول هتلر إلى الحكم في آذار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إغلاق المعهد؛ إذ كان من المتعذَّر استمرار نشاطه في ظلّ الحكم النازي لسببَيْ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يتعلّق بالطبيعة الْمَرْكِسِيَّة لنشاطه الفكري، ويتمثّل الثاني في أنّ غالبيّة روّاد المعهد كانوا من اليهود، وقد غادر أعضاؤه إلى بعض العواصم الأوروبية، ومن بينهم هوركايمر الذي أدرك خطورة الموقف الذي سيواجه المعهد حال استمراره؛ فسافر إلى جنيف واستقرّ في فرع المعهد الذي كان قد فتحه هناك، ثم هيّأ الظروف اللازمة لسفر بقيّة أعضاء المعهد، وتولّ إدارة ملحق المعهد في جنيف، في الحين ذاته الذي تمّ فيه افتتاح الملحقين الصغيرين عام </w:t>
      </w: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باريس ولندن تحت رعاية الهوركهاميين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بوغلي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Bouglé</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هالبواش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Halbwach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برغسون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Bergson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وصدرت ال </w:t>
      </w:r>
      <w:r>
        <w:rPr>
          <w:rFonts w:eastAsia="Times New Roman" w:cs="Times New Roman" w:ascii="Times New Roman" w:hAnsi="Times New Roman"/>
          <w:color w:val="111111"/>
          <w:sz w:val="28"/>
          <w:szCs w:val="28"/>
          <w:lang w:val="en-US" w:bidi="en-US"/>
        </w:rPr>
        <w:t>Zeitschrift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باريس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فليكس ألكان </w:t>
      </w:r>
      <w:r>
        <w:rPr>
          <w:rFonts w:eastAsia="Times New Roman" w:cs="Times New Roman" w:ascii="Times New Roman" w:hAnsi="Times New Roman"/>
          <w:color w:val="111111"/>
          <w:sz w:val="28"/>
          <w:szCs w:val="28"/>
          <w:lang w:val="en-US" w:bidi="en-US"/>
        </w:rPr>
        <w:t>Alcan(» Félix )</w:t>
      </w:r>
      <w:r>
        <w:rPr>
          <w:rFonts w:ascii="Amiri" w:hAnsi="Amiri" w:eastAsia="Amiri" w:cs="Amiri"/>
          <w:color w:val="111111"/>
          <w:sz w:val="28"/>
          <w:sz w:val="28"/>
          <w:szCs w:val="28"/>
          <w:rtl w:val="true"/>
          <w:lang w:bidi="ar-SA"/>
        </w:rPr>
        <w:t xml:space="preserve">، من سنة </w:t>
      </w: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1940</w:t>
      </w:r>
      <w:r>
        <w:rPr>
          <w:rFonts w:eastAsia="Amiri" w:cs="Amiri" w:ascii="Amiri" w:hAnsi="Amiri"/>
          <w:color w:val="111111"/>
          <w:sz w:val="28"/>
          <w:szCs w:val="28"/>
          <w:rtl w:val="true"/>
          <w:lang w:bidi="ar-SA"/>
        </w:rPr>
        <w:t xml:space="preserve"> .</w:t>
      </w:r>
      <w:r>
        <w:rPr>
          <w:rStyle w:val="FootnoteAnchor"/>
          <w:rtl w:val="true"/>
        </w:rPr>
        <w:footnoteReference w:id="29"/>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ولم تدم فترة بقاء المعهد في سويسرا طويلً؛ فقد كان وجوده في جنيف حالة مؤقّتة، خاصّةً أنّ التيّار النازي قد امتدّ إلى سويسرا أيضًا، وأصبح المعهد مهدّدًا مرّة أخرى، ولم يعد هناك إلاّ حلّ واحد هو نقل المعهد إلى الولايات المتحدة الأميركية، وبالفعل تمّ ذلك عام </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وبدأ الأعضاء يتوافدون على المعهد تباعًا من جنيفوباريس ولندن</w:t>
      </w:r>
      <w:r>
        <w:rPr>
          <w:rFonts w:eastAsia="Amiri" w:cs="Amiri" w:ascii="Amiri" w:hAnsi="Amiri"/>
          <w:color w:val="111111"/>
          <w:sz w:val="28"/>
          <w:szCs w:val="28"/>
          <w:rtl w:val="true"/>
          <w:lang w:bidi="ar-SA"/>
        </w:rPr>
        <w:t>.</w:t>
      </w:r>
      <w:r>
        <w:rPr>
          <w:rStyle w:val="FootnoteAnchor"/>
          <w:rtl w:val="true"/>
        </w:rPr>
        <w:footnoteReference w:id="30"/>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يحافظ المعهد على تسميته الحقيقيّة عندما انتقل إلى الولايات المتّحدة الأميركية وإنّا نُقل إلى نيويورك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المدرسة الجديدة للبحث الاجتماعيّ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ليستقرّ بعد ذلك في الحرم الجامعي </w:t>
      </w:r>
    </w:p>
    <w:p>
      <w:pPr>
        <w:pStyle w:val="BookText"/>
        <w:rPr/>
      </w:pPr>
      <w:r>
        <w:rPr>
          <w:rFonts w:ascii="Amiri" w:hAnsi="Amiri" w:eastAsia="Amiri" w:cs="Amiri"/>
          <w:color w:val="111111"/>
          <w:sz w:val="28"/>
          <w:sz w:val="28"/>
          <w:szCs w:val="28"/>
          <w:rtl w:val="true"/>
          <w:lang w:bidi="ar-SA"/>
        </w:rPr>
        <w:t xml:space="preserve">لجامعة كولومبيا، ثمّ ما لبثوا أن انتقلوا عام </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لوس أنجلوس</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فإذا كانت التسمية تأثّرت بهذا الانتقال من ألمانيا إلى المنفى، فهل تأثّر روّاد المدرسة بانتقالهم إلى المنفى؟، وهل أثّرت حالة المنفى والابتعاد عن الوطن الأم في إسهاماتهم الفكريّة؟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شكّ أنّ هجرة أعضاء المعهد إلى الولايات المتحدة الأميركية قد أثّرت بشكل أو بآخر في أعمالهم؛ لذلك فإنّه مع انتهاء الحرب العالمية الثانية، وغروب النظم الفاشية والنازية بدأوا تحليلً جذريًّا للمجتمع الرأسماليّ الذي رأوا نمط صعوده الجديد في الولايات المتّحدة، خاصّةً مع تنامي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المعجزة الاقتصادية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كوّنت رأسماليّة قويّة، حالت دون فعاليّة الطبقة العاملة في تحقيق أهدافها، وهذا ما يُفسِّ توجّه بحوث المعهد هناك إلى قضايا عديدة في هذا المجتمع، كقضيّة السيطرة الشاملة، والقضاء على قيمة الفرديّة، والقهر التقني، وصناعة الثقافة</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أعوام المنفى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تقلّل من شأن أو فاعليّة النّشاط الفكريّ لأعضاء المعهد، وحسبنا أن نذكر أنّ فترة الثلاثينيات والأربعينيات والخمسينيات قد شهدت عدّة دراسات مهمّة شكّلت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مجموعها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نسمّيه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النَّظَرِيَّة النَّقْدِيَّة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ولعلّ من أبرز هذه الدّراسات تلك الدّراسة التي نشرها هوركايمر عام </w:t>
      </w:r>
      <w:r>
        <w:rPr>
          <w:rFonts w:eastAsia="Amiri" w:cs="Amiri" w:ascii="Amiri" w:hAnsi="Amiri"/>
          <w:color w:val="111111"/>
          <w:sz w:val="28"/>
          <w:szCs w:val="28"/>
          <w:lang w:bidi="ar-SA"/>
        </w:rPr>
        <w:t>1937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النظرية التقليدية والنظريّة النقديّة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العام نفسه نشر ماركوز </w:t>
      </w:r>
    </w:p>
    <w:p>
      <w:pPr>
        <w:pStyle w:val="BookText"/>
        <w:rPr/>
      </w:pPr>
      <w:r>
        <w:rPr>
          <w:rFonts w:ascii="Amiri" w:hAnsi="Amiri" w:eastAsia="Amiri" w:cs="Amiri"/>
          <w:color w:val="111111"/>
          <w:sz w:val="28"/>
          <w:sz w:val="28"/>
          <w:szCs w:val="28"/>
          <w:rtl w:val="true"/>
          <w:lang w:bidi="ar-SA"/>
        </w:rPr>
        <w:t xml:space="preserve">دراسة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الفلسفة والدّراسة النَّقْدِيَّة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عام </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ماركوز باللّغة الإنجليزية أهمّ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العقل والثورة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العام ذاته نشر هوركايمر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خسوف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كتاب فروم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الخوف من الحريّة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عام </w:t>
      </w:r>
      <w:r>
        <w:rPr>
          <w:rFonts w:eastAsia="Amiri" w:cs="Amiri" w:ascii="Amiri" w:hAnsi="Amiri"/>
          <w:color w:val="111111"/>
          <w:sz w:val="28"/>
          <w:szCs w:val="28"/>
          <w:lang w:bidi="ar-SA"/>
        </w:rPr>
        <w:t>1944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أصدر هوركايمر بالاشتراك مع أدورنو كتابًا مهمًّ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ديالكتيك التنوير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هذه الإسهامات الفِْكْرِيةَّ التي أشرنا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مَعين الإنتاج الفكري لأعضاء المعهد لم ينضب حتى وهم منفيُّون عن ألمانيا، بل كان خصبًا مستمرًّا يبرز من خلال إسهامات أخرى للأعضاء انفسهم السالف ذكرهم، ككتاب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أيروس والحضارة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لماركوز سنة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وكتابه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الماَرْكسِِيةَّ السوفيتية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ولعلّ الهدف من ذكر هذه المؤلفات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لأعضاء مدرسة فرانكفورت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لاقت استقبالً حارًّا من الأكاديميات الأميركية والإنجليزيّة، سواءً في عهد هوركايمر أو في مرحلة المنفى هو أنّها قد شهدت توسُّعًا وتطوّرًا ملحوظًا في موضوعات النّقد، واستطاعت أن تبلور بصورةٍ فعليّةٍ نظريّةً نقديّةً متكاملة الملامح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ويمكننا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نهاية هذا المبحث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هؤلاء المفكّرين يتبوّؤون مكانةً فريدةً في الحياة الْفِكْرِيَّة الألمانية، ويحتلّون بقوّة جزءًا من النقاشات الثقافيّة والسياسيّة في الساحة الْفِكْرِيَّة الألمانيّة خاصّة، والساحة الغربية عامّة، كما يمكننا الاعتراف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نهاية هذا المبحث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نشأة مدرسة فرانكفورت كانت صعبةً للغاية، وذلك بالرجوع إلى الظرو ف الصعبة التي اكتنفت وصاحبت هذه النشأة</w:t>
      </w:r>
      <w:r>
        <w:rPr>
          <w:rFonts w:eastAsia="Amiri" w:cs="Amiri" w:ascii="Amiri" w:hAnsi="Amiri"/>
          <w:color w:val="111111"/>
          <w:sz w:val="28"/>
          <w:szCs w:val="28"/>
          <w:rtl w:val="true"/>
          <w:lang w:bidi="ar-SA"/>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 w:name="pg16380_210305"/>
      <w:bookmarkStart w:id="32" w:name="pg16380_210305"/>
      <w:bookmarkEnd w:id="32"/>
    </w:p>
    <w:p>
      <w:pPr>
        <w:pStyle w:val="Heading2"/>
        <w:numPr>
          <w:ilvl w:val="1"/>
          <w:numId w:val="1"/>
        </w:numPr>
        <w:rPr/>
      </w:pPr>
      <w:bookmarkStart w:id="33" w:name="pg16380_210305"/>
      <w:bookmarkStart w:id="34" w:name="__RefHeading___Toc6736750_1280447820"/>
      <w:bookmarkStart w:id="35" w:name="_Toc10"/>
      <w:bookmarkEnd w:id="33"/>
      <w:bookmarkEnd w:id="34"/>
      <w:r>
        <w:rPr>
          <w:rtl w:val="true"/>
        </w:rPr>
        <w:t xml:space="preserve">الفصل الثاني </w:t>
      </w:r>
      <w:r>
        <w:rPr>
          <w:rtl w:val="true"/>
        </w:rPr>
        <w:t xml:space="preserve">: </w:t>
      </w:r>
      <w:r>
        <w:rPr>
          <w:rtl w:val="true"/>
        </w:rPr>
        <w:t>روّاد مدرسة فرانكفورت ومؤسّسوها</w:t>
      </w:r>
      <w:bookmarkEnd w:id="35"/>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 w:name="__RefHeading___Toc6736752_1280447820"/>
      <w:bookmarkStart w:id="37" w:name="_Toc11"/>
      <w:bookmarkEnd w:id="36"/>
      <w:r>
        <w:rPr>
          <w:rtl w:val="true"/>
        </w:rPr>
        <w:t>اشارة</w:t>
      </w:r>
      <w:bookmarkEnd w:id="37"/>
    </w:p>
    <w:p>
      <w:pPr>
        <w:pStyle w:val="BookText"/>
        <w:rPr/>
      </w:pPr>
      <w:r>
        <w:rPr>
          <w:rFonts w:ascii="IRNazanin" w:hAnsi="IRNazanin" w:eastAsia="IRNazanin"/>
          <w:color w:val="111111"/>
          <w:sz w:val="28"/>
          <w:sz w:val="28"/>
          <w:szCs w:val="28"/>
          <w:rtl w:val="true"/>
          <w:lang w:bidi="fa-IR"/>
        </w:rPr>
        <w:t>مدخل</w:t>
      </w:r>
    </w:p>
    <w:p>
      <w:pPr>
        <w:pStyle w:val="BookText"/>
        <w:rPr/>
      </w:pPr>
      <w:r>
        <w:rPr>
          <w:rFonts w:ascii="Amiri" w:hAnsi="Amiri" w:eastAsia="Amiri" w:cs="Amiri"/>
          <w:color w:val="111111"/>
          <w:sz w:val="28"/>
          <w:sz w:val="28"/>
          <w:szCs w:val="28"/>
          <w:rtl w:val="true"/>
          <w:lang w:bidi="ar-SA"/>
        </w:rPr>
        <w:t xml:space="preserve">من خلال المبحث الأوّل، وقفنا على الكيفيّة التي تأسّست بموجبها مدرسة فرانكفورت ومختلف الظروف الْفِكْرِيَّة والسياسيّة التي أحاطت بهذه النشأة، وكذلك المراحل التي مرّت بها في بروزها وتكوُّنِها، من خلال الوقوف على أبرز الشخصيّات الْفِكْرِيَّة التي بذلت جهودًا جبّارة في ظلّ صعوبات وتحديّات إيديولوجيّة وسياسيّة واجهتهم، سواءً في ألمانيا أو في دول المنفى، كالأوضاع السياسيّة غير المستقرّة في ألمانيا والتي أثّرت تأثيرًا ملحوظًا على مدرسة فرانكفورت النقديّة، وبشكل خاصّ تنامي النازية، وعلى الرَّغْمِ من ذلك مكّن هؤلاء المفكّرون من إرساء القواعد الأساسيّة ت لمعهد الأبحاث ا جِْتِمَعِيِّة الذي حمل بعد مرحلة المنفى اسم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 فرانكفورت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الرَّغْمِ من العدد الكبير للمفكرين المنتسبين إلى معهد الأبحاث ا جِْتِمَعِيِّة أو مدرسة فرانكفورت الذين قاموا بتأسيس ل تيّارات واتّجاهات فلسفيّة هامّة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حسب طبيعة الموضوعات التي تخصّص في بحثها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النَّظَرِيَّة النَّقْدِيَّة التحليليّة والاتّجاه الفكريّ المميّز لهذه المدرسة قد تشكّل بفضل ثلاثة مفكّرين أساسيين فيها، كانت فلسفاتهم المحور الرئيس الذي قامت عليه الأصالة الْفِكْرِيَّة لمدرسة فرَانْكِفُورْتْ وتكاملت عبرهم نظريّتها النقدية؛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ماكس هوركايمر، تيودور أدورنو، هربرت ماركوز،</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هؤلاء</w:t>
      </w:r>
      <w:bookmarkStart w:id="38" w:name="pg16380_210307"/>
    </w:p>
    <w:p>
      <w:pPr>
        <w:pStyle w:val="BookText"/>
        <w:rPr/>
      </w:pPr>
      <w:bookmarkEnd w:id="38"/>
      <w:r>
        <w:rPr>
          <w:rFonts w:ascii="Amiri" w:hAnsi="Amiri" w:eastAsia="Amiri" w:cs="Amiri"/>
          <w:color w:val="111111"/>
          <w:sz w:val="28"/>
          <w:sz w:val="28"/>
          <w:szCs w:val="28"/>
          <w:rtl w:val="true"/>
          <w:lang w:bidi="ar-SA"/>
        </w:rPr>
        <w:t xml:space="preserve">الذين يمثّلون الجيل الأوّل للمدرسة، وذلك بإجماع الباحثين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 فرانكفورت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يمثّلون فكرها الفلسفيّ والاجتماعيّ، وروّادها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جميع مراحلها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وأجيالها</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6736754_1280447820"/>
      <w:bookmarkStart w:id="40" w:name="_Toc12"/>
      <w:bookmarkEnd w:id="39"/>
      <w:r>
        <w:rPr>
          <w:rtl w:val="true"/>
        </w:rPr>
        <w:t>المطلب الأوّل</w:t>
      </w:r>
      <w:r>
        <w:rPr>
          <w:rtl w:val="true"/>
        </w:rPr>
        <w:t xml:space="preserve">: </w:t>
      </w:r>
      <w:r>
        <w:rPr>
          <w:rtl w:val="true"/>
        </w:rPr>
        <w:t xml:space="preserve">ماكس هوركايمر </w:t>
      </w:r>
      <w:r>
        <w:rPr>
          <w:rtl w:val="true"/>
        </w:rPr>
        <w:t>(</w:t>
      </w:r>
      <w:r>
        <w:rPr/>
        <w:t>Max Horkheimer</w:t>
      </w:r>
      <w:r>
        <w:rPr>
          <w:rtl w:val="true"/>
        </w:rPr>
        <w:t>)</w:t>
      </w:r>
      <w:bookmarkEnd w:id="40"/>
    </w:p>
    <w:p>
      <w:pPr>
        <w:pStyle w:val="Heading4"/>
        <w:numPr>
          <w:ilvl w:val="3"/>
          <w:numId w:val="1"/>
        </w:numPr>
        <w:rPr/>
      </w:pPr>
      <w:bookmarkStart w:id="41" w:name="__RefHeading___Toc6736756_1280447820"/>
      <w:bookmarkStart w:id="42" w:name="_Toc13"/>
      <w:bookmarkEnd w:id="41"/>
      <w:r>
        <w:rPr>
          <w:rtl w:val="true"/>
        </w:rPr>
        <w:t>اشارة</w:t>
      </w:r>
      <w:bookmarkEnd w:id="42"/>
    </w:p>
    <w:p>
      <w:pPr>
        <w:pStyle w:val="BookText"/>
        <w:rPr/>
      </w:pPr>
      <w:r>
        <w:rPr>
          <w:rFonts w:ascii="Amiri" w:hAnsi="Amiri" w:eastAsia="Amiri" w:cs="Amiri"/>
          <w:color w:val="111111"/>
          <w:sz w:val="28"/>
          <w:sz w:val="28"/>
          <w:szCs w:val="28"/>
          <w:rtl w:val="true"/>
          <w:lang w:bidi="ar-SA"/>
        </w:rPr>
        <w:t xml:space="preserve">وُلدَِ ماكس هوركايمر في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فبراير </w:t>
      </w:r>
      <w:r>
        <w:rPr>
          <w:rFonts w:eastAsia="Amiri" w:cs="Amiri" w:ascii="Amiri" w:hAnsi="Amiri"/>
          <w:color w:val="111111"/>
          <w:sz w:val="28"/>
          <w:szCs w:val="28"/>
          <w:lang w:bidi="ar-SA"/>
        </w:rPr>
        <w:t>1895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بمدينة شتوتغارت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Stuttgart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وهو ابن أحد الصناعيين اليهود؛ فهو سليل عائلة يهوديّة ثريّة، وبتأثير عائلته ترك دراسته في المدرسة المتوسّطة وكان عمره في حدود السادسة عشر ليعمل بمصنع النسيج الذي هو ملك أبيه، ولقد التقى بفريدريك بولوك في عام </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وتواجدا معًا في باريس ثمّ في بروكسل، وقبل الحرب العالمية الأولى عاش في مانشستر، وفي عام </w:t>
      </w:r>
      <w:r>
        <w:rPr>
          <w:rFonts w:eastAsia="Amiri" w:cs="Amiri" w:ascii="Amiri" w:hAnsi="Amiri"/>
          <w:color w:val="111111"/>
          <w:sz w:val="28"/>
          <w:szCs w:val="28"/>
          <w:lang w:bidi="ar-SA"/>
        </w:rPr>
        <w:t>1917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شارك في الحرب وأُصيب فيها، ولقد أنهى دراسته الثانويّة مع صديقه بولوك وانخرطا من </w:t>
      </w:r>
      <w:r>
        <w:rPr>
          <w:rFonts w:eastAsia="Amiri" w:cs="Amiri" w:ascii="Amiri" w:hAnsi="Amiri"/>
          <w:color w:val="111111"/>
          <w:sz w:val="28"/>
          <w:szCs w:val="28"/>
          <w:lang w:bidi="ar-SA"/>
        </w:rPr>
        <w:t>1919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دراسة الفلسفة، وعلم النفس والاقتصاد السياسي بجامعة ميونخ</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 xml:space="preserve">ثم انتقلا بعد ذلك إلى جامعة فرَانْكِفُورْتْ ليدرس هو وزميله بولوك تحت إشراف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هانز كورنيلوس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Hans cornelius</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قرأ هوركايمر لكثيرٍ من الفلاسفة، نجد من بينهم الفيلسوف شوبنهاور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Schopenhouer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وكذلك تولستوي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Tolstoï</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ومن </w:t>
      </w:r>
    </w:p>
    <w:p>
      <w:pPr>
        <w:pStyle w:val="BookText"/>
        <w:rPr/>
      </w:pPr>
      <w:r>
        <w:rPr>
          <w:rFonts w:ascii="Amiri" w:hAnsi="Amiri" w:eastAsia="Amiri" w:cs="Amiri"/>
          <w:color w:val="111111"/>
          <w:sz w:val="28"/>
          <w:sz w:val="28"/>
          <w:szCs w:val="28"/>
          <w:rtl w:val="true"/>
          <w:lang w:bidi="ar-SA"/>
        </w:rPr>
        <w:t xml:space="preserve">بعدهم ماركس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Marx</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وإنجلز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Engels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وفي عام </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ناقش أطروحته للدكتوراه وكان عنوانها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الحكم عند كانط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التوسّط بين الفلسفة العمليّة والفلسفة النظريّة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إشراف هانز كورنيلوس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طريق وساطة صديقه بولوك من معهد البحث الِجْتِمَعِيِّ بفرانكفورت، بدأ التدريس عام </w:t>
      </w: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بالتقرّب من الْمَرْكِسِيَّة والحركة العمّليّة، وفي سنة </w:t>
      </w: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 أستاذًا للفلسفة الِجْتِمَعِيِّة بجامعة فرانكفورت، وفي السنة نفسها أصبح مديرًا للمعهد خلفًا لجرونبرغ، وفي عام </w:t>
      </w: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أسّس مجلة معهد الأبحاث الاجتماعية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اضطرّ هوركايمر إلى مغادرة ألمانيا عام </w:t>
      </w: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لوصول هتلر إلى سدّة الحكم؛ فهاجر إلى جنيف وباريس ونيويورك، واستمرّ في نشر مجلّة للبحث الاجتماعي، وفي الإشراف على نشر دراسات في الفلسفة والعلم الاجتماعي</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وعندما تحوّل معهد الأبحاث الِجْتِمَعِيةِّ إلى جنيف بسوي ا سر اتخّذ اسمً فرنسياًّ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الشركة الدولية للأبحاث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امتدّ إشعاعها لفرنسا وانجلترا، وفي باريس استقبل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سيلستان بوغلي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Célestin Bouglé</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هوركايمر، كذلك ألكسندر فاركيهارسن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Alexander Farquharson</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مدير مجلة </w:t>
      </w:r>
      <w:r>
        <w:rPr>
          <w:rFonts w:eastAsia="Times New Roman" w:cs="Times New Roman" w:ascii="Times New Roman" w:hAnsi="Times New Roman"/>
          <w:color w:val="111111"/>
          <w:sz w:val="28"/>
          <w:szCs w:val="28"/>
          <w:lang w:val="en-US" w:bidi="en-US"/>
        </w:rPr>
        <w:t>Revieu Sociological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بلندن كان مستقبلً لهوركايمر، وأصبحت مجلة المعهد تنشر حتى عام </w:t>
      </w:r>
      <w:r>
        <w:rPr>
          <w:rFonts w:eastAsia="Amiri" w:cs="Amiri" w:ascii="Amiri" w:hAnsi="Amiri"/>
          <w:color w:val="111111"/>
          <w:sz w:val="28"/>
          <w:szCs w:val="28"/>
          <w:lang w:bidi="ar-SA"/>
        </w:rPr>
        <w:t>1940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طرف مطبوعات فليكس ألكان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Félix Alcan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أعاد المعهد بعث نشاطه في الولايات المتحدة الأميركية بنيويورك سنة </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واستقرّ هوركايمر مع كلٍّ من ماركوز ولونثال وبولوك وفيتفوجل وفروم</w:t>
      </w:r>
      <w:r>
        <w:rPr>
          <w:rStyle w:val="FootnoteAnchor"/>
          <w:rtl w:val="true"/>
        </w:rPr>
        <w:footnoteReference w:id="38"/>
      </w:r>
      <w:r>
        <w:rPr>
          <w:rFonts w:ascii="Amiri" w:hAnsi="Amiri" w:eastAsia="Amiri" w:cs="Amiri"/>
          <w:color w:val="111111"/>
          <w:sz w:val="28"/>
          <w:sz w:val="28"/>
          <w:szCs w:val="28"/>
          <w:rtl w:val="true"/>
          <w:lang w:bidi="ar-SA"/>
        </w:rPr>
        <w:t xml:space="preserve">ثمّ انتقل إلى لوس أنجلوس بولاية كاليفورنيا، وهناك تعاون مع تيودور أدورنو على إصدار كتابهما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جدل التنوير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واستمرّ في تحرير مجلّة معهد البحث الِجْتِمَعِيِّ تحت اسمها الجديد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دراسات في الفلسفة والعلم 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 إلى فرانكفورت، وفي عام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أعاد فتح معهد البحث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واشتغل هوركايمر للسنوات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رئيسًا لجامعة فرانكفورت، واستمرّ في الوقت نفسه في التعليم الجامعي حتى تقاعد في منتصف الستينات في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ثمّ زار أميركا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عام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عام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ليحاضر في شيكاغو، وظلّ رمزًا ثقافيًّا متميّزًا حتى وفاته في نورمبرغ بتاريخ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يوليو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ودُفِنَ في المقبرة اليهوديّة في برن في سويسرا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الوقفة البيبليوغرافيّة مع الرائد الأوّل لمدرسة فرانكفورت، لا تعطينا فكرة دقيقة عن مكانة هذا المفكّر في فكر المدرسة رغم أهميّة هذه الوقفة، بحيث لا تتّضح مكانته الْفِكْرِيَّة إلاّ من خلال الوقوف على أهم إسهاماته الْفِكْرِيَّة في حقل الفلسفة والعلوم الاجتماعية، والتي تبرز من خلال مؤلّفاته وكتبه المختلفة التي سنذكر بعضها وفق ترتيبها الزمني، أي سنة إصدارها، وكذلك </w:t>
      </w:r>
      <w:bookmarkStart w:id="43" w:name="pg16380_210310"/>
    </w:p>
    <w:p>
      <w:pPr>
        <w:pStyle w:val="BookText"/>
        <w:rPr/>
      </w:pPr>
      <w:bookmarkEnd w:id="43"/>
      <w:r>
        <w:rPr>
          <w:rFonts w:ascii="Amiri" w:hAnsi="Amiri" w:eastAsia="Amiri" w:cs="Amiri"/>
          <w:color w:val="111111"/>
          <w:sz w:val="28"/>
          <w:sz w:val="28"/>
          <w:szCs w:val="28"/>
          <w:rtl w:val="true"/>
          <w:lang w:bidi="ar-SA"/>
        </w:rPr>
        <w:t>الإشارة إلى المواضيع الأساسيّة والقضايا والمشكلات الرئيسة التي عالجتها هذه المؤلفات؛ ومنها</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6736758_1280447820"/>
      <w:bookmarkStart w:id="45" w:name="_Toc14"/>
      <w:bookmarkEnd w:id="44"/>
      <w:r>
        <w:rPr/>
        <w:t>1</w:t>
      </w:r>
      <w:r>
        <w:rPr>
          <w:rtl w:val="true"/>
        </w:rPr>
        <w:t xml:space="preserve">- </w:t>
      </w:r>
      <w:r>
        <w:rPr>
          <w:rtl w:val="true"/>
        </w:rPr>
        <w:t xml:space="preserve">كتاب النَّظَرِيَّة التقليديّة والنظريّة النَّقْدِيَّة </w:t>
      </w:r>
      <w:r>
        <w:rPr>
          <w:rtl w:val="true"/>
        </w:rPr>
        <w:t xml:space="preserve">( </w:t>
      </w:r>
      <w:r>
        <w:rPr/>
        <w:t>1937</w:t>
      </w:r>
      <w:r>
        <w:rPr>
          <w:rtl w:val="true"/>
        </w:rPr>
        <w:t xml:space="preserve"> ):</w:t>
      </w:r>
      <w:bookmarkEnd w:id="4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Théorie critique et théorie traditionnelle</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يعتبر من أبرز الدراسات التي نشرها هوركايمر، وقد حاول هوركايمر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خلال هذا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يُنشّط النقد الثّقافي الِجْتِمَعِيِّ الجذريّ، وناقش مسألة التسلّط العسكري، والمشكلة الاقتصاديّة التي تشلّ الحياة الاجتماعية، والأزمة البيئيّة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هذا الكتاب نقد هوركايمر النَّظَرِيَّة التقليديّة في التفكير وحدّد خطوطًا لاتجاهات جديدة تتوخّى النّقد التحليلي للواقع ولحركيّة المجتمع والسياسة</w:t>
      </w:r>
      <w:r>
        <w:rPr>
          <w:rFonts w:eastAsia="Amiri" w:cs="Amiri" w:ascii="Amiri" w:hAnsi="Amiri"/>
          <w:color w:val="111111"/>
          <w:sz w:val="28"/>
          <w:szCs w:val="28"/>
          <w:rtl w:val="true"/>
          <w:lang w:bidi="ar-SA"/>
        </w:rPr>
        <w:t>.</w:t>
      </w:r>
      <w:r>
        <w:rPr>
          <w:rStyle w:val="FootnoteAnchor"/>
          <w:rtl w:val="true"/>
        </w:rPr>
        <w:footnoteReference w:id="39"/>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خسوف العقل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éclipse de la raison[F</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يتألّف من خمسة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والغايات، صراع الحلول، ثورة الطبيعة، صعود الفرد وسقوطه، ومفهوم 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درس هوركايمر في هذا الكتاب مفهوم العقل في تاريخ الفلسفة الغربية، ولقد حدّد العقل بكونه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رأى ضرورة أن تُرعى هذه الذهنيّة وتُربّ في بيئة حرّة، يشيع فيها فكر نقدي، وعلى مستوى العقل ميّز هوركايمر بين ثلاثة أنواع من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الموضوعي، العقل الذاتي، العقل الأداتي</w:t>
      </w:r>
      <w:r>
        <w:rPr>
          <w:rFonts w:eastAsia="Amiri" w:cs="Amiri" w:ascii="Amiri" w:hAnsi="Amiri"/>
          <w:color w:val="111111"/>
          <w:sz w:val="28"/>
          <w:szCs w:val="28"/>
          <w:rtl w:val="true"/>
          <w:lang w:bidi="ar-SA"/>
        </w:rPr>
        <w:t xml:space="preserve">. </w:t>
      </w:r>
      <w:bookmarkStart w:id="46" w:name="pg16380_210311"/>
    </w:p>
    <w:p>
      <w:pPr>
        <w:pStyle w:val="BookText"/>
        <w:rPr/>
      </w:pPr>
      <w:bookmarkEnd w:id="46"/>
      <w:r>
        <w:rPr>
          <w:rFonts w:ascii="Amiri" w:hAnsi="Amiri" w:eastAsia="Amiri" w:cs="Amiri"/>
          <w:color w:val="111111"/>
          <w:sz w:val="28"/>
          <w:sz w:val="28"/>
          <w:szCs w:val="28"/>
          <w:rtl w:val="true"/>
          <w:lang w:bidi="ar-SA"/>
        </w:rPr>
        <w:t>كتاب بين الفلسفة والعلم الاجتماعي</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philosophie et science social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ظهر في مجلدٍ ما بين عامي </w:t>
      </w: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وبالتحديد خلال الفترة التي انتقل فيها معهد البحث الِجْتِمَعِيِّ إلى جنيف؛ ومن ثمّ التحاقه بجامعة كولومبيا في الولايات المتحدة الأميركية، وشمل مجموعة 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الماديّة والأخلاقيّة، الموقف الراهن للفلسفة الأخلاقيّة ومهمّت البحث الاجتماعي، في مشكلة الصّدق، الأنانيّة وحركة الحريّة، تاريخ علم النفس، المفهوم الجديد للإيديولوجيا، ملاحظات حول الأنثروبولوجيا الفلسفية، ومناقشة العقلانية في الفلسفة المعاصرة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وتجدر الإشارة ههنا إلى أنّ لهوركايمر أع لماً أخرى لا يتّسع المقام لذكرها وتقديم فكرة عن محتوياتها</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6736760_1280447820"/>
      <w:bookmarkStart w:id="48" w:name="_Toc15"/>
      <w:bookmarkEnd w:id="47"/>
      <w:r>
        <w:rPr>
          <w:rtl w:val="true"/>
        </w:rPr>
        <w:t>المطلب الثاني</w:t>
      </w:r>
      <w:r>
        <w:rPr>
          <w:rtl w:val="true"/>
        </w:rPr>
        <w:t xml:space="preserve">: </w:t>
      </w:r>
      <w:r>
        <w:rPr>
          <w:rtl w:val="true"/>
        </w:rPr>
        <w:t xml:space="preserve">تيودور أدورنو </w:t>
      </w:r>
      <w:r>
        <w:rPr>
          <w:rtl w:val="true"/>
        </w:rPr>
        <w:t>(</w:t>
      </w:r>
      <w:r>
        <w:rPr/>
        <w:t>Theodor Adorno</w:t>
      </w:r>
      <w:r>
        <w:rPr>
          <w:rtl w:val="true"/>
        </w:rPr>
        <w:t>)</w:t>
      </w:r>
      <w:bookmarkEnd w:id="48"/>
    </w:p>
    <w:p>
      <w:pPr>
        <w:pStyle w:val="Heading4"/>
        <w:numPr>
          <w:ilvl w:val="3"/>
          <w:numId w:val="1"/>
        </w:numPr>
        <w:rPr/>
      </w:pPr>
      <w:bookmarkStart w:id="49" w:name="__RefHeading___Toc6736762_1280447820"/>
      <w:bookmarkStart w:id="50" w:name="_Toc16"/>
      <w:bookmarkEnd w:id="49"/>
      <w:r>
        <w:rPr>
          <w:rtl w:val="true"/>
        </w:rPr>
        <w:t>اشارة</w:t>
      </w:r>
      <w:bookmarkEnd w:id="50"/>
    </w:p>
    <w:p>
      <w:pPr>
        <w:pStyle w:val="BookText"/>
        <w:rPr/>
      </w:pPr>
      <w:r>
        <w:rPr>
          <w:rFonts w:ascii="Amiri" w:hAnsi="Amiri" w:eastAsia="Amiri" w:cs="Amiri"/>
          <w:color w:val="111111"/>
          <w:sz w:val="28"/>
          <w:sz w:val="28"/>
          <w:szCs w:val="28"/>
          <w:rtl w:val="true"/>
          <w:lang w:bidi="ar-SA"/>
        </w:rPr>
        <w:t xml:space="preserve">ولد تيودور أدورنو في مدينة فرَانْكِفُورْتْ 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سبتمبر </w:t>
      </w:r>
      <w:r>
        <w:rPr>
          <w:rFonts w:eastAsia="Amiri" w:cs="Amiri" w:ascii="Amiri" w:hAnsi="Amiri"/>
          <w:color w:val="111111"/>
          <w:sz w:val="28"/>
          <w:szCs w:val="28"/>
          <w:lang w:bidi="ar-SA"/>
        </w:rPr>
        <w:t>1903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 ألمانيٍّ وأمٍّ إيطاليةٍ، ولأسرة شَغُفت بالموسيقى؛ إذ كانت والدته ابنة مطربةٍ ألمانيةٍ، وشقيقته عازفة بيانو محترفة؛ مما جعله يتعلّق بالموسيقى في وقتٍ مبكرٍ</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تيودور الابن الوحيد لوالده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أوسكار ألسكندر فيزنجروند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تاجر المشروبات الثري، وهو سليل عائلة يهوديّة تحوّلت إلى البروتستانتية، التحق تيودور بمدرسة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كاسير ويهلم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ثمّ تخرَّج فيها وعمره سبعة عشر عامًا، وكان من الطلبة الأوائل في دفعته، لقد قضى طفولته بين والدته المغنّية وخالته عازفة البيانو المشهورة؛ </w:t>
      </w:r>
    </w:p>
    <w:p>
      <w:pPr>
        <w:pStyle w:val="BookText"/>
        <w:rPr/>
      </w:pPr>
      <w:r>
        <w:rPr>
          <w:rFonts w:ascii="Amiri" w:hAnsi="Amiri" w:eastAsia="Amiri" w:cs="Amiri"/>
          <w:color w:val="111111"/>
          <w:sz w:val="28"/>
          <w:sz w:val="28"/>
          <w:szCs w:val="28"/>
          <w:rtl w:val="true"/>
          <w:lang w:bidi="ar-SA"/>
        </w:rPr>
        <w:t xml:space="preserve">لذلك اهتمّ بالموسيقى وعشقها، واهتمّ بالفلسفة وخاصّة بعد تعرفه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زقفريد كركاور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Siegfried Kracauer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قضى معه عدّة سنوات في دراسة فلسفة كانط</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 xml:space="preserve">فقرأ فلسفته في شبابه وكذلك علم الاجتماع وعلم النفس بجامعة فرانكفورت، وذهب إلى مدينة فينا عام </w:t>
      </w:r>
      <w:r>
        <w:rPr>
          <w:rFonts w:eastAsia="Amiri" w:cs="Amiri" w:ascii="Amiri" w:hAnsi="Amiri"/>
          <w:color w:val="111111"/>
          <w:sz w:val="28"/>
          <w:szCs w:val="28"/>
          <w:lang w:bidi="ar-SA"/>
        </w:rPr>
        <w:t>1925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تابع دروسًا في التأليف الموسيقي على 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ادوارد ستورمان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 .Steuermann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وبصحبة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ألبان برج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Alban Berg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التقى هوركايمر عام </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وناقش أطروحة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تعالي الغيري والنيوماني في ظاهراتية هوسرل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هانز كورنيليوس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H.Cornelius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ثم عاد إلى فرَانْكِفُورْتْ عام </w:t>
      </w: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ليشرع في كتابة أطروحة التأهيل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كيركجارد وبناء الجمالية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ناقشها عام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مما سمح له بأن يكون عضوًا في هيئة تدريس جامعة فرانكفورت، بدرجة </w:t>
      </w:r>
      <w:r>
        <w:rPr>
          <w:rFonts w:eastAsia="Times New Roman" w:cs="Times New Roman" w:ascii="Times New Roman" w:hAnsi="Times New Roman"/>
          <w:color w:val="111111"/>
          <w:sz w:val="28"/>
          <w:szCs w:val="28"/>
          <w:lang w:val="en-US" w:bidi="en-US"/>
        </w:rPr>
        <w:t>Privatdzent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أي كأستاذ بدون مرتّب، يتقاضى مكافأة من الطلاب مباشرة</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ولم يصبح في الواقع عضوًا رسميًّا في معهد البحث الِجْتِمَعِيِّ إلاّ في عام </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يُنْفَ أدورنو منذ سنة </w:t>
      </w: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السنة التي تسلّم فيها هتلر الحكم في ألمانيا، بل أمضى معظم وقته حتى </w:t>
      </w:r>
      <w:r>
        <w:rPr>
          <w:rFonts w:eastAsia="Amiri" w:cs="Amiri" w:ascii="Amiri" w:hAnsi="Amiri"/>
          <w:color w:val="111111"/>
          <w:sz w:val="28"/>
          <w:szCs w:val="28"/>
          <w:lang w:bidi="ar-SA"/>
        </w:rPr>
        <w:t>1937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إنجلترا، في كلية مارتن </w:t>
      </w:r>
      <w:r>
        <w:rPr>
          <w:rFonts w:eastAsia="Times New Roman" w:cs="Times New Roman" w:ascii="Times New Roman" w:hAnsi="Times New Roman"/>
          <w:color w:val="111111"/>
          <w:sz w:val="28"/>
          <w:szCs w:val="28"/>
          <w:lang w:val="en-US" w:bidi="en-US"/>
        </w:rPr>
        <w:t>Merton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أكسفورد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نفيه إلى الولايات المتحدة استعاد أدورنو تعاونه الوثيق مع هوركايمر</w:t>
      </w:r>
      <w:r>
        <w:rPr>
          <w:rFonts w:eastAsia="Amiri" w:cs="Amiri" w:ascii="Amiri" w:hAnsi="Amiri"/>
          <w:color w:val="111111"/>
          <w:sz w:val="28"/>
          <w:szCs w:val="28"/>
          <w:rtl w:val="true"/>
          <w:lang w:bidi="ar-SA"/>
        </w:rPr>
        <w:t>.</w:t>
      </w:r>
      <w:r>
        <w:rPr>
          <w:rStyle w:val="FootnoteAnchor"/>
          <w:rtl w:val="true"/>
        </w:rPr>
        <w:footnoteReference w:id="43"/>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ولقد ترتّب على هذا التعاون إصدار كتابهما المشترك المعنون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جدل التنوير </w:t>
      </w:r>
      <w:r>
        <w:rPr>
          <w:rFonts w:eastAsia="Times New Roman" w:cs="Times New Roman" w:ascii="Times New Roman" w:hAnsi="Times New Roman"/>
          <w:color w:val="111111"/>
          <w:sz w:val="28"/>
          <w:szCs w:val="28"/>
          <w:lang w:val="en-US" w:bidi="en-US"/>
        </w:rPr>
        <w:t>Dialektik der Aufklarung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ظهر مع الإعلان عن ضحايا المحرقة النازية، وكانا يريدان تقديم هذا الكتاب لفريديريش بولوك تكريمًا له في عيد ميلاده الخمسين، حيث قالا في تقديم الطبعة الجديدة 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أميركا، حيث تم وضع الكتاب، عدنا إلى ألمانيا بقناعةٍ منّا على مضاعفة جهودنا عملياًّ ونظرياًّ، وبالتعاون مع فريدريش بولوك الذي أردنا أن يكون هذا الكتاب تكريمًا له في عيد ميلاده الخمسين، وهو مجدّدًا له في عيده الستين </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 xml:space="preserve">، ولقد كان أدورنو أحد الذّين أصرّوا بعد الحرب على العودة إلى فرَانْكِفُورْتْ، وصار المدير المساعد للمعهد، ثم مديرًا مشاركًا عام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تقاعد هوركايمر عام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أخذ أدورنو على عاتقه إدارة المعهد حتى توُُفّ عام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وصيّته الفلسفيّة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الجدل السلبي </w:t>
      </w:r>
      <w:r>
        <w:rPr>
          <w:rFonts w:eastAsia="Times New Roman" w:cs="Times New Roman" w:ascii="Times New Roman" w:hAnsi="Times New Roman"/>
          <w:color w:val="111111"/>
          <w:sz w:val="28"/>
          <w:szCs w:val="28"/>
          <w:lang w:val="en-US" w:bidi="en-US"/>
        </w:rPr>
        <w:t>La dialectique négative</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وبعد دوره الفاعل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صراع الوضعية </w:t>
      </w:r>
      <w:r>
        <w:rPr>
          <w:rFonts w:eastAsia="Times New Roman" w:cs="Times New Roman" w:ascii="Times New Roman" w:hAnsi="Times New Roman"/>
          <w:color w:val="111111"/>
          <w:sz w:val="28"/>
          <w:szCs w:val="28"/>
          <w:lang w:val="en-US" w:bidi="en-US"/>
        </w:rPr>
        <w:t>La querelle du positivisme</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 xml:space="preserve">في اللّحظة التي بدأ فيها </w:t>
      </w:r>
      <w:r>
        <w:rPr>
          <w:rFonts w:eastAsia="Times New Roman" w:cs="Times New Roman" w:ascii="Times New Roman" w:hAnsi="Times New Roman"/>
          <w:color w:val="111111"/>
          <w:sz w:val="28"/>
          <w:szCs w:val="28"/>
          <w:lang w:val="en-US" w:bidi="en-US"/>
        </w:rPr>
        <w:t>Kamp Suhr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بنشر مؤلّفاته كاملة</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اللّمحة عن السيرة الذاتية للرائد الثاني من روّاد الجيل الأوّل لمدرسة فرانكفورت لا يمكنها أن تكون ذات جدوى حقيقية إذا لم تُعزّز بسيرته المعرفيّة التي لا يمكن الإحاطة بها إلاّ من خلال الوقوف على أهمّ إسهاماته الفلسفية والاجتماعية، التي تبرز عبر مؤلّفاته المختلفة التي مسّت جوانب عدّة، ومن هذه المؤلّفات نجد</w:t>
      </w:r>
      <w:r>
        <w:rPr>
          <w:rFonts w:eastAsia="Amiri" w:cs="Amiri" w:ascii="Amiri" w:hAnsi="Amiri"/>
          <w:color w:val="111111"/>
          <w:sz w:val="28"/>
          <w:szCs w:val="28"/>
          <w:rtl w:val="true"/>
          <w:lang w:bidi="ar-SA"/>
        </w:rPr>
        <w:t xml:space="preserve">: </w:t>
      </w:r>
      <w:bookmarkStart w:id="51" w:name="pg16380_210314"/>
    </w:p>
    <w:p>
      <w:pPr>
        <w:pStyle w:val="Heading4"/>
        <w:numPr>
          <w:ilvl w:val="3"/>
          <w:numId w:val="1"/>
        </w:numPr>
        <w:rPr/>
      </w:pPr>
      <w:bookmarkStart w:id="52" w:name="__RefHeading___Toc6736764_1280447820"/>
      <w:bookmarkStart w:id="53" w:name="_Toc17"/>
      <w:bookmarkEnd w:id="51"/>
      <w:bookmarkEnd w:id="52"/>
      <w:r>
        <w:rPr/>
        <w:t>2</w:t>
      </w:r>
      <w:r>
        <w:rPr>
          <w:rtl w:val="true"/>
        </w:rPr>
        <w:t xml:space="preserve"> - </w:t>
      </w:r>
      <w:r>
        <w:rPr>
          <w:rtl w:val="true"/>
        </w:rPr>
        <w:t>جدل التنوير</w:t>
      </w:r>
      <w:bookmarkEnd w:id="5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Dialektik der Aufklarung</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La dialectique de la raison</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من أوائل الكتب التي تصدّرت مكتبة مدرسة فرَانْكِفُورْتْ، فهو يعود إلى حقبة الأربعينيات من القرن الماضي، وبالضبط في عام </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الفترة التي شهدت هجرة أغلبية مفكري مدرسة فرانكفورت إلى مختلف بلدان العالم وعلى رأسها الولايات المتحدة الأميركية، وهذا بعد الأحداث التي عرفتها ألمانيا إثر صعود النازية ووصولها إلى سدّة الحكم، والملاحقات التي تعرّض لها الكثير من المثقّفين والمفكّرين، خاصّة من ذوي الأصول اليهودية</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وقد كُتب هذا الكتاب بالاشتراك بين ماكس هوركايمر وتيودور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أدورنو، وقد اعتبر ألبرشت فيلمر أنّ هذا الكتاب هو النصّ المفتاح لمجمل النَّظَرِيَّة النَّقْدِيَّة الأولى؛ وذلك بوصفه يعيد رسم انتصار التنوير وتعاسته في آن واحدٍ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 w:name="__RefHeading___Toc6736766_1280447820"/>
      <w:bookmarkStart w:id="55" w:name="_Toc18"/>
      <w:bookmarkEnd w:id="54"/>
      <w:r>
        <w:rPr>
          <w:rtl w:val="true"/>
        </w:rPr>
        <w:t>الجدل السلبي</w:t>
      </w:r>
      <w:bookmarkEnd w:id="5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1966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Négative Dialektik</w:t>
      </w:r>
      <w:r>
        <w:rPr>
          <w:rFonts w:eastAsia="Times New Roman" w:cs="Times New Roman" w:ascii="Times New Roman" w:hAnsi="Times New Roman"/>
          <w:color w:val="111111"/>
          <w:sz w:val="28"/>
          <w:szCs w:val="28"/>
          <w:rtl w:val="true"/>
          <w:lang w:val="en-US" w:bidi="en-US"/>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صدر هذا الكتاب المهمّ سنة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مرحلة الانتقال الكلي من تمركز النَّظَرِيَّة النَّقْدِيَّة لأدورنو في مجال الفلسفة وعلم الاجتماع السياسيّ إلى الميدان الجماليّ البحت، ويشكل هذا الكتاب حلقة الوصل بين التأسيس الفلسفي السوسيولوجيّ </w:t>
      </w:r>
      <w:bookmarkStart w:id="56" w:name="pg16380_210315"/>
    </w:p>
    <w:p>
      <w:pPr>
        <w:pStyle w:val="BookText"/>
        <w:rPr/>
      </w:pPr>
      <w:bookmarkEnd w:id="56"/>
      <w:r>
        <w:rPr>
          <w:rFonts w:ascii="Amiri" w:hAnsi="Amiri" w:eastAsia="Amiri" w:cs="Amiri"/>
          <w:color w:val="111111"/>
          <w:sz w:val="28"/>
          <w:sz w:val="28"/>
          <w:szCs w:val="28"/>
          <w:rtl w:val="true"/>
          <w:lang w:bidi="ar-SA"/>
        </w:rPr>
        <w:t xml:space="preserve">لفكره النقديّ وبين توجّهه التامّ نحو علم الجمال فيما بعد، وقد تجاوز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الجدل السلبي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الأطروحات الْفِكْرِيَّة التي توقّف عندها أدورنو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جدل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تحدّدت مهمّتها النَّظَرِيَّة في اتّهام العقل بقصوره، في حين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الجدل السلبي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يحدّ من اتهاماته المتوَجِّهة نحو العقل كموضوعٍ، وينقلها إلى إطارٍ جديدٍ يتموضع داخل صيغةٍ وشكلٍ تاريخيَيْ</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Heading3"/>
        <w:numPr>
          <w:ilvl w:val="2"/>
          <w:numId w:val="1"/>
        </w:numPr>
        <w:rPr/>
      </w:pPr>
      <w:bookmarkStart w:id="57" w:name="__RefHeading___Toc6736768_1280447820"/>
      <w:bookmarkStart w:id="58" w:name="_Toc19"/>
      <w:bookmarkEnd w:id="57"/>
      <w:r>
        <w:rPr>
          <w:rtl w:val="true"/>
        </w:rPr>
        <w:t>المطلب الثالث</w:t>
      </w:r>
      <w:r>
        <w:rPr>
          <w:rtl w:val="true"/>
        </w:rPr>
        <w:t xml:space="preserve">: </w:t>
      </w:r>
      <w:r>
        <w:rPr>
          <w:rtl w:val="true"/>
        </w:rPr>
        <w:t xml:space="preserve">فريدريش بولوك </w:t>
      </w:r>
      <w:r>
        <w:rPr>
          <w:rtl w:val="true"/>
        </w:rPr>
        <w:t>(</w:t>
      </w:r>
      <w:r>
        <w:rPr/>
        <w:t>Friedrich Pollock</w:t>
      </w:r>
      <w:r>
        <w:rPr>
          <w:rtl w:val="true"/>
        </w:rPr>
        <w:t>)</w:t>
      </w:r>
      <w:bookmarkEnd w:id="58"/>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في مدينة فرايبورغ بألمانيا لأبٍ من رجال الأعمال الذي رغب أن يوجّه ابنه للعمل في التجارة والشؤون المالية؛ لذلك درس الاقتصاد لكنّه ما لبث أن توجّه للاهتمام بالقضايا الْفِكْرِيَّة والسياسية في جامعات ميونيخ وفرايبورغ ثمّ جامعة فرَانْكِفُورْتْ، التي حصل منها على درجة الدكتوراه في الاقتصاد عام </w:t>
      </w:r>
      <w:r>
        <w:rPr>
          <w:rFonts w:eastAsia="Amiri" w:cs="Amiri" w:ascii="Amiri" w:hAnsi="Amiri"/>
          <w:color w:val="111111"/>
          <w:sz w:val="28"/>
          <w:szCs w:val="28"/>
          <w:lang w:bidi="ar-SA"/>
        </w:rPr>
        <w:t>1923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العملة عند ماركس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وشارك في العام ذاته في أعمال أسبوع البحوث الْمَرْكِسِيَّة الأوّل الذي نظّمه صديقه فليكس فايل ،</w:t>
      </w:r>
      <w:r>
        <w:rPr>
          <w:rFonts w:eastAsia="Times New Roman" w:cs="Times New Roman" w:ascii="Times New Roman" w:hAnsi="Times New Roman"/>
          <w:color w:val="111111"/>
          <w:sz w:val="28"/>
          <w:szCs w:val="28"/>
          <w:lang w:val="en-US" w:bidi="en-US"/>
        </w:rPr>
        <w:t>F.Weil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وقبل الحرب العالميّة الأولى، وفي عام </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إلى شخص مهمّ ربطته به علاقة صداقة حميمة، وهو ماكس هوركايمر، الذي أصبح بعد ذلك من أوائل المتحمّسين لفكرة إنشاء معهد البحوث الِجْتِمَعِيِّة بجامعة فرانكفورت، ومساندًا لبولوك في دعم فايل في إنشائه، وأصبح بولوك عضوًا بارزًا فيه منذ تأسيسه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بولوك على علاقةٍ جيّدةٍ مع الحزب الشيوعيّ السوفيتيّ، حيث دعاه في زيارة رسميّة للاطلاع على المنجزات الاقتصاديّة والاجتماعيّة هناك بعد ثورة أكتوبر عام </w:t>
      </w:r>
      <w:r>
        <w:rPr>
          <w:rFonts w:eastAsia="Amiri" w:cs="Amiri" w:ascii="Amiri" w:hAnsi="Amiri"/>
          <w:color w:val="111111"/>
          <w:sz w:val="28"/>
          <w:szCs w:val="28"/>
          <w:lang w:bidi="ar-SA"/>
        </w:rPr>
        <w:t>1917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وقدّم له تسهيلات كثيرة من أجل تأليف كتابه المهم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تجارب التخطيط الاقتصادي في الاتحاد السوفياتي بين عامي </w:t>
      </w:r>
      <w:r>
        <w:rPr>
          <w:rFonts w:eastAsia="Amiri" w:cs="Amiri" w:ascii="Amiri" w:hAnsi="Amiri"/>
          <w:color w:val="111111"/>
          <w:sz w:val="28"/>
          <w:szCs w:val="28"/>
          <w:lang w:bidi="ar-SA"/>
        </w:rPr>
        <w:t>1917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وبقي بولوك مرتبطًا فكريًّا، ومخلصًا للتجربة السوفيتيّة، وغضّ النظر عن التطوّرات السياسية والخلافات داخل الحزب الشيوعي السوفياتي التي أعقبت وفاة لينين؛ فلم يتخذ موقفًا منها، وحرص على أن يبقى اهتمامه هناك منصبًّا على التجربة الاقتصادية، وفي الخلافات النَّظَرِيةَّ التي كانت قائمة بين هوركايمر من جهةٍ وجرونبرج مدير المعهد من جهةٍ أخرى، اتّخذ بولوك موقفًا مساندًا لأفكار هوركايمر واتّجاهه الفلسفي النّقدي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عُرِض على بولوك منصب مدير معهد البحوث الِجْتِمَعِيِّة عام </w:t>
      </w:r>
      <w:r>
        <w:rPr>
          <w:rFonts w:eastAsia="Amiri" w:cs="Amiri" w:ascii="Amiri" w:hAnsi="Amiri"/>
          <w:color w:val="111111"/>
          <w:sz w:val="28"/>
          <w:szCs w:val="28"/>
          <w:lang w:bidi="ar-SA"/>
        </w:rPr>
        <w:t>1929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جرونبرج الذي ساءت صحته آنذاك، لكن بولوك اعتذر مفضِّلً البقاء كمسؤولٍ عن القضايا الإداريّة للمعهد</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وصول هتلر سدَّة الحكم انتقل بولوك مع صديق عمره المقرّب هوركايمر إلى مدينة نيويورك، ثم عاد إلى فرَانْكِفُورْتْ مع عودة افتتاح المعهد عام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وبعد تقاعدهما عام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انتقل بولوك وهوركايمر إلى اثنتين من الفيلات المجاورة في مدينة مونتانيولا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Montagnola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بسويسرا، وظلّ هناك حتى مات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bookmarkStart w:id="59" w:name="pg16380_210317"/>
    </w:p>
    <w:p>
      <w:pPr>
        <w:pStyle w:val="BookText"/>
        <w:rPr/>
      </w:pPr>
      <w:bookmarkEnd w:id="59"/>
      <w:r>
        <w:rPr>
          <w:rFonts w:ascii="Amiri" w:hAnsi="Amiri" w:eastAsia="Amiri" w:cs="Amiri"/>
          <w:color w:val="111111"/>
          <w:sz w:val="28"/>
          <w:sz w:val="28"/>
          <w:szCs w:val="28"/>
          <w:rtl w:val="true"/>
          <w:lang w:bidi="ar-SA"/>
        </w:rPr>
        <w:t>وقد تُرجِمَ له إلى الإنجليزية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State Capitalism – Its Possibilities and Limitations in (Studies in philosophy and Social Science)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Vol. IX</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N.2</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Economic and Social Consequences of Automatim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Oxford University Press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Oxford</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1957</w:t>
      </w:r>
      <w:r>
        <w:rPr>
          <w:rFonts w:eastAsia="IRNazanin" w:cs="IRNazanin"/>
          <w:color w:val="111111"/>
          <w:sz w:val="28"/>
          <w:szCs w:val="28"/>
          <w:rtl w:val="true"/>
          <w:lang w:bidi="fa-IR"/>
        </w:rPr>
        <w:t>.</w:t>
      </w:r>
    </w:p>
    <w:p>
      <w:pPr>
        <w:pStyle w:val="Heading3"/>
        <w:numPr>
          <w:ilvl w:val="2"/>
          <w:numId w:val="1"/>
        </w:numPr>
        <w:rPr/>
      </w:pPr>
      <w:bookmarkStart w:id="60" w:name="__RefHeading___Toc6736770_1280447820"/>
      <w:bookmarkStart w:id="61" w:name="_Toc20"/>
      <w:bookmarkEnd w:id="60"/>
      <w:r>
        <w:rPr>
          <w:rtl w:val="true"/>
        </w:rPr>
        <w:t>المطلب الرابع</w:t>
      </w:r>
      <w:r>
        <w:rPr>
          <w:rtl w:val="true"/>
        </w:rPr>
        <w:t xml:space="preserve">: </w:t>
      </w:r>
      <w:r>
        <w:rPr>
          <w:rtl w:val="true"/>
        </w:rPr>
        <w:t xml:space="preserve">هيربرت ماركوز </w:t>
      </w:r>
      <w:r>
        <w:rPr>
          <w:rtl w:val="true"/>
        </w:rPr>
        <w:t>(</w:t>
      </w:r>
      <w:r>
        <w:rPr/>
        <w:t>Herbert Marcuse</w:t>
      </w:r>
      <w:r>
        <w:rPr>
          <w:rtl w:val="true"/>
        </w:rPr>
        <w:t>)</w:t>
      </w:r>
      <w:bookmarkEnd w:id="61"/>
    </w:p>
    <w:p>
      <w:pPr>
        <w:pStyle w:val="Heading4"/>
        <w:numPr>
          <w:ilvl w:val="3"/>
          <w:numId w:val="1"/>
        </w:numPr>
        <w:rPr/>
      </w:pPr>
      <w:bookmarkStart w:id="62" w:name="__RefHeading___Toc6736772_1280447820"/>
      <w:bookmarkStart w:id="63" w:name="_Toc21"/>
      <w:bookmarkEnd w:id="62"/>
      <w:r>
        <w:rPr>
          <w:rtl w:val="true"/>
        </w:rPr>
        <w:t>اشارة</w:t>
      </w:r>
      <w:bookmarkEnd w:id="63"/>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فيلسوف ومفكر ألماني أميركي، عُرِفَ بتنظيره لليسار الراديكاليّ وحركات اليسار الجديد ونقده الحاد للأنظمة القائمة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ماركوز في برلين لعائلةٍ يهوديّةٍ، وخدم في الجيش الألماني خلال الحرب العالميّة الأولى، ودرس في جامعتها، وحصل على الدكتوراه من جامعة فرايبورغ عام </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وعمل بعدها حتى عام </w:t>
      </w: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بيع الكتب، ثم انضم إلى مساعدة مارتن هايدغر في دراساته، وكان منتسبًا لمعهد الدراسات الِجْتِمَعِيِّة في فَرَانْكِفُورْتْ؛ حيث كان يشكّل جماعةً فكريّةً ذات توجّهٍ ماركسيٍّ، وقد استمرّت في مزاولة نشاطها حتى عام </w:t>
      </w: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وبعد استلام الحزب الاشتراكيّ القوميّ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الحزب النازيّ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السلطة قام الحزب بإغلاق المعهد وسافر ماركوز بعدها إلى سويسرا لمدّة عامٍ، ثم هاجر إلى الولايات المتحدة الأميركية وانضمّ إلى معهد الدراسات الِجْتِمَعِيِّة هناك في جامعة كولومبيا عام </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وعمل خلال الحرب العالمية الثانية في أجهزة الاستخبارات الحربيّة الأميركية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مكتب المعلومات الحربيّة </w:t>
      </w:r>
    </w:p>
    <w:p>
      <w:pPr>
        <w:pStyle w:val="BookText"/>
        <w:rPr/>
      </w:pPr>
      <w:r>
        <w:rPr>
          <w:rFonts w:ascii="Amiri" w:hAnsi="Amiri" w:eastAsia="Amiri" w:cs="Amiri"/>
          <w:color w:val="111111"/>
          <w:sz w:val="28"/>
          <w:sz w:val="28"/>
          <w:szCs w:val="28"/>
          <w:rtl w:val="true"/>
          <w:lang w:bidi="ar-SA"/>
        </w:rPr>
        <w:t>ومكتب الخدمات الاستراتيجيّة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عمل في الدعاية المضادّة للنازيّة سعيًا منه إلى تفكيكها، وحلّ أواصرها، وفي الخمسينيات شرع في تدريس الفلسفة والسياسة بشكلٍ متتابعٍ ما بين جامعات كولومبيا وهارفارد وبرانديس وكاليفورنيا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الرَّغْمِ من أنّ ماركوز قد غادر ألمانيا؛ إلاّ أنّه بقي عضوًا رئيسًا في جامعة فَرَانْكِفُورْتْ الثقافية مع ماكس هوركايمر وتيودور أدونرو، وكان يمثلّ الجناح اليساريّ فيها، وقد ظهر جلياًّ تأثير ماركوز على القيادات الطلابيّة؛ حيث عمّت الاحتجاجات الطلابيّة جامعات أميركا وأوروبا في أواخر عقد الستينيات، وقد ركّز ماركوز في كتاباته على نقد الرأسماليّة وتجديد الأطروحات الماركسيّة؛ حيث كان يرى أنّ أهمّ تهديد للأنظمة القائمة سيأتي من الطلّب والأقليّات في المجتمع لا من طبقة العمّل التي تمّ تطويعها من خلال النمط الاستهلاكيّ، وتلبية احتياجاتها السطحيّة؛ كي تكون خاضعةً للأوضاع القائمة صامتةً عمّ يدور من حولها من ظلمٍ وانتهاكاتٍ، كما صبّ ماركوز جمّ تركيزه على البعد الفرديّ من خلال سيره على النسق الماركسي</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تُوُفِّ ماركوز عام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أثر سكتةٍ دماغيّةٍ أثناء زيارته لألمانيا وكان برفقته صديقه الحميم يورغان هابرماس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أهمّ المُنظّرين من الجيل الثاني لجامعة فَرَانْكِفُورْتْ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ترك إرثًا فلسفيًّا وفكريًّا كبيرًا تمثَّل في مجموعةٍ من المقالات التي كان قد كتبها في الثلاثينيات من القرن الماضي، داعيًا فيها إلى نظريّةٍ اجتماعيةٍ جدليّةٍ مناقضةٍ للعلم الِجْتِمَعِيِّ الوضعيّ كما عند أوجست كونت، </w:t>
      </w:r>
    </w:p>
    <w:p>
      <w:pPr>
        <w:pStyle w:val="BookText"/>
        <w:rPr/>
      </w:pPr>
      <w:r>
        <w:rPr>
          <w:rFonts w:ascii="Amiri" w:hAnsi="Amiri" w:eastAsia="Amiri" w:cs="Amiri"/>
          <w:color w:val="111111"/>
          <w:sz w:val="28"/>
          <w:sz w:val="28"/>
          <w:szCs w:val="28"/>
          <w:rtl w:val="true"/>
          <w:lang w:bidi="ar-SA"/>
        </w:rPr>
        <w:t>وشتال، وفون شتاين خلال النصف الأوّل من القرن التاسع عشر الميلادي؛ لأنّها كانت تماثل بين دراسة المجتمع ودراسة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يُلحظ على ماركوز أنّه بنى نظريّته الجدليّة على أفكار هيغل، وحوّل فكر ماركس إلى هيغيليّة راديكاليّة؛ فحصر اهتمامه في نقد أصول الفلسفة الوضعيّة والعلم الاجتماعي، وظهر جليًّا عداؤه الشديد للهيمنة التقنيّة؛ حيث كان يعتبر العقل المنغلق سببًا رئيسًا في استلاب الإنسان، وتحويله إلى آلةٍ إنتاجيّةٍ لا تُسمن ولا تُغني من جوعٍ؛ ومن ثَمّ فقد اعترى ماركوز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بوصفه من الشريحة العليا المثقّفة من الطبقة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شعورٌ بغيضٌ بالإحباط وخيبة الأمل، وتشكَّلت لدى ماركوز فلسفةٌ ذات نزعةٍ تشاؤميّةٍ تسبّب فيها اغتراب الإنسان في المجتمع الصناعي الحديث الذي تغلُب عليه التقنية؛ فيضيع فيه رغم أنفه باعتباره ذاتًا وكينونةً ووجودًا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أشار ماركوز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الإنسان ذو البعد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اختفاء الدّور التاريخي الفاعل للطبقتين البرجوازية والبروليتارية على حدٍّ سواء، كما أشار إلى أنّ هناك قوّة واحدةً خفيّة متحكّمة في مسار هاتين الطبقتين معًا متمثّلةً في العقلانيّة العلميّة التقنيّة، وليست هناك طبقة معارضة؛ فقد تمّ استيعاب الطبقة العاملة واسترضاؤها من خلال تحفيزاتٍ ماديّةٍ استهلاكيّةٍ، وترشيد عمليّة الإنتاج ذاتها، وقد أشعلت أفكار ماركوز لهيب حركة الطلّب الأميركية في أواخر الستينيات بمعارضتها للنّظام، وكذا حركات طلابيّة أخرى في دول أوروبيّة شتّى؛ بَيْد أنّ الحركات الِجْتِمَعِيِّة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جميعًا واقعة تحت تأثير تحليلاتٍ متنوّعةٍ عن البنية الطبقيّة المتغيّة، </w:t>
      </w:r>
      <w:bookmarkStart w:id="64" w:name="pg16380_210320"/>
    </w:p>
    <w:p>
      <w:pPr>
        <w:pStyle w:val="BookText"/>
        <w:rPr/>
      </w:pPr>
      <w:bookmarkEnd w:id="64"/>
      <w:r>
        <w:rPr>
          <w:rFonts w:ascii="Amiri" w:hAnsi="Amiri" w:eastAsia="Amiri" w:cs="Amiri"/>
          <w:color w:val="111111"/>
          <w:sz w:val="28"/>
          <w:sz w:val="28"/>
          <w:szCs w:val="28"/>
          <w:rtl w:val="true"/>
          <w:lang w:bidi="ar-SA"/>
        </w:rPr>
        <w:t>وعن مغزى التكنوقراطيّة والبيروقراطيّة، التي قدّم علماء الاجتماع إسهامات ملحوظة بصددها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وتتركّز أفكار هربرت ماركوز سياسيًّا حول ثلاث قضايا شائكة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الطلّب في العالم الرأسماليّ، والحركة الطلابية في فرنسا عام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ودور الطبقة العاملة الحديثة في 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آمن ماركوز بقوى ثوريّة جديدة ستظهر في المستقبل داخل المجتمع الحديث، وسيتمّ التحرّر الِجْتِمَعِيِّ عن طريق الإشباع الجنسيّ كما يبيّ ذلك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الحب والحضارة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برهن فيه سيكولوجيًّا على كون تجاوز الندرة الماديّة في المجتمعات الصناعيّة المتقدّمة سيخلق الشروط المناسبة لإحراز البشر هدفهم في السعادة من خلال التحرّر الجنسي، وتفوّق مبدأ المتعة، الذي تصوّره كأساسٍ للانعتاق الشامل المؤثّر في كافّة العلاقات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عبّ ماركوز عن آرائه في الفلسفة الِجْتِمَعِيِّة من خلال أهمّ كتبه</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6736774_1280447820"/>
      <w:bookmarkStart w:id="66" w:name="_Toc22"/>
      <w:bookmarkEnd w:id="65"/>
      <w:r>
        <w:rPr>
          <w:rtl w:val="true"/>
        </w:rPr>
        <w:t>العقل والثورة</w:t>
      </w:r>
      <w:r>
        <w:rPr/>
        <w:t>Reason and Revolution) 1941</w:t>
      </w:r>
      <w:r>
        <w:rPr>
          <w:rtl w:val="true"/>
        </w:rPr>
        <w:t xml:space="preserve"> )</w:t>
      </w:r>
      <w:bookmarkEnd w:id="66"/>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دراسةٌ جدليّةٌ في النظرياّت الِجْتِمَعِيةِّ لهيغل مع إعادة تفسيرها وتتبّعها عبر كيركغور وفيورباخ وماركس، وقد بيّ فيه أثر هيغل في النظريّات الِجْتِمَعِيِّة خلال الثلاثينيات وربطها بنشأة النظريّات الفاشيّة</w:t>
      </w:r>
      <w:r>
        <w:rPr>
          <w:rFonts w:eastAsia="Amiri" w:cs="Amiri" w:ascii="Amiri" w:hAnsi="Amiri"/>
          <w:color w:val="111111"/>
          <w:sz w:val="28"/>
          <w:szCs w:val="28"/>
          <w:rtl w:val="true"/>
          <w:lang w:bidi="ar-SA"/>
        </w:rPr>
        <w:t xml:space="preserve">. </w:t>
      </w:r>
      <w:bookmarkStart w:id="67" w:name="pg16380_210321"/>
    </w:p>
    <w:p>
      <w:pPr>
        <w:pStyle w:val="Heading4"/>
        <w:numPr>
          <w:ilvl w:val="3"/>
          <w:numId w:val="1"/>
        </w:numPr>
        <w:rPr/>
      </w:pPr>
      <w:bookmarkStart w:id="68" w:name="__RefHeading___Toc6736776_1280447820"/>
      <w:bookmarkStart w:id="69" w:name="_Toc23"/>
      <w:bookmarkEnd w:id="67"/>
      <w:bookmarkEnd w:id="68"/>
      <w:r>
        <w:rPr>
          <w:rtl w:val="true"/>
        </w:rPr>
        <w:t xml:space="preserve">الحضارة والرغبة </w:t>
      </w:r>
      <w:r>
        <w:rPr>
          <w:rtl w:val="true"/>
        </w:rPr>
        <w:t>(</w:t>
      </w:r>
      <w:r>
        <w:rPr/>
        <w:t>Eros and civilization</w:t>
      </w:r>
      <w:r>
        <w:rPr>
          <w:rtl w:val="true"/>
        </w:rPr>
        <w:t xml:space="preserve">) </w:t>
      </w:r>
      <w:r>
        <w:rPr/>
        <w:t>1955</w:t>
      </w:r>
      <w:bookmarkEnd w:id="69"/>
    </w:p>
    <w:p>
      <w:pPr>
        <w:pStyle w:val="BookText"/>
        <w:rPr/>
      </w:pPr>
      <w:r>
        <w:rPr>
          <w:rFonts w:ascii="Amiri" w:hAnsi="Amiri" w:eastAsia="Amiri" w:cs="Amiri"/>
          <w:color w:val="111111"/>
          <w:sz w:val="28"/>
          <w:sz w:val="28"/>
          <w:szCs w:val="28"/>
          <w:rtl w:val="true"/>
          <w:lang w:bidi="ar-SA"/>
        </w:rPr>
        <w:t>وقد قام فيه بالتأليف والتقريب بين فرويد وماركس، وقد اصطبغ الكتاب بصبغةٍ سيسيوفلسفيّة جمعت بين الجانبَين النفسيّ والفلسفيّ</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6736778_1280447820"/>
      <w:bookmarkStart w:id="71" w:name="_Toc24"/>
      <w:bookmarkEnd w:id="70"/>
      <w:r>
        <w:rPr>
          <w:rtl w:val="true"/>
        </w:rPr>
        <w:t>الْ مَرْكِسِيَّة السوفيتيّة</w:t>
      </w:r>
      <w:r>
        <w:rPr/>
        <w:t>Soviet Marxism) 1958</w:t>
      </w:r>
      <w:r>
        <w:rPr>
          <w:rtl w:val="true"/>
        </w:rPr>
        <w:t>)</w:t>
      </w:r>
      <w:bookmarkEnd w:id="71"/>
    </w:p>
    <w:p>
      <w:pPr>
        <w:pStyle w:val="BookText"/>
        <w:rPr/>
      </w:pPr>
      <w:r>
        <w:rPr>
          <w:rFonts w:ascii="Amiri" w:hAnsi="Amiri" w:eastAsia="Amiri" w:cs="Amiri"/>
          <w:color w:val="111111"/>
          <w:sz w:val="28"/>
          <w:sz w:val="28"/>
          <w:szCs w:val="28"/>
          <w:rtl w:val="true"/>
          <w:lang w:bidi="ar-SA"/>
        </w:rPr>
        <w:t xml:space="preserve">انتقد ماركوز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التطبيق السوفياتي للماركسيّة، وأشار إلى اتّجاهات تحرّريّة داخل النظام السوفياتي تحقّقت في الثمانينيات في عهد غورباتشوف</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6736780_1280447820"/>
      <w:bookmarkStart w:id="73" w:name="_Toc25"/>
      <w:bookmarkEnd w:id="72"/>
      <w:r>
        <w:rPr>
          <w:rtl w:val="true"/>
        </w:rPr>
        <w:t xml:space="preserve">الإنسان ذو البعد الواحد </w:t>
      </w:r>
      <w:r>
        <w:rPr>
          <w:rtl w:val="true"/>
        </w:rPr>
        <w:t>(</w:t>
      </w:r>
      <w:r>
        <w:rPr/>
        <w:t>One Dimentional Man( 1958</w:t>
      </w:r>
      <w:bookmarkEnd w:id="73"/>
    </w:p>
    <w:p>
      <w:pPr>
        <w:pStyle w:val="BookText"/>
        <w:rPr/>
      </w:pPr>
      <w:r>
        <w:rPr>
          <w:rFonts w:ascii="Amiri" w:hAnsi="Amiri" w:eastAsia="Amiri" w:cs="Amiri"/>
          <w:color w:val="111111"/>
          <w:sz w:val="28"/>
          <w:sz w:val="28"/>
          <w:szCs w:val="28"/>
          <w:rtl w:val="true"/>
          <w:lang w:bidi="ar-SA"/>
        </w:rPr>
        <w:t>وهو أهم أعماله على الإطلاق بحيث وجّه فيه نقدًا مشتركًا للمجتمعات الرأسماليّة والشيوعيّة، بحيث إنّ المجتمعات الصناعيّة الحديثة خلقت احتياجات وهميّة للإنسان ومن خلال أجهزة الإعلام والإعلانات تمّ توجيه جميع الأفراد للفكر الاستهلاكي</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انتهج ماركوز في أعماله فلسفة النفي؛ فقد امتاز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بداية أعماله الفلسفيّة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باتجاهٍ عقلانيٍّ صارمٍ، فكانت النَّظَرِيَّة النَّقْدِيَّة في مواجهة المثاليّة والذاتيّة والبرجوازيّة محاربة إيّاها في أكثر المواضيع خصوصيّةً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الماهيّة والوجود، العقلانيّة واللاَّ عقلانيّة، الماديّة والمثاليّة، وكان جوهر النّقد التاريخي لفلسفة ماركوز الثوريّة يتمثّل في معالجة نظام الإنتاج الرأسمالي والعلاقات الِجْتِمَعِيِّة فيه</w:t>
      </w:r>
      <w:r>
        <w:rPr>
          <w:rFonts w:eastAsia="Amiri" w:cs="Amiri" w:ascii="Amiri" w:hAnsi="Amiri"/>
          <w:color w:val="111111"/>
          <w:sz w:val="28"/>
          <w:szCs w:val="28"/>
          <w:rtl w:val="true"/>
          <w:lang w:bidi="ar-SA"/>
        </w:rPr>
        <w:t xml:space="preserve">. </w:t>
      </w:r>
      <w:bookmarkStart w:id="74" w:name="pg16380_210322"/>
    </w:p>
    <w:p>
      <w:pPr>
        <w:pStyle w:val="Heading3"/>
        <w:numPr>
          <w:ilvl w:val="2"/>
          <w:numId w:val="1"/>
        </w:numPr>
        <w:rPr/>
      </w:pPr>
      <w:bookmarkStart w:id="75" w:name="__RefHeading___Toc6736782_1280447820"/>
      <w:bookmarkStart w:id="76" w:name="_Toc26"/>
      <w:bookmarkEnd w:id="74"/>
      <w:bookmarkEnd w:id="75"/>
      <w:r>
        <w:rPr>
          <w:rtl w:val="true"/>
        </w:rPr>
        <w:t>المطلب الخامس</w:t>
      </w:r>
      <w:r>
        <w:rPr>
          <w:rtl w:val="true"/>
        </w:rPr>
        <w:t xml:space="preserve">: </w:t>
      </w:r>
      <w:r>
        <w:rPr>
          <w:rtl w:val="true"/>
        </w:rPr>
        <w:t xml:space="preserve">يورغن هابرماس </w:t>
      </w:r>
      <w:r>
        <w:rPr>
          <w:rtl w:val="true"/>
        </w:rPr>
        <w:t>(</w:t>
      </w:r>
      <w:r>
        <w:rPr/>
        <w:t>Jürgen Habermas</w:t>
      </w:r>
      <w:r>
        <w:rPr>
          <w:rtl w:val="true"/>
        </w:rPr>
        <w:t>)</w:t>
      </w:r>
      <w:bookmarkEnd w:id="76"/>
    </w:p>
    <w:p>
      <w:pPr>
        <w:pStyle w:val="BookText"/>
        <w:rPr/>
      </w:pPr>
      <w:r>
        <w:rPr>
          <w:rFonts w:ascii="Amiri" w:hAnsi="Amiri" w:eastAsia="Amiri" w:cs="Amiri"/>
          <w:color w:val="111111"/>
          <w:sz w:val="28"/>
          <w:sz w:val="28"/>
          <w:szCs w:val="28"/>
          <w:rtl w:val="true"/>
          <w:lang w:bidi="ar-SA"/>
        </w:rPr>
        <w:t>هو فيلسوف وعالم اجتماع ألماني معاصر يعتبر من أهمّ علماء الاجتماع والسياسة في عالمنا المعاصر، ألمانيا وما زال يعيش بألمانيا، ويعدّ من أهمّ منظّري مدرسة فرانكفورت النَّقْدِيَّة له أكثر من خمسين مؤلفًا يتحدّث عن مواضيع عديدة في الفلسفة وعلم الاجتماع، وهو صاحب نظريّة الفعل التواصلي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يورغن هابرماس في دسلدورف، شمال الراين في ألمانيا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ويستفاليا حاليا، عَمِل والده ايرنست هابرماس مديرًا تنفيذيًّا لغرفة الصناعة والتجارة، وقد وصفه هابرماس الابن بأنّه متعاطفٌ مع النازيةّ، لوقد تربَّ في أ ة سر برتوستانتية، ودرس في جامعات جوتنجين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وزيورخ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Zürich</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وبون </w:t>
      </w:r>
      <w:r>
        <w:rPr>
          <w:rFonts w:eastAsia="Times New Roman" w:cs="Times New Roman" w:ascii="Times New Roman" w:hAnsi="Times New Roman"/>
          <w:color w:val="111111"/>
          <w:sz w:val="28"/>
          <w:szCs w:val="28"/>
          <w:lang w:val="en-US" w:bidi="en-US"/>
        </w:rPr>
        <w:t>Bonn(1951-1955)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ونال درجة الدكتوراه في الفلسفة من بون عامَ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بأطروحته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المطلق والتاريخ؛ حول التناقض في فكر شِلينغ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The absolute and history: on the contradiction in Schel�( ling )</w:t>
      </w:r>
      <w:r>
        <w:rPr>
          <w:rFonts w:ascii="Amiri" w:hAnsi="Amiri" w:eastAsia="Amiri" w:cs="Amiri"/>
          <w:color w:val="111111"/>
          <w:sz w:val="28"/>
          <w:sz w:val="28"/>
          <w:szCs w:val="28"/>
          <w:rtl w:val="true"/>
          <w:lang w:bidi="ar-SA"/>
        </w:rPr>
        <w:t xml:space="preserve">، وكان من بين لجنة المشرفين على أطروحته إريك روذاكير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Erich Rothacker</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وأوسكار بيكر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Oskar Becker</w:t>
      </w:r>
      <w:r>
        <w:rPr>
          <w:rFonts w:eastAsia="Times New Roman" w:cs="Times New Roman" w:ascii="Times New Roman" w:hAnsi="Times New Roman"/>
          <w:color w:val="111111"/>
          <w:sz w:val="28"/>
          <w:szCs w:val="28"/>
          <w:rtl w:val="true"/>
          <w:lang w:val="en-US" w:bidi="en-US"/>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 الفلسفة وعلم الاجتماع على يد المنظّرينالنقديين مثل ماكس هوركايمر وثيودور أدورنو في معهد البحث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فرانكفورت، لكن بسبب خلافٍ بين الاثنين على أطروحته، بالإضافة إلى اعتقاده الشخصي أنّ مدرسة فرانكفورت </w:t>
      </w:r>
    </w:p>
    <w:p>
      <w:pPr>
        <w:pStyle w:val="BookText"/>
        <w:rPr/>
      </w:pPr>
      <w:r>
        <w:rPr>
          <w:rFonts w:ascii="Amiri" w:hAnsi="Amiri" w:eastAsia="Amiri" w:cs="Amiri"/>
          <w:color w:val="111111"/>
          <w:sz w:val="28"/>
          <w:sz w:val="28"/>
          <w:szCs w:val="28"/>
          <w:rtl w:val="true"/>
          <w:lang w:bidi="ar-SA"/>
        </w:rPr>
        <w:t xml:space="preserve">كانت قد أَصبحت مشلولة بالشكوكيّة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skepticism</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والازدراء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dis� dain</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السياسي للثقافة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أنهى تأهيله في العلوم السياسية في جامعة ماربورغ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Marburg</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إذ تتلمذ على يد الْمَرْكِسِِّ ولفجانج ابيندروث، وقد عنونت دراسته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التحولات البنيوية للأوضاع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تساؤلات ضمن أصناف المجتمع البرجوازي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The Structural Transformation of the Public Sphere: an In�( quiry into a Category of Bourgeois Society )</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أستاذًا في جامعة بورج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وبقرارٍ غير معتاد بالنسبة للمشهد الأكاديمي الألماني في تلك المدّة رُشِّح هابرماس ليكون أستاذًا استثنائيًّا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أستاذ بدون 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للفلسفة في جامعة هايدلبرغ بتوصية من هانز جورج جادامر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Hans-Georg Gadamer</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وكارل لويث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Karl Lwith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إلى مدرسة فرانكفورت مدعومًا من قبل أدورنو لتولي كرسي هوركايمر في مجال الفلسفة وعلم الاجتماع</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تسلّم منصب مدير معهد ماكس بلانك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Max Planck Institute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ستيرنبيرج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ميونخ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وعمل هناك حتى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بعد سنتين من نشر رائعته، نظريّة الفعل التواصلي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Theory of Communicative Action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بعد ذلك عاد هابرماس إلى كرسيّه في فرَانْكِفُورْتْ مديرًا لمعهد البحث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أن تقاعد من فرَانْكِفُورْتْ في العام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واصل نشر أعماله ذات المواضيع واسعة النّطاق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 خطابًا حول تأهيل الدّور العام للدين في السياق العلماني، بخصوص تطوّر الْفَصْل بين الكنيسة والدولة من الحياد إلى العلمانيّة الحادّة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تتلمذ على يديه العديد من الأساتذة المعروفين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أبرزهم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الاجتماع السياسي كلوس أوفّ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Claus Offe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الفيلسوف الِجْتِمَعِيِّ يوهان أرناسون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Johann Arnason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المنظّر الِجْتِمَعِيِّ هانز جوس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Hans Joas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منظّر التطوّر الِجْتِمَعِيِّ كلاوس إيدير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Klaus Eder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الفيلسوف الِجْتِمَعِيِّ أكسل هونيث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Axel Honneth</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المدير الحالي لمعهد البحث الاجتماعي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الفيلسوف الأميركي توماس مكارثي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Thomas McCarthy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الباحث الِجْتِمَعِيِّ جيرمي شابيرو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Jeremy Shapiro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ورئيس الوزراء الصربي المغتال زوران دينديك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Zoran indic</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وريث مدرسة فرانكفورت</w:t>
      </w:r>
    </w:p>
    <w:p>
      <w:pPr>
        <w:pStyle w:val="BookText"/>
        <w:rPr/>
      </w:pPr>
      <w:r>
        <w:rPr>
          <w:rFonts w:ascii="Amiri" w:hAnsi="Amiri" w:eastAsia="Amiri" w:cs="Amiri"/>
          <w:color w:val="111111"/>
          <w:sz w:val="28"/>
          <w:sz w:val="28"/>
          <w:szCs w:val="28"/>
          <w:rtl w:val="true"/>
          <w:lang w:bidi="ar-SA"/>
        </w:rPr>
        <w:t>وصل يورغن هابرماس إلى درجة من الشهرة والتأثير العالمي لم ينجح الرعيل الأوّل من ممثلي النَّظَرِيَّة النَّقْدِيَّة الِجْتِمَعِيِّة والمعروفة في حقل الفلسفة المعاصرة بمَدْرَسَةٌ فرَانْكِفُورْتْ في الوصول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الرَّغْمِ من الثّقل العلمي لأفكار الجيل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هوركايمر، أدورنو، ماركوزه، إريك فروم…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هابرماس هو الفيلسوف الوحيد الذي فرض نفسه على المشهد السياسي والثقافي في ألمانيا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فيلسوف الجمهورية الألمانية الجديدة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 تعبير وزير الخارجيّة الألماني يوشكا فيشر، و ذلك منذ أكثر من خمسين عامًا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بالفعل يعتبر الوريث الشرعيّ المعاصر لإرث مدرسة فرانكفورت، وعلى الرَّغْمِ من أنّ هناك أفكارًا مشتركةً واضحةً بينه وبين أسلافه، فإنّه نحا بهذه المدرسة منحًى مختلفًا، وإذا كان ما </w:t>
      </w:r>
    </w:p>
    <w:p>
      <w:pPr>
        <w:pStyle w:val="BookText"/>
        <w:rPr/>
      </w:pPr>
      <w:r>
        <w:rPr>
          <w:rFonts w:ascii="Amiri" w:hAnsi="Amiri" w:eastAsia="Amiri" w:cs="Amiri"/>
          <w:color w:val="111111"/>
          <w:sz w:val="28"/>
          <w:sz w:val="28"/>
          <w:szCs w:val="28"/>
          <w:rtl w:val="true"/>
          <w:lang w:bidi="ar-SA"/>
        </w:rPr>
        <w:t xml:space="preserve">يجمع أعمال أدورنو وهوركايمر وماركوز الاهتمام الشديد بحريّة الإنسان مهما بعدت إمكانيّة وجود تلك الحريّة عن أرض الواقع، فإنّ هابرماس أقلّ حماسًا في هذا الجانب رغم وجوده؛ فهو يتحرّر من التذبذب بين التفاؤل والتشاؤم ويركّز جلّ تفكيره بدلاً من ذلك على تحليل الفعل والبنى الاجتماعيّة، ولا جدال في انتماء هابرماس إلى اليسار، إلاّ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وربّا بشكل غير متوقع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ينتقد التقاليد الْفِكْرِيَّة التي تنتمي إليها، الأمر الذي اتنهى به إلى النأي بنفسه عن الحركة الطلاَّبية التي ظهرت في الستينيات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النظر إليه،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باعتباره متمسّكًا بتصوّرٍ يزاوج بين البنية والفعل في نظريّة كليّة واحدة، وثانيًا، بوصفه مدافعًا عن مشروع الحداثة، وبخاصّة عن فكرتي العقل والأخلاق الكليين، وأمّا حجته في ذلك فهي أنّ مشروع الحداثة لم يفشل، بل بالأحرى لم يتجسّد أبدًا؛ لذا فالحداثة لم تنتهِ بعد، ويظهر أنّ هذا الموقف يضعه في اتّجاه معارض تمامًا مع أسلافه بالنظر إلى موقفهم من نقد عقل التنوير، إلاّ أنّ موقفه يتضمّن الإصرار على جدل التنوير، أي أنّ عمليّة التنوير لها جانبان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يتضمّن أحدهما فكر البناء الهرمي والاستبعاد، في حين يحمل الجانب الآخر إمكانيّة إقامة مجتمع حرٍّ يسعد به الجميع على الأقلّ، ونظريّة ما بعد الحداثة تفتقد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هابرماس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العنصر الأخير</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المصالح المعرفيّة فتعني عند هابرماس أنّنا دومًا نطوّر المعرفة لغرض معيّ، وتحقيق ذلك الغرض هو أساس مصلحتنا في تلك المعرفة، والمصالح التي يناقشها هابرماس هي مصالح مشتركة بين الناس جميعًا، بحكم أنّنا أعضاء في المجتمع الإنساني، فيذهب </w:t>
      </w:r>
    </w:p>
    <w:p>
      <w:pPr>
        <w:pStyle w:val="BookText"/>
        <w:rPr/>
      </w:pPr>
      <w:r>
        <w:rPr>
          <w:rFonts w:ascii="Amiri" w:hAnsi="Amiri" w:eastAsia="Amiri" w:cs="Amiri"/>
          <w:color w:val="111111"/>
          <w:sz w:val="28"/>
          <w:sz w:val="28"/>
          <w:szCs w:val="28"/>
          <w:rtl w:val="true"/>
          <w:lang w:bidi="ar-SA"/>
        </w:rPr>
        <w:t xml:space="preserve">هابرماس إلى أنّ العمل ليس وحده ما يميِّز البشر عن الحيوانات، بل واللّغة كذلك، فالعمل يؤدّي إلى ظهور المصلحة التقنية، وهي المتمثّلة في السيطرة على العمليّات الطبيعيّة واستغلالها لمصلحتنا، وتؤدّي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بوصفها الوسيلة الأخرى التي يحوّل بواسطتها البشر بيئتهم إلى ظهور ما يدعوه هابرماس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المصلحة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ظهور العلوم التأويليّة؛ حيث يذهب هابرماس إلى أنّ المصلحة العمليّة تفضي إلى نوع ثالث من المصلحة وهي مصلحة الانعتاق والتحرّر، وهذه الأخيرة تسعى لتخليص التفاعل والتواصل في العناصر التي تشوّهها عن طريق إصلاحها ومصلحة الانعتاق والتحرّر تؤدّي إلى ظهور العلوم النقديّة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فلسفة اللغة ونظرية فعل التواصل</w:t>
      </w:r>
    </w:p>
    <w:p>
      <w:pPr>
        <w:pStyle w:val="BookText"/>
        <w:rPr/>
      </w:pPr>
      <w:r>
        <w:rPr>
          <w:rFonts w:ascii="Amiri" w:hAnsi="Amiri" w:eastAsia="Amiri" w:cs="Amiri"/>
          <w:color w:val="111111"/>
          <w:sz w:val="28"/>
          <w:sz w:val="28"/>
          <w:szCs w:val="28"/>
          <w:rtl w:val="true"/>
          <w:lang w:bidi="ar-SA"/>
        </w:rPr>
        <w:t xml:space="preserve">ويتوجّه هابرماس في أعماله الأخيرة وبخاصّة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فعل التواصل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فلسفة اللغة ابتغاء توسيع أساس النظريّة النَّقْدِيَّة وقد قدّم أطروحة صعبة سنجملها في مراحل 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إلى ضرورة التحرُّرممّ يدعوه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بفلسفة الوعي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يعني بِها الفلسفة التي ترى العلاقة بين اللّغة والفعل كالعلاقة بين الذات والموضوع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التحرّر من منظومة الفكر التجريبي</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يتّخذ الفعل صورتين، الفعل الاستراتيجي وفعل التواصل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يتضمّن الفعل الغائي العقلاني، في حين أنّ فعل التوّاصل هو ذلك الفعل الذي يرمي للوصول إلى الفهم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يترتّب على فعل التواصل الأوّلية عدّة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العقلانيّة بهذا المعنى ليس مثالً نقتنصه من السّماء، بل هو موجود في لغتنا ذاتها، وهذه العقلانيّة تستلزم نسقًا اجتماعيًّا ديمقراطيًّا لا يستبعد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ثمّة نظام أخلاقي ضمنيّ يحاول هابرماس الكشف عنه، وهو الأخلاق الكليّة الذي لا يتوجّه إلى تحليل مضمون المعايير بقدر توجّهه إلى طريقة التوصّل إليها، والتوصّل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هابرماس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عبر نقاشٍ حرٍّ عقلانيٍّ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ملاحظة أنّ مناقشة هابرماس للرأسماليّة الحديثة تفتقد للحماس الذي اتّسمت به أعمال الرعيل الأوّل لمدرسة فرانكفورت؛ فهابرماس يرى في الرأسماليّة مرحلة يمكن أن تنحرف فتؤدّي إلى كارثة، لكنّها عنده ليست شرًّا مستطيرًا، ولقد ركّز على ظاهرة الهيمنة التقنيّة والعقل الأداتي السائد في هذا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وحول ماركس يرى هابرماس أنّ الجزء المبدع لأعماله أصبح مدفونًا في تربة النزعة الأداتيّة والوصفيّة، ويرى هابرماس أنّ مسؤوليّة ذلك على عاتق ماركس نفسه، وعلى تركيزه تركيزًا شديدًا على العمل باعتباره الخاصيّة المميّزة للبشر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وُجّهت لهابرماس مجموعة انتقادات أهمّها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يثبت ولا يستطيع أن يثبت أولويّة فعل التواصل على الفعل الاستراتيجي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مرتبط بالنّقد الأوّل، وأنّ أطروحته حول الانعتاق والتحرّر لم تثبت، ليس هذا فقط، بل إنّ محاولة إقامة النّقد على التفرقة بين النّقد والحياة اليوميّة تقوّض وضع التحرّر الذي يزعمه والمشكوك فيه أساسًا، وبذلك يظهر أنّ مشروع هابرماس يعاني بمجمله من تناقض في الأهداف، فإن أخذنا مشروعه الأكبر بأوضح معانيه، فسيظهر أنّ محاولة تأمين أولويّة التواصل في فلسفة اللّغة، تجهضها تلك التفرقة التي يُقيمها بين النّسق والحياة 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فإنّ إعطاء الأولويّة لطرف على آخر في معادلة الفعل أو البنية تقوّض النَّظَرِيَّة من عروشها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 أقدم على هذه الترجمة لهابرماس أشعر بثقل المهمّة لصعوبة أبجديات الفلسفة التي يطرحها، بالإضافة إلى المصطلحات التي صكّها والتي تحتاج منّا وضعها في سياقاتها التي أرادها لها صائغها، وإنّني أعتبر هابرماس نموذجًا للمثقّف الديناميكي الذي يتفاعل مع حركة المجتمع والتاريخ، إيمانًا منه أنّ النَّظَرِيَّة تحتاج دائمًا إلى أن تدلّل على نفسها كلّما حاولت أن تطبق نفسها في ميدان أو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هابرماس والنظرية الاجتماعية</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بنى هابرماس إطارًا شاملً للنظريّة الاجتماعيّة، ورسم الفلسفة من خلال عدد من التقاليد الثقافية، واعتبر هابرماس أنّ إنجازه الرئيس هو تطوير مفهوم ونظريّة العقلانيّة التواصليّة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communicative rationality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الذي يميّزه عن التقليد العقلاني بتحديد العقلانيّة في بنى الاتّصال اللّغويّ الشخصيّ، وتقدّم هذه </w:t>
      </w:r>
    </w:p>
    <w:p>
      <w:pPr>
        <w:pStyle w:val="BookText"/>
        <w:rPr/>
      </w:pPr>
      <w:r>
        <w:rPr>
          <w:rFonts w:ascii="Amiri" w:hAnsi="Amiri" w:eastAsia="Amiri" w:cs="Amiri"/>
          <w:color w:val="111111"/>
          <w:sz w:val="28"/>
          <w:sz w:val="28"/>
          <w:szCs w:val="28"/>
          <w:rtl w:val="true"/>
          <w:lang w:bidi="ar-SA"/>
        </w:rPr>
        <w:t xml:space="preserve">النَّظَرِيَّة الِجْتِمَعِيِّة أهداف الانعتاق أو التحرّر الإنسانيّ، بينما يبقى الإطار الأخلاقي الشامل؛ هذا الإطار الذي يستند إلى حجّة تدعى البرغماتية الشاملة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universal pragmatics</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كلّ الأفعال الخطابيّة لها نهاية متأصّلة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هدف الفهم المتبادل، وأنّ البشر يمتلكون القدرة التواصليّة لجلب مثل هذا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بنى هابرماس إطارًا خارج فلسفة الفعل الخطابي لودفيغ وتغنشتاين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Wittgenstein</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وأوستن، وجون سيرل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Searle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والنظريّة الِجْتِمَعِيِّة للعرف الثقافي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interactional constitution</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للعقل لجورج هربرت مييد، ونظريّات التنمية الأخلاقيّة لجين بياجيه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Piaget</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ولورانس كولبيرغ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Kohlberg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وأخلاقيّات الخطاب لكارل هيديلبيرغ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أوتو ابل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Heidelberg colleague Karl-Otto Apel</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قدّم هابرماس تقاليد كانط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Kant</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والتنوير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Enlightenment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والاشتراكية الديمقراطية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democratic socialism</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من خلال تأكيده على الإمكانيّة لتحويل العالم ووصوله إلى أكثر إنسانيّة، ومجتمع عادل من خلال إدراك الإمكانيّة البشريّة للمنطق، جزئيًّا من خلال أخلاقيّات الجدل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اعترف هابرماس بأنّ التنوير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مشروع غير منتهي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نجده يجادل بأنّه يجب أن يصحّح ويتمّم، لا أن يُنبذ، وهو في هذا أبعد نفسه عن مدرسة فرانكفورت، بل انتقدها، للتشاؤم المفرط والراديكاليات والمبالغات المضلّلة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نقده معظم فكر ما بعد الحداثة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postmodernist</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قدّم هابرماس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إعادة بناء العلوم </w:t>
      </w:r>
      <w:r>
        <w:rPr>
          <w:rFonts w:eastAsia="Times New Roman" w:cs="Times New Roman" w:ascii="Times New Roman" w:hAnsi="Times New Roman"/>
          <w:color w:val="111111"/>
          <w:sz w:val="28"/>
          <w:szCs w:val="28"/>
          <w:lang w:val="en-US" w:bidi="en-US"/>
        </w:rPr>
        <w:t>Reconstruc�» (tive science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لهدف مزدوج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نظريّة عامّة للمجتمع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p>
    <w:p>
      <w:pPr>
        <w:pStyle w:val="BookText"/>
        <w:rPr/>
      </w:pPr>
      <w:r>
        <w:rPr>
          <w:rFonts w:ascii="Amiri" w:hAnsi="Amiri" w:eastAsia="Amiri" w:cs="Amiri"/>
          <w:color w:val="111111"/>
          <w:sz w:val="28"/>
          <w:sz w:val="28"/>
          <w:szCs w:val="28"/>
          <w:rtl w:val="true"/>
          <w:lang w:bidi="ar-SA"/>
        </w:rPr>
        <w:t xml:space="preserve">الفلسفة وعلم الاجتماع، ولرأب الصّدع الحاصل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التنظير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theorization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البحث الميداني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empirical research</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 xml:space="preserve">نموذج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إعادة بناء العقلانيّة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يمثّل الخيط الرئيسي للمسوح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الحياة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واستجاباتها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الوظيفيّة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إعادة الإنتاج الثقافي، التكامل الِجْتِمَعِيِّ والتنشئة الاجتماعيّة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أهمّ أعماله الّتي تمّت ترجمتها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التحوُّلاَت البنيويّة للأوضاع الِجْتِمَعِيِّة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النَّظَرِيَّة والممارسة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منطق العلوم الِجْتِمَعِيِّة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مجتمع عقلاني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التكنولوجيا والعلم كإيديولوجية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المعرفة والمصالح البشريّة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الهويّة الاجتماعية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التواصل وتطوّر المجتمع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براغماتيات التفاعل الِجْتِمَعِيِّ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نظريّة الفعل الصريحة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الوعي الأخلاقي والفعل التواصلي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لمحات فلسفية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الخطاب الفلسفي للحداثة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المحافظيّة الجديدة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تفكير ما بعد الميتافيزيقا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التبرير والتطبيق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بين الحقائق والمعايير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مساهمات لنظرية جدل القانون والديمقراطية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براغماتيات التواصل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تضمين الآخرين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جمهورية بلرين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العقلانية والدين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الحقيقة والتبرير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مستقبل الطبيعة البشريّة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أوروبا القديمة، أوروبا الجديدة، قلب أوروبا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الغرب المنقسم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جدل العلمانيّة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الفلسفة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 xml:space="preserve">) </w:t>
      </w:r>
      <w:bookmarkStart w:id="77" w:name="pg16380_210331"/>
    </w:p>
    <w:p>
      <w:pPr>
        <w:pStyle w:val="Heading3"/>
        <w:numPr>
          <w:ilvl w:val="2"/>
          <w:numId w:val="1"/>
        </w:numPr>
        <w:rPr/>
      </w:pPr>
      <w:bookmarkStart w:id="78" w:name="__RefHeading___Toc6736784_1280447820"/>
      <w:bookmarkStart w:id="79" w:name="_Toc27"/>
      <w:bookmarkEnd w:id="77"/>
      <w:bookmarkEnd w:id="78"/>
      <w:r>
        <w:rPr>
          <w:rtl w:val="true"/>
        </w:rPr>
        <w:t>المطلب السادس</w:t>
      </w:r>
      <w:r>
        <w:rPr>
          <w:rtl w:val="true"/>
        </w:rPr>
        <w:t xml:space="preserve">: </w:t>
      </w:r>
      <w:r>
        <w:rPr>
          <w:rtl w:val="true"/>
        </w:rPr>
        <w:t>إريك فروم</w:t>
      </w:r>
      <w:r>
        <w:rPr>
          <w:rtl w:val="true"/>
        </w:rPr>
        <w:t>(</w:t>
      </w:r>
      <w:r>
        <w:rPr/>
        <w:t>Erich Fromm</w:t>
      </w:r>
      <w:r>
        <w:rPr>
          <w:rtl w:val="true"/>
        </w:rPr>
        <w:t>)</w:t>
      </w:r>
      <w:bookmarkEnd w:id="79"/>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إريك فروم في مدينة فرَانْكِفُورْتْ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مارس عام </w:t>
      </w:r>
      <w:r>
        <w:rPr>
          <w:rFonts w:eastAsia="Amiri" w:cs="Amiri" w:ascii="Amiri" w:hAnsi="Amiri"/>
          <w:color w:val="111111"/>
          <w:sz w:val="28"/>
          <w:szCs w:val="28"/>
          <w:lang w:bidi="ar-SA"/>
        </w:rPr>
        <w:t>1900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عالم نفس وفيلسوف إنساني ألماني أميركي، هاجر إلى الولايات المتحدة الأميركية في عام </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والتحق بجامعة فرَانْكِفُورْتْ وهايدلبيرغ حيث درس فيهما العلوم الِجْتِمَعِيِّة والنفسيّة والفلسفيّة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 فروم دراسته الأكاديمية عام </w:t>
      </w:r>
      <w:r>
        <w:rPr>
          <w:rFonts w:eastAsia="Amiri" w:cs="Amiri" w:ascii="Amiri" w:hAnsi="Amiri"/>
          <w:color w:val="111111"/>
          <w:sz w:val="28"/>
          <w:szCs w:val="28"/>
          <w:lang w:bidi="ar-SA"/>
        </w:rPr>
        <w:t>1918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في جامعة فرَانْكِفُورْتْ التي درس فيها فلسفة القانون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Jurisprudence</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لفصلين دراسيّين ولكن لم يكن يرغب في أن يصبح محاميًا، فغيّ اتّجاهه عام </w:t>
      </w:r>
      <w:r>
        <w:rPr>
          <w:rFonts w:eastAsia="Amiri" w:cs="Amiri" w:ascii="Amiri" w:hAnsi="Amiri"/>
          <w:color w:val="111111"/>
          <w:sz w:val="28"/>
          <w:szCs w:val="28"/>
          <w:lang w:bidi="ar-SA"/>
        </w:rPr>
        <w:t>1919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نحو دراسة علم الاجتماع في جامعة هايدلبيرغ تحت إشراف عالم الاجتماع ألفريد فيبر، والفلسفة تحت إشراف هاينريش ريكيرت، وعلم النفس بإشراف كارل جاسبرز، وحصل على درجة الدكتوراه من الجامعة نفسها عام </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وبعدها تدرّب على التحليل النفسي في مصحّة التحليل النفسي في هايدلبيرغ على يد الطبيبة النفسيّة فريدا رايخمان، التي أخذته لمنعطفٍ مهمّ في حياته العلميّة والعمليّة بتعريفه على عالم التحليل النفسي الفرويدي، وقد بدأ تحليلاته السريرية الفعلية عام </w:t>
      </w:r>
      <w:r>
        <w:rPr>
          <w:rFonts w:eastAsia="Amiri" w:cs="Amiri" w:ascii="Amiri" w:hAnsi="Amiri"/>
          <w:color w:val="111111"/>
          <w:sz w:val="28"/>
          <w:szCs w:val="28"/>
          <w:lang w:bidi="ar-SA"/>
        </w:rPr>
        <w:t>1927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وبعدها بثلاثة أعوام التحق بمعهد فرَانْكِفُورْتْ للبحوث الاجتماعية، وأتمّ تدريبه في التحليل النفسي، وانتقل فروم إلى جنيف بعد استيلاء النازيين على السلطة في ألمانيا، ومن ثمّ انتقل إلى جامعة كولومبيا في نيويورك، وبدءًا من عام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مشروعه قائمًا على مزاوجة إسهامات فرويد وماركس في إطار علم النفس الاجتماعي، وأقام علاقة مع معهد البحوث </w:t>
      </w:r>
    </w:p>
    <w:p>
      <w:pPr>
        <w:pStyle w:val="BookText"/>
        <w:rPr/>
      </w:pPr>
      <w:r>
        <w:rPr>
          <w:rFonts w:ascii="Amiri" w:hAnsi="Amiri" w:eastAsia="Amiri" w:cs="Amiri"/>
          <w:color w:val="111111"/>
          <w:sz w:val="28"/>
          <w:sz w:val="28"/>
          <w:szCs w:val="28"/>
          <w:rtl w:val="true"/>
          <w:lang w:bidi="ar-SA"/>
        </w:rPr>
        <w:t xml:space="preserve">الِجْتِمَعِيِّة وساهم في جريدته، ومنذ عام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ابتعد بوضوحٍ عن الفرويدية حين حاول أن يخلّصها من المغالاة في أهميّة الغرائز، وأولى اهتمامًا لتأثير العوامل الثقافية والاجتماعية، وطوّر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الطابع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ليعبّ به عن شخصيّة المجتمع الذي يشترك جميع أفراده في ثقافة مشتركة، وأقام تواصلً فكريًّا مع بحوث فيلهلم رايش التي أدخلت المجتمع كموضوع مؤثّر داخل البنية النفسيّة للفرد، ثم بدأ انفصالً جديدًا بينه وبين الفرويديّة، وبخاصّة ما يتّصل بعقدة أوديب؛ حيث رفض فروم فرضيّة كونها محرّكًا أساسًا داخل المجتمع الأبوي، ولم يتقبّل الأطروحة المبنيّة حول المحور الأوديبيّ كمطوّر للتاريخ وللحركة الكليّة للمجتمع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ساهم فروم في تأسيس فرع لمدرسة واشنطن للتحليل النفسي في نيويورك، كما شارك في تأسيس معهد وليام آنسون وايت للتحليل والطبّ النّفسي، كان فروم ضمن أعضاء هيئة التدريس في كلية بنينجتون من عام </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إلى </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وكان يقدّم دورات تعليميّة في المدرسة الجديدة للبحوث الِجْتِمَعِيِّة في نيويورك من عام </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وحتى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كان أستاذًا في علم النفس بجامعة ميشيغان من </w:t>
      </w:r>
      <w:r>
        <w:rPr>
          <w:rFonts w:eastAsia="Amiri" w:cs="Amiri" w:ascii="Amiri" w:hAnsi="Amiri"/>
          <w:color w:val="111111"/>
          <w:sz w:val="28"/>
          <w:szCs w:val="28"/>
          <w:lang w:bidi="ar-SA"/>
        </w:rPr>
        <w:t>1945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إلى </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وأستاذًا زائرًا في جامعة ييل من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إلى </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انتقل فروم إلى المكسيك عام </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وأصبح أستاذًا في الجامعة الوطنيّة المستقلّة في المكسيك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Times New Roman" w:cs="Times New Roman" w:ascii="Times New Roman" w:hAnsi="Times New Roman"/>
          <w:color w:val="111111"/>
          <w:sz w:val="28"/>
          <w:szCs w:val="28"/>
          <w:lang w:val="en-US" w:bidi="en-US"/>
        </w:rPr>
        <w:t>UNAM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وأنشأ قسمً للتحليل النف يس في كليّة الطبّ هناك، وفي الوقت نفسه، عمل أستاذًا لعلم النفس بجامعة ولاية ميشيغان في الفترة من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bookmarkStart w:id="80" w:name="pg16380_210333"/>
    </w:p>
    <w:p>
      <w:pPr>
        <w:pStyle w:val="BookText"/>
        <w:rPr/>
      </w:pPr>
      <w:bookmarkEnd w:id="80"/>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وكأستاذ مساعد لعلم النفس في قسم الدراسات العليا للفنون والعلوم بجامعة نيويورك بعد عام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واستمرّ في عمله في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UNAM</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حتّى تقاعده عام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وفي الجمعيّة المكسيكيّة للتحليل النف يس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SMP</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حتّى عام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الّذي انتقل فيه إلى مورالتو في سويسرا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كوّنت أعماله التيّار الأكثر تأثيرًا وأصالةً لمدرسة فرَانْكِفُورْتْ في الميدان النفسيّ الاجتماعيّ، ومن أهمّ مؤلّفاته المترجمة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الهروب من الحريّة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التحليل النفسي والدين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اللّغة المنسيّة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مدخل إلى فهم الأحلام والقصص الخياليّة والأساطير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المجتمع العاقل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سيجموند فرويد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تحليل لشخصيته وتأثيره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أزمة التحليل النفسى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مقالات عن فرويد وماركس وعلم النفس الِجْتِمَعِيِّ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تشريح نزوع الإنسان إلى التدمير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حرّر كتبًا بأقلام كتّاب متعدّدين عن بوذيّة زن ومفهوم ماركس للإنسان وغيرها</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6736786_1280447820"/>
      <w:bookmarkStart w:id="82" w:name="_Toc28"/>
      <w:bookmarkEnd w:id="81"/>
      <w:r>
        <w:rPr>
          <w:rtl w:val="true"/>
        </w:rPr>
        <w:t>المطلب السابع</w:t>
      </w:r>
      <w:r>
        <w:rPr>
          <w:rtl w:val="true"/>
        </w:rPr>
        <w:t xml:space="preserve">: </w:t>
      </w:r>
      <w:r>
        <w:rPr>
          <w:rtl w:val="true"/>
        </w:rPr>
        <w:t>ليولوفنتال</w:t>
      </w:r>
      <w:r>
        <w:rPr>
          <w:rtl w:val="true"/>
        </w:rPr>
        <w:t>(</w:t>
      </w:r>
      <w:r>
        <w:rPr/>
        <w:t>Leo Löwenthal</w:t>
      </w:r>
      <w:r>
        <w:rPr>
          <w:rtl w:val="true"/>
        </w:rPr>
        <w:t>)</w:t>
      </w:r>
      <w:bookmarkEnd w:id="82"/>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عضو معهد البحوث الِجْتِمَعِيِّة بجامعة فرانكفورت؛ وُلِدَ في المدينة نفسها عام </w:t>
      </w:r>
      <w:r>
        <w:rPr>
          <w:rFonts w:eastAsia="Amiri" w:cs="Amiri" w:ascii="Amiri" w:hAnsi="Amiri"/>
          <w:color w:val="111111"/>
          <w:sz w:val="28"/>
          <w:szCs w:val="28"/>
          <w:lang w:bidi="ar-SA"/>
        </w:rPr>
        <w:t>1900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عائلة برجوازيّة مثقّفة، ودرس بجامعتها ثم بجامعتي هايدلبرغ وجيانسن متخصّصًا في الأدب والفلسفة والتاريخ وعلم الاجتماع ليحصل على درجة الدكتوراه في الفلسفة عام </w:t>
      </w:r>
      <w:r>
        <w:rPr>
          <w:rFonts w:eastAsia="Amiri" w:cs="Amiri" w:ascii="Amiri" w:hAnsi="Amiri"/>
          <w:color w:val="111111"/>
          <w:sz w:val="28"/>
          <w:szCs w:val="28"/>
          <w:lang w:bidi="ar-SA"/>
        </w:rPr>
        <w:t>1923</w:t>
      </w:r>
      <w:r>
        <w:rPr>
          <w:rFonts w:eastAsia="Amiri" w:cs="Amiri" w:ascii="Amiri" w:hAnsi="Amiri"/>
          <w:color w:val="111111"/>
          <w:sz w:val="28"/>
          <w:szCs w:val="28"/>
          <w:rtl w:val="true"/>
          <w:lang w:bidi="ar-SA"/>
        </w:rPr>
        <w:t xml:space="preserve"> . </w:t>
      </w:r>
      <w:bookmarkStart w:id="83" w:name="pg16380_210334"/>
    </w:p>
    <w:p>
      <w:pPr>
        <w:pStyle w:val="BookText"/>
        <w:rPr/>
      </w:pPr>
      <w:bookmarkEnd w:id="83"/>
      <w:r>
        <w:rPr>
          <w:rFonts w:ascii="Amiri" w:hAnsi="Amiri" w:eastAsia="Amiri" w:cs="Amiri"/>
          <w:color w:val="111111"/>
          <w:sz w:val="28"/>
          <w:sz w:val="28"/>
          <w:szCs w:val="28"/>
          <w:rtl w:val="true"/>
          <w:lang w:bidi="ar-SA"/>
        </w:rPr>
        <w:t>وقد اتّصل خلال دراسته الجامعيّة بالأوساط الثوريّة، وعقد أثناءها علاقة صداقة حميمة مع إريك فروم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يُسهم لوفنتال في حياة معهد البحوث الِجْتِمَعِيِّة إلاّ اعتبارًا من عام </w:t>
      </w: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الوقت الذي كان يواصل عمله بالتدريس في المدارس الثانويّة، وكمستشارٍ فنيٍّ لمسرح الشعب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قدّم لوفنتال جهودًا علميّةً كثيرةً، وبحوثًا في علم اجتماع الأدب والثقافة الشعبيّة، وأضحى عضوًا دائمًا فيه بدءًا من عام </w:t>
      </w: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وعلى الرَّغْمِ من إسهاماته التي قدّمها للمعهد إلاّ أنّ تأثيره لا يُعتبر فاعلً على صعيد بناء وتطوير القواعد النَّظَرِيَّة للفكر النقديّ لمدرسة فرانكفورت، ومقارنةً بالجهود الفلسفيّة لهوركايمر</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6736788_1280447820"/>
      <w:bookmarkStart w:id="85" w:name="_Toc29"/>
      <w:bookmarkEnd w:id="84"/>
      <w:r>
        <w:rPr>
          <w:rtl w:val="true"/>
        </w:rPr>
        <w:t>المطلب الثامن</w:t>
      </w:r>
      <w:r>
        <w:rPr>
          <w:rtl w:val="true"/>
        </w:rPr>
        <w:t xml:space="preserve">: </w:t>
      </w:r>
      <w:r>
        <w:rPr>
          <w:rtl w:val="true"/>
        </w:rPr>
        <w:t xml:space="preserve">والتر بنيامين </w:t>
      </w:r>
      <w:r>
        <w:rPr>
          <w:rtl w:val="true"/>
        </w:rPr>
        <w:t>(</w:t>
      </w:r>
      <w:r>
        <w:rPr/>
        <w:t>w.Benjamin</w:t>
      </w:r>
      <w:r>
        <w:rPr>
          <w:rtl w:val="true"/>
        </w:rPr>
        <w:t>)</w:t>
      </w:r>
      <w:bookmarkEnd w:id="85"/>
    </w:p>
    <w:p>
      <w:pPr>
        <w:pStyle w:val="BookText"/>
        <w:rPr/>
      </w:pPr>
      <w:r>
        <w:rPr>
          <w:rFonts w:ascii="Amiri" w:hAnsi="Amiri" w:eastAsia="Amiri" w:cs="Amiri"/>
          <w:color w:val="111111"/>
          <w:sz w:val="28"/>
          <w:sz w:val="28"/>
          <w:szCs w:val="28"/>
          <w:rtl w:val="true"/>
          <w:lang w:bidi="ar-SA"/>
        </w:rPr>
        <w:t>هو والتر بنديكس شنوفليز بنيامين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بالألمانية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Walter Bendix 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Schönflies Benjamin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يوليو </w:t>
      </w:r>
      <w:r>
        <w:rPr>
          <w:rFonts w:eastAsia="Amiri" w:cs="Amiri" w:ascii="Amiri" w:hAnsi="Amiri"/>
          <w:color w:val="111111"/>
          <w:sz w:val="28"/>
          <w:szCs w:val="28"/>
          <w:lang w:bidi="ar-SA"/>
        </w:rPr>
        <w:t>1892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سبتمبر </w:t>
      </w:r>
      <w:r>
        <w:rPr>
          <w:rFonts w:eastAsia="Amiri" w:cs="Amiri" w:ascii="Amiri" w:hAnsi="Amiri"/>
          <w:color w:val="111111"/>
          <w:sz w:val="28"/>
          <w:szCs w:val="28"/>
          <w:lang w:bidi="ar-SA"/>
        </w:rPr>
        <w:t>1940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كاتبًا وفيلسوفًا، وعالم اجتماع، وناقدًا أدبيًّا، ومترجمً، وهو يهوديّ ماركسيّ ألمانيّ، وقد اعتبر لفترة أحد أعضاء مدرسة فرانكفورت في النَّظَرِيَّة النقدية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تأثرّ بنيامين بجرشوم شولم الذي أسّس الدراسة الأكاديميةّ الحديثة للقبالة والصوفيةّ اليهوديةّ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نصف القرن الأخير زاد احترام وتأثير أعماله بشكل ملحوظ، جاعلين بنيامين أحد أهمّ مفكّري القرن العشرين في موضوعي الأدب والتجربة الجماليّة الحديثة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دمج في نقده بين الماديّة التاريخيّة والمثاليّة الألمانيّة والأفكار الصوفيّة اليهوديّة، مقدّمًا إسهامًا جديدًا للفلسفة الْمَرْكِسِيَّة الغربيّة ونظريّة علم الجمال بصفته باحثًا أدبيًّا كتب مقالات شهيرة حول شارل بودلير، وترجم ديوان بودلير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أزهار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رواية بروست بحثًا عن الزمن المفقود، ولأعماله تأثير كبير في الأبحاث الأكاديمية وبخاصّة مقالته رسالة المترجم والأعمال الفنيّة في عصر إعادة الإنتاج الميكانيكي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بنيامين أطروحته المعروفة،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أطروحات حول مفهوم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المستوحاة من لوحة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أنجلوس نوفوس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الملاك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لبول كيلي، رأي الشّخص في اللوحة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ملاك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يتذكّر ماضي البشريّة ويخاف على مستقبلها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انتحر بنيامين في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سبتمبر عام </w:t>
      </w:r>
      <w:r>
        <w:rPr>
          <w:rFonts w:eastAsia="Amiri" w:cs="Amiri" w:ascii="Amiri" w:hAnsi="Amiri"/>
          <w:color w:val="111111"/>
          <w:sz w:val="28"/>
          <w:szCs w:val="28"/>
          <w:lang w:bidi="ar-SA"/>
        </w:rPr>
        <w:t>1940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بورت بو على الحدود الإسبانية الفرنسية، بينما كان يحاول الهرب من النازيين، عندما أدرك أنّ المجموعة التي يحاول الهرب معها لن تتمكّن من عبور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تمّ السماح لباقي أعضاء المجموعة بعبور الحدود في اليوم التالي</w:t>
      </w:r>
      <w:r>
        <w:rPr>
          <w:rFonts w:eastAsia="Amiri" w:cs="Amiri" w:ascii="Amiri" w:hAnsi="Amiri"/>
          <w:color w:val="111111"/>
          <w:sz w:val="28"/>
          <w:szCs w:val="28"/>
          <w:rtl w:val="true"/>
          <w:lang w:bidi="ar-SA"/>
        </w:rPr>
        <w:t xml:space="preserve">. </w:t>
      </w:r>
      <w:bookmarkStart w:id="86" w:name="pg16380_210336"/>
    </w:p>
    <w:p>
      <w:pPr>
        <w:pStyle w:val="Heading3"/>
        <w:numPr>
          <w:ilvl w:val="2"/>
          <w:numId w:val="1"/>
        </w:numPr>
        <w:rPr/>
      </w:pPr>
      <w:bookmarkStart w:id="87" w:name="__RefHeading___Toc6736790_1280447820"/>
      <w:bookmarkStart w:id="88" w:name="_Toc30"/>
      <w:bookmarkEnd w:id="86"/>
      <w:bookmarkEnd w:id="87"/>
      <w:r>
        <w:rPr>
          <w:rtl w:val="true"/>
        </w:rPr>
        <w:t>المطلب التاسع</w:t>
      </w:r>
      <w:r>
        <w:rPr>
          <w:rtl w:val="true"/>
        </w:rPr>
        <w:t xml:space="preserve">: </w:t>
      </w:r>
      <w:r>
        <w:rPr>
          <w:rtl w:val="true"/>
        </w:rPr>
        <w:t>إرنست بلوخ</w:t>
      </w:r>
      <w:r>
        <w:rPr>
          <w:rtl w:val="true"/>
        </w:rPr>
        <w:t>(</w:t>
      </w:r>
      <w:r>
        <w:rPr/>
        <w:t>Ernst Bloch</w:t>
      </w:r>
      <w:r>
        <w:rPr>
          <w:rtl w:val="true"/>
        </w:rPr>
        <w:t>)</w:t>
      </w:r>
      <w:bookmarkEnd w:id="88"/>
    </w:p>
    <w:p>
      <w:pPr>
        <w:pStyle w:val="BookText"/>
        <w:rPr/>
      </w:pPr>
      <w:r>
        <w:rPr>
          <w:rFonts w:ascii="Amiri" w:hAnsi="Amiri" w:eastAsia="Amiri" w:cs="Amiri"/>
          <w:color w:val="111111"/>
          <w:sz w:val="28"/>
          <w:sz w:val="28"/>
          <w:szCs w:val="28"/>
          <w:rtl w:val="true"/>
          <w:lang w:bidi="ar-SA"/>
        </w:rPr>
        <w:t xml:space="preserve">وُلِدَ بلوخ في لودفيغتشافين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يوليو عام </w:t>
      </w:r>
      <w:r>
        <w:rPr>
          <w:rFonts w:eastAsia="Amiri" w:cs="Amiri" w:ascii="Amiri" w:hAnsi="Amiri"/>
          <w:color w:val="111111"/>
          <w:sz w:val="28"/>
          <w:szCs w:val="28"/>
          <w:lang w:bidi="ar-SA"/>
        </w:rPr>
        <w:t>1885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فيلسوف ماركسي ألماني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 يهودي موظف في السكّة الحديدية، وعندما حصل النازيون على السلطة كان عليه الهرب، أولً إلى سويسرا، ثمّ النمسا، ففرنسا، فتشيكوسلوفاكيا، وأخيرًا إلى الولايات المتحدة، وقد عاد بلوخ عام </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وحصل على كرسي الفلسفة في جامعة لايبزيغ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بُني جدار برلين في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غادر إلى توبنغن في ألمانيا الغربية حيث حصل على الكرسي الفخري للفلسفة، وبقي هناك حتى مات في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بلوخ مؤثّرًا للغاية في سياق الحركات الاحتجاجيّة الطلابيّة في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الثيولوجيا التحرّريّة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اعتُبر عمله ذاك ذو تأثيرٍ مفتاحيٍّ مهمٍّ من قبل إرنستو بالدوتشي وجورجين مولتمان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ثيولوجيا الأمل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تقلّبت به الأحوال وتفرّعت وتعقّدت وتشابكت سيرورته وسبله في الحياة والفكر؛ وحاول الجمع والتوليف بين الإيمان الثابت والقلق الإيجابي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الاستقرار والشكّ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يوتوبيا خلاصيّة متفائلة وأخرى منفتحة تعلّقت بمستقبل أفضل في طور الإمكان، وأكثر إشراقًا للإنسانيّة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مبدأ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وإخلاصه الذابل الذي تمزّق، وأصبح ماضيًا لنسخة ستالين البيروقراطية من الماركسية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وبين اليسار الأرثوذوكسي الذي هاجمه لاحقًا، وبين </w:t>
      </w:r>
    </w:p>
    <w:p>
      <w:pPr>
        <w:pStyle w:val="BookText"/>
        <w:rPr/>
      </w:pPr>
      <w:r>
        <w:rPr>
          <w:rFonts w:ascii="Amiri" w:hAnsi="Amiri" w:eastAsia="Amiri" w:cs="Amiri"/>
          <w:color w:val="111111"/>
          <w:sz w:val="28"/>
          <w:sz w:val="28"/>
          <w:szCs w:val="28"/>
          <w:rtl w:val="true"/>
          <w:lang w:bidi="ar-SA"/>
        </w:rPr>
        <w:t>مدرسة فرانكفورت التي عاب عليها ونقد تشاؤميّتها وابتعادها لدرجة القطعية مع الماركسية، على الأقل لدى أبرز رموزها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أدورنو، وهوركايمر، وخاصّةً في كتابهما المشترك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جدل التنوير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تركزت أعمال بلوخ على مفهوم عالم الإنسان اليوتوبي حيث ينتفي الاضطهاد والاستغلال، وهو ما سيكوّن دومًا قوّة ثوريّة مؤدلجة، ومن أهمّ أعماله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مبدأ الأمل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الصادر عام </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ألّفه خلال هجرته إلى الولايات المتّحدة حيث عاش في نيو هامشاير قبل أن يستقرّ في كامبريدج، ماساشوسيتس، وهو مكوّن من ثلاثة مجلدات مطوّلة يوجد في قاعة القراءة في مكتبة جامعة هارفرد، وكان بلوخ في الأصل قد قرّر نشره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أحلام حياة أفضل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ويحاول بلوخ عبر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مبدأ الأمل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حساب موسوعي شامل حول اتّجاهات الجنس البشري والطبيعة بالنسبة للتقدّم الِجْتِمَعِيِّ والتكنولوجيّ المستقبليّ، ومن أهمّ أعماله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اليوتوبيا، </w:t>
      </w:r>
      <w:r>
        <w:rPr>
          <w:rFonts w:eastAsia="Amiri" w:cs="Amiri" w:ascii="Amiri" w:hAnsi="Amiri"/>
          <w:color w:val="111111"/>
          <w:sz w:val="28"/>
          <w:szCs w:val="28"/>
          <w:lang w:bidi="ar-SA"/>
        </w:rPr>
        <w:t>1918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وتوماس مونتسر لاهوتي الثورة، </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وآثار، </w:t>
      </w: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وإرث هذا الزمن،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والحريّة والنّظام، </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وذات موضوع، </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وكريستيان توماسيوس، </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سينا واليسارالأرسطي، </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والقانون الطبيعي والكرامة الإنسانية،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ومقدمة توبنغن في الفلسفة،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والدين في التراث،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والإلحاد في المسيحية، والقياسات السياسية، الطاعون، ما قبل آذار،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ومشكلة المادية، تاريخها وماهيتها،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تُوُفّ ارنست بلوخ في شتوتغارت بألمانيا الغربية في الرابع من آب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أغسطس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كفيلسوف ألماني غربي، وكأستاذٍ </w:t>
      </w:r>
      <w:bookmarkStart w:id="89" w:name="pg16380_210338"/>
    </w:p>
    <w:p>
      <w:pPr>
        <w:pStyle w:val="BookText"/>
        <w:rPr/>
      </w:pPr>
      <w:bookmarkEnd w:id="89"/>
      <w:r>
        <w:rPr>
          <w:rFonts w:ascii="Amiri" w:hAnsi="Amiri" w:eastAsia="Amiri" w:cs="Amiri"/>
          <w:color w:val="111111"/>
          <w:sz w:val="28"/>
          <w:sz w:val="28"/>
          <w:szCs w:val="28"/>
          <w:rtl w:val="true"/>
          <w:lang w:bidi="ar-SA"/>
        </w:rPr>
        <w:t>للفلسفة في جامعة توبنغن، وأمضى الخمسة عشر عامًا الأخيرة من عمره كلاجيءٍ 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قضى الشّطر الأكبر من حياته كواحدٍ من ألمع فلاسفة الْمَرْكِسِيَّة في الجزء الشرقيّ من ألمانيا؛ فقد كان عضوًا في الحزب الشيوعي الألماني منذ أوائل العشرينيات، عندما كان من أبرز الرموز الثقافية ببرلين في 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أرنست بلوخ وقد حضر جنازته ثلاثة آلاف طالب حاملين مشاعل الأمل بأيديهم، متسائلين فيما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تبقّى من فيلسوف الأمل أرنست بلوخ في عصر العولمة والرأسمالية؟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ولربّا سمعوا صدى صوت بلوخ من بعيدٍ يؤكّد لهم أنّه مهما تتغيّ المفاهيم أو يصيبها القدم لكن الأمل في حياةٍ أفضل سيظل حيًّا ضاربًا بجذوره في الوعي واللاوعي الإنسانيين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أرنست بلوخ، ولكن أفكاره لم تزل ناصعة حتى اليوم، وسيظلّ مبدأ الأمل في مشروعه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تشدّ الإنسان إلى الوجود وتدفعه في الوقت نفسه إلى تحقيق ذاته ضمن هذا الوجود</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6736792_1280447820"/>
      <w:bookmarkStart w:id="91" w:name="_Toc31"/>
      <w:bookmarkEnd w:id="90"/>
      <w:r>
        <w:rPr>
          <w:rtl w:val="true"/>
        </w:rPr>
        <w:t>المطلب العاشر</w:t>
      </w:r>
      <w:r>
        <w:rPr>
          <w:rtl w:val="true"/>
        </w:rPr>
        <w:t xml:space="preserve">: </w:t>
      </w:r>
      <w:r>
        <w:rPr>
          <w:rtl w:val="true"/>
        </w:rPr>
        <w:t xml:space="preserve">أكسيل هونيت </w:t>
      </w:r>
      <w:r>
        <w:rPr>
          <w:rtl w:val="true"/>
        </w:rPr>
        <w:t>(</w:t>
      </w:r>
      <w:r>
        <w:rPr/>
        <w:t>Axel Honneth</w:t>
      </w:r>
      <w:r>
        <w:rPr>
          <w:rtl w:val="true"/>
        </w:rPr>
        <w:t>)</w:t>
      </w:r>
      <w:bookmarkEnd w:id="91"/>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أكسيل هونيتفي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يوليو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إيسِّن ،</w:t>
      </w:r>
      <w:r>
        <w:rPr>
          <w:rFonts w:eastAsia="Times New Roman" w:cs="Times New Roman" w:ascii="Times New Roman" w:hAnsi="Times New Roman"/>
          <w:color w:val="111111"/>
          <w:sz w:val="28"/>
          <w:szCs w:val="28"/>
          <w:lang w:val="en-US" w:bidi="en-US"/>
        </w:rPr>
        <w:t>Essen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وهو فيلسوف اجتماعي ألماني، أستاذ جامعي ومدير معهد الأبحاث الِجْتِمَعِيِّة في جامعة جوته في فرانكفورت، ألمانيا، وله الكثير من الكتب والمقالات في حقول الفلسفة الِجْتِمَعِيِّة والسياسية وعلم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 هونيت الفلسفة، وعلم الاجتماع والأدب الألماني في الفترة ما بين عامي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جامعتي بون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Bonn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وبوخوم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Bochom</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 أستاذًا مساعدًا لعلم الاجتماع في جامعة برلين الحرّة عام </w:t>
      </w:r>
    </w:p>
    <w:p>
      <w:pPr>
        <w:pStyle w:val="BookText"/>
        <w:rPr/>
      </w:pP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تابع دراسته وحصل على الدكتوراه في الفلسفة عام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أطروحة موضوعها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فوكو والنظريّة النقديّة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نُشِت لاحقًا في كتابٍ بعنوان نقد السّلطة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Kritik der Macht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ثمّ عُ بعدها كأستاذٍ مساعدٍ في جامعة جوته في فرانكفورت؛ حيث قدّم أطروحة التأهيل للأستاذيّة عام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كفاح من أجل الاعتراف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Kampf um Anerkennung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ودرّس في عدّة جامعات قبل أن يعود نهائيًّا عام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جامعة فرَانْكِفُورْتْ كأستاذٍ للفلسفة ومن ثم كمديرٍ لمعهد الأبحاث الاجتماعية، تلك الوظيفة التي شغلها يورجن هابرماس وتيودور أدورنو من قبله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ويُركّز هونيت في أبحاثه على الفلسفة الاجتماعية؛ وتتمحور الكثير من أعماله حول نظريّة الاعتراف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التقبّل، الإقرار بقيمةٍ ما وتقديرها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طوّرها في أطروحة التأهيل المذكورة سالفًا، كما أنّه اهتمّ بإشكاليّة التشيّؤ في المجتمعات المعاصرة؛ فحاول في كتابه التشيّؤ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Verdinglichung</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إعادة صياغة هذا المصطلح على ضوء نظريّة الاعتراف، ليُجِع كلّ أشكال التشيّؤ إلى باثولوجيا الذاتيّة المشتركة، وليس لخصائص بنيويّة في الأنظمة الِجْتِمَعِيِّة كما نظّر كارل ماركس أو جورج لوكاتش، والموضوع الأثير لديه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لدى هابرماس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إعادة بناء الأخلاق في العلاقات بين البشر؛ فهو يسعى مثلاً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باثولوجيا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النظرية النقدية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المجتمعية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وضعتها فيما 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مدرسة فرانكفورت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وتطويرها باتجاهٍ أخلاقيّ الطابع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ينادي في بحثه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 في الحرية </w:t>
      </w:r>
      <w:r>
        <w:rPr>
          <w:rFonts w:eastAsia="Times New Roman" w:cs="Times New Roman" w:ascii="Times New Roman" w:hAnsi="Times New Roman"/>
          <w:color w:val="111111"/>
          <w:sz w:val="28"/>
          <w:szCs w:val="28"/>
          <w:lang w:val="en-US" w:bidi="en-US"/>
        </w:rPr>
        <w:t>Das Recht auf Freiheit</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الأخلاق الديموقراطية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وهونيت هو رئيس تحرير مشارك في المجلّة الألمانية للفلسفة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Deutsche Zeitschrift für Philosophie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والجريدة الأوروبية للفلسفة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European Journal of Philosophy</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وجريدة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أبراج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Constellations</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 وقد نال عدّة جوائز ثقافيّة منها جائزة إرنست بلوخ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وجائزة برونو كرايسكي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أهمّ أعماله التي تُرجِمَت إلى لغاتٍ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الِجْتِمَعِيِّ وطبيعة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وشارك في تأليفه مع هانز يوآش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مطبعة جامعة كامبريدج،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نقد 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مراحل عاكس في النَّظَرِيَّة الِجْتِمَعِيِّة الحرجة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معهد ماساتشوستس للتكنولوجيا الصحافة،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ومجزأة العالمي للاشتراكية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مقالات في الفلسفة الِجْتِمَعِيِّة والسياسية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جامعة ولاية نيويورك برس،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والصّاع من أجل الاعتراف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والمعنوي قواعد النزاعات الِجْتِمَعِيِّة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بوليتي برس،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وإعادة التوزيع أو الاعتراف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الفلسفية تبادل، وشارك في تأليف مع نانسي فريزر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فيرسو،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وازدراء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الأسس المعياريّة النَّظَرِيَّة النَّقْدِيَّة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بوليتي برس،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وأمراض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تراث النَّظَرِيَّة النَّقْدِيَّة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وباثولوجيا الحريّة الفرديّة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النَّظَرِيَّة الِجْتِمَعِيِّة هيغل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وأنا في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دراسات في نظريّة الاعتراف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وحقّ الحريّة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92" w:name="pg16380_210341"/>
    </w:p>
    <w:p>
      <w:pPr>
        <w:pStyle w:val="Heading3"/>
        <w:numPr>
          <w:ilvl w:val="2"/>
          <w:numId w:val="1"/>
        </w:numPr>
        <w:rPr/>
      </w:pPr>
      <w:bookmarkStart w:id="93" w:name="__RefHeading___Toc6736794_1280447820"/>
      <w:bookmarkStart w:id="94" w:name="_Toc32"/>
      <w:bookmarkEnd w:id="92"/>
      <w:bookmarkEnd w:id="93"/>
      <w:r>
        <w:rPr>
          <w:rtl w:val="true"/>
        </w:rPr>
        <w:t>المطلب الحادي عشر</w:t>
      </w:r>
      <w:r>
        <w:rPr>
          <w:rtl w:val="true"/>
        </w:rPr>
        <w:t xml:space="preserve">: </w:t>
      </w:r>
      <w:r>
        <w:rPr>
          <w:rtl w:val="true"/>
        </w:rPr>
        <w:t>جورج لوكاش</w:t>
      </w:r>
      <w:bookmarkEnd w:id="94"/>
    </w:p>
    <w:p>
      <w:pPr>
        <w:pStyle w:val="BookText"/>
        <w:rPr/>
      </w:pPr>
      <w:r>
        <w:rPr>
          <w:rFonts w:ascii="Amiri" w:hAnsi="Amiri" w:eastAsia="Amiri" w:cs="Amiri"/>
          <w:color w:val="111111"/>
          <w:sz w:val="28"/>
          <w:sz w:val="28"/>
          <w:szCs w:val="28"/>
          <w:rtl w:val="true"/>
          <w:lang w:bidi="ar-SA"/>
        </w:rPr>
        <w:t xml:space="preserve">هو فيلسوف وكاتب وناقد ووزير مجريّ ماركسيّوُلِدَ في بودابست عام </w:t>
      </w:r>
      <w:r>
        <w:rPr>
          <w:rFonts w:eastAsia="Amiri" w:cs="Amiri" w:ascii="Amiri" w:hAnsi="Amiri"/>
          <w:color w:val="111111"/>
          <w:sz w:val="28"/>
          <w:szCs w:val="28"/>
          <w:lang w:bidi="ar-SA"/>
        </w:rPr>
        <w:t>1885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ويعتبره معظم الدارسين مؤسّس الْمَرْكِسِيَّة الغربية في مقابل فلسفة الاتّحاد السوفيتيّ، وقد أسهم بعدّة أفكار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التشيّؤ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الوعي الطبقي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تندرج تحت النَّظَرِيَّة والفلسفة الماركسية، وكان نقده الأدبي مؤثّرًا في مدرسة الواقعيّة الأدبيّة، وفي الرواية بشكلٍ عامٍ باعتبارها نوعًا أدبيًّا، وقد خدم لفترةٍ وجيزةٍ كوزيرٍ للثّقافة في المجر بعد الثورة المجريّة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قامت على الرئيس ماتياش راكوشي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وبينما كان جورج لوكاش يدرس في الجامعة في قسم اللّغات في بودابست، انضمّ إلى حركات اشتراكيّة متعدّدة وتواصل مع المعارض إرفن تسابو الذي ينتمي إلى إحدى مدارس الفكر اللاسلطوي، وقد أطلع المعارض تسابو الطالب جورج على كتابات الفيلسوف الفرنسي الثوري جورج سيرويل الذي كانت آراؤه ونظريّاته في تلك الفترة في أوجها، وكانت أفكارًا حداثيّةً وضدّ الوضعيّة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وبين عامي </w:t>
      </w:r>
      <w:r>
        <w:rPr>
          <w:rFonts w:eastAsia="Amiri" w:cs="Amiri" w:ascii="Amiri" w:hAnsi="Amiri"/>
          <w:color w:val="111111"/>
          <w:sz w:val="28"/>
          <w:szCs w:val="28"/>
          <w:lang w:bidi="ar-SA"/>
        </w:rPr>
        <w:t>1904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جورج مهتمًّ بالمجموعات المسرحية التي يكتبها أتباع المدارس الواقعية والحداثيّة، أمثال الكاتب النرويجي هنرك إبسن والكاتب السويدي أوجست سترندبرغ، والأديب الألماني غرهارت هاوبتمان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قضى لوكاش وقتًا طويلً في ألمانيا وتعرّف على العديد من مثقّفيها وكتّابها، وذهب إلى برلين بغرض الدراسة في عام </w:t>
      </w:r>
      <w:r>
        <w:rPr>
          <w:rFonts w:eastAsia="Amiri" w:cs="Amiri" w:ascii="Amiri" w:hAnsi="Amiri"/>
          <w:color w:val="111111"/>
          <w:sz w:val="28"/>
          <w:szCs w:val="28"/>
          <w:lang w:bidi="ar-SA"/>
        </w:rPr>
        <w:t>1906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وذهب مرّة أخرى في عامي </w:t>
      </w:r>
      <w:r>
        <w:rPr>
          <w:rFonts w:eastAsia="Amiri" w:cs="Amiri" w:ascii="Amiri" w:hAnsi="Amiri"/>
          <w:color w:val="111111"/>
          <w:sz w:val="28"/>
          <w:szCs w:val="28"/>
          <w:lang w:bidi="ar-SA"/>
        </w:rPr>
        <w:t>1909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وتعرّف هناك على عالم الاجتماع الألماني الشهير جورج زيمل، وفي مدينة هايلدبرغ في سنة </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على عالم الاجتماع المعروف ماكس فيبر وأصبحا ديقين حميمين، ثم تعرّف على الفيلسوف الْمَرْكِسِِّ إرنست بلوخ ثمّ على الشاعر ستيفان جورج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لوكاش في ذلك الوقت منتميًا إلى النّظام المثالي المأخوذ عن مثاليّة الفلاسفة الألمان، وهذا النّظام كان متأثّرًا بالفلسفة الكانطيّة المنسوبة إلى الفيلسوف الألماني الأشهر إيمانويل كانط؛ التي هيمنت على جامعات ألمانيا لوقتٍ طويل، وتُنسَب هذه الفلسفة المثاليّة أيضًا إلى فلاسفة آخرين أيضًا؛ منهم الفيلسوف اليوناني أفلاطون، والفيلسوف الألماني هيغل، والفيلسوف الدنماركي سورين كيركغور، والعالم الألماني دلتاي، والروائي الروسي فيودور دوستويفسكي</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ألّف جورج لوكاش كتابين في ذلك الوقت،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الروح والجسد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نظريّة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نُشرا في </w:t>
      </w:r>
      <w:r>
        <w:rPr>
          <w:rFonts w:eastAsia="Amiri" w:cs="Amiri" w:ascii="Amiri" w:hAnsi="Amiri"/>
          <w:color w:val="111111"/>
          <w:sz w:val="28"/>
          <w:szCs w:val="28"/>
          <w:lang w:bidi="ar-SA"/>
        </w:rPr>
        <w:t>1910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لبث أن عاد لوكاش إلى مدينته بودابست في </w:t>
      </w:r>
      <w:r>
        <w:rPr>
          <w:rFonts w:eastAsia="Amiri" w:cs="Amiri" w:ascii="Amiri" w:hAnsi="Amiri"/>
          <w:color w:val="111111"/>
          <w:sz w:val="28"/>
          <w:szCs w:val="28"/>
          <w:lang w:bidi="ar-SA"/>
        </w:rPr>
        <w:t>1915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يدير صالونًا ثقافيًّا أو حلقةً ثقافيّةً تُدعى حلقة الأحد أو حلقة لوكاش، ويتحدّث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الموضوعات الثقافيّة والنقديّة في أعمال الرّوائي الرّوسي دستويفسكي الّذي كان مستحوذًا على </w:t>
      </w:r>
    </w:p>
    <w:p>
      <w:pPr>
        <w:pStyle w:val="BookText"/>
        <w:rPr/>
      </w:pPr>
      <w:r>
        <w:rPr>
          <w:rFonts w:ascii="Amiri" w:hAnsi="Amiri" w:eastAsia="Amiri" w:cs="Amiri"/>
          <w:color w:val="111111"/>
          <w:sz w:val="28"/>
          <w:sz w:val="28"/>
          <w:szCs w:val="28"/>
          <w:rtl w:val="true"/>
          <w:lang w:bidi="ar-SA"/>
        </w:rPr>
        <w:t>اهتمامات لوكاش فترة إقامته في هيلدبرغ في ألمانيا، ويتحدّث فيه أيضًا عن الأحداث المستجدّة التي تلقى اهتمامًا من مريديه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انضمّ إلى لوكاش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صالونه الثقافي في بودابست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العديد من المثقّفين من الشخصيّات المشهورة في المجر ذلك الوقت؛ مثل عالم الاجتماع كارل مانهايم، والملحّن بيلا بارتوك، والمؤلّف السينمائي بيلا بالاش، والمؤرّخ كارل بولاني وغيرهم كثير، وكان بعضهم يحضر هذا الاجتماع كلّ أسبوع، وفي السّنة الأخيرة من الحرب العالمية الأولى فُضّت هذه الاجتماعات، وتفرّق المشاركون في تلك الندوات بسبب الأجواء السياسية، وفي ذلك الوقت دعا العديد من القادة الشيوعيين جورج لوكاش إلى الانضمام إلى الحزب الشيوعي المجري</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حاول لوكاش في كتاباته تجديد الفكر الماركسي، وإلقاء الضوء على جوانبه الثوريّة خصوصًا البعد الجدلي منه؛ ففي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التاريخ والوعي الطبقي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يحمل عنوانًا صغيرًا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دراسات في الجدليّة الماركسيّة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 لوكاش على إعادة الاعتبار للذات؛ فالتاريخ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ينتج عن التفاعل بين الذّات والموضوع؛ أي عن وعي الناس بالقوانين التي تحكمهم، وبعيدًا عن إقامة التوازن بين الطرفين، كان لوكاش يميل نحو إيلاء الأهميّة للوعي؛ هذا الوعي الذي يجد فعاليّته في وعي الطبقة العاملة التي أحالتها الرأسمالية إلى بضاعة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لها أن تتحرّر إلاّ برفضها الكامل غير المشروط لوضعها كبضاعة؛ فالبروليتاريا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تمثّل المبدأ السالب والعنصر المحرّك في الجدليّة؛ لأنّها عندما تناضل </w:t>
      </w:r>
    </w:p>
    <w:p>
      <w:pPr>
        <w:pStyle w:val="BookText"/>
        <w:rPr/>
      </w:pPr>
      <w:r>
        <w:rPr>
          <w:rFonts w:ascii="Amiri" w:hAnsi="Amiri" w:eastAsia="Amiri" w:cs="Amiri"/>
          <w:color w:val="111111"/>
          <w:sz w:val="28"/>
          <w:sz w:val="28"/>
          <w:szCs w:val="28"/>
          <w:rtl w:val="true"/>
          <w:lang w:bidi="ar-SA"/>
        </w:rPr>
        <w:t>من أجل تحرّرها فإنّها تناضل في الوقت نفسه ضدّ الخضوع بشكلٍ عامٍ، وعندما تناضل لإنقاذ نفسها فإنّها تناضل أيضًا من أجل إنقاذ البشريّة كلّها من التشيّؤ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تجرّأ لوكاش على وضع الذات مقابل الموضوع والوعي مقابل الوجود كقطبين متضادّين يفسّان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بحركة الأخذ والرد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جدليّة الممارسة وقدرة الذات على وعي الوضع التاريخي الموجودة فيه، وتحديد كيفية التحرك وفق هذه المعطيات؛ فبدلً من أن تكون الذّات ملحقة بالتاريخ الذي تنتج عنه تصبح داخله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لوكاش كان يبدو وكأنّه يسبح عكس التيار بالنسبة للماركسيّة التقليديّة، ففي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مقدمة في نقد الاقتصاد السياسي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 كارل ماركس علاقة وثيقة بين الوعي والوجود مشيرًا إلى أنّ وعي البشر ليس هوالذي يحدّد وجودهم بل على العكس فإنّ وجودهم هو الذي يُحدّد وعيهم، ويعطي أولويّة للموضوع على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فلوكاش بإصراره على دور الذات بدا وكأنّه عاد إلى المثاليّة الهيغلية؛ لهذا كان اتّهامه بالانحراف؛ لكن هناك اختلاف بين الاثنين؛ فالعقل الهيغلي هو الذي يسيطر على التاريخ ويقوده ولا يشكّل جزءًا منه، في حين أنّ الذات عند لوكاش هي في علاقة جدليّة مع الموضوع وتأخذ قرارها انطلاقًا منه؛ وعلى ذلك فإنّ الجدليّة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التاريخ والوعي الطبقي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 الحريّة داخل الضرورة نفسها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يقتصر لوكاش في أعماله على دراسة البعد الجدلي في النَّظَرِيَّة الْمَرْكِسِيَّة بل ساهم عبر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نظرية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وضع </w:t>
      </w:r>
    </w:p>
    <w:p>
      <w:pPr>
        <w:pStyle w:val="BookText"/>
        <w:rPr/>
      </w:pPr>
      <w:r>
        <w:rPr>
          <w:rFonts w:ascii="Amiri" w:hAnsi="Amiri" w:eastAsia="Amiri" w:cs="Amiri"/>
          <w:color w:val="111111"/>
          <w:sz w:val="28"/>
          <w:sz w:val="28"/>
          <w:szCs w:val="28"/>
          <w:rtl w:val="true"/>
          <w:lang w:bidi="ar-SA"/>
        </w:rPr>
        <w:t>أسس علم اجتماع الأدب الجدلي، كما أنّه يعتبر أحد واضعي حجر الزاوية في علم الجمال الماركسي</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يُكننا إنكار ما قدّمه لوكاش للفكر السياسي من إضافاتٍ وعناصر جديدة؛ فهو يعتبر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لخصومه أو مؤيّديه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مفكّر ماركسي منذ ماركس، بل يعتبره البعض أهم فيلسوف في النّصف الأوّل من القرن العشرين؛ فلقد كان له تأثير حاسم على كارل مانهايم، وكارل كورتس، ومارتن هايدغر على وجه الخصوص ويعتبر من مؤسّسي تيّار البنيويّة التوليديّة</w:t>
      </w:r>
      <w:r>
        <w:rPr>
          <w:rFonts w:eastAsia="Amiri" w:cs="Amiri" w:ascii="Amiri" w:hAnsi="Amiri"/>
          <w:color w:val="111111"/>
          <w:sz w:val="28"/>
          <w:szCs w:val="28"/>
          <w:rtl w:val="true"/>
          <w:lang w:bidi="ar-SA"/>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 w:name="pg16380_210347"/>
      <w:bookmarkStart w:id="96" w:name="pg16380_210347"/>
      <w:bookmarkEnd w:id="96"/>
    </w:p>
    <w:p>
      <w:pPr>
        <w:pStyle w:val="Heading2"/>
        <w:numPr>
          <w:ilvl w:val="1"/>
          <w:numId w:val="1"/>
        </w:numPr>
        <w:rPr/>
      </w:pPr>
      <w:bookmarkStart w:id="97" w:name="pg16380_210347"/>
      <w:bookmarkStart w:id="98" w:name="__RefHeading___Toc6736796_1280447820"/>
      <w:bookmarkStart w:id="99" w:name="_Toc33"/>
      <w:bookmarkEnd w:id="97"/>
      <w:bookmarkEnd w:id="98"/>
      <w:r>
        <w:rPr>
          <w:rtl w:val="true"/>
        </w:rPr>
        <w:t xml:space="preserve">الفصل الثالث </w:t>
      </w:r>
      <w:r>
        <w:rPr>
          <w:rtl w:val="true"/>
        </w:rPr>
        <w:t xml:space="preserve">: </w:t>
      </w:r>
      <w:r>
        <w:rPr>
          <w:rtl w:val="true"/>
        </w:rPr>
        <w:t>مدرسة فرانكفورت مرجعيّاتها الفكريَّة وأ صولها النقديّة</w:t>
      </w:r>
      <w:bookmarkEnd w:id="99"/>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0" w:name="__RefHeading___Toc6736798_1280447820"/>
      <w:bookmarkStart w:id="101" w:name="_Toc34"/>
      <w:bookmarkEnd w:id="100"/>
      <w:r>
        <w:rPr>
          <w:rtl w:val="true"/>
        </w:rPr>
        <w:t>اشارة</w:t>
      </w:r>
      <w:bookmarkEnd w:id="101"/>
    </w:p>
    <w:p>
      <w:pPr>
        <w:pStyle w:val="BookText"/>
        <w:rPr/>
      </w:pPr>
      <w:r>
        <w:rPr>
          <w:rFonts w:ascii="Amiri" w:hAnsi="Amiri" w:eastAsia="Amiri" w:cs="Amiri"/>
          <w:color w:val="111111"/>
          <w:sz w:val="28"/>
          <w:sz w:val="28"/>
          <w:szCs w:val="28"/>
          <w:rtl w:val="true"/>
          <w:lang w:bidi="ar-SA"/>
        </w:rPr>
        <w:t xml:space="preserve">تعدّ مدرسة فرانكفورت النَّقْدِيَّة من أهمّ المدارس الفلسفيّة التي تولدّت في ظروف سياسيةّ واجت اعيةّ واقتصاديةّ كانت سائدةً في م ألمانيا في العشرينيات من القرن المنصرم، والتي تعتبر من العوامل الرئيسيةّ لنشأة المدرسة، ولقد 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توم بوتومو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هذه العوامل في حديثه عن المنطلقات الْفِكْرِيَّة للمدرسة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يتعلّق الأمر هنا بعدم مجيء المشروع العلمي الذي قدّمته هذه المدرسة من فراغ، حيث آزرت ظهوره وتطوّره ملابسات موضوعيّة، مثّلتها شروط ماديّة، وإنتاج نظريّ مواكب لتلك الشروط، ومع عّن قضاياها </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 وهذا يعني أنّ ب مَدْرَسَة فرَانْكِفُورْت هي وليدة سياقٍ تاريخيٍّ بكلّ جوانبه السياسيّة والاجت اعيّة والفكريّة والاقتصادية، يشير بوتومور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فلقد م تواكبت وقائع ماديّة بعينها على التأثير في مشروع هذه المدرسة، منها اندلاع الحرب العالميةّ الأولى، وقيام الثورة البلشفيةّ، وإخفاق الثورة في ألمانيا، وعدم نجاح الحركات الاشتراكية الراديكالية في أوروبا الغربية، وظهور الستالينيّة في الاتحاد السوفياتيّ، والنّظم الفاشية والنازيّة في إيطاليا وألمانيا، وهيمنة النّظم الرأس الية وتعزيز سيطرتها م الاقتصادية والإيديولوجية، خاصّة بعد خروجها من الأزمة الاقتصاديّة الطاحنة التي مرّت بها في الثلاثينيات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فاندلاع الحرب العالمية الأولى وما تركته من أزمات اجت اعيّة م واقتصاديّة ونفسيّة، وما سبّبته من موت وخراب ودمار، وما تبعها من </w:t>
      </w:r>
    </w:p>
    <w:p>
      <w:pPr>
        <w:pStyle w:val="BookText"/>
        <w:rPr/>
      </w:pPr>
      <w:r>
        <w:rPr>
          <w:rFonts w:ascii="Amiri" w:hAnsi="Amiri" w:eastAsia="Amiri" w:cs="Amiri"/>
          <w:color w:val="111111"/>
          <w:sz w:val="28"/>
          <w:sz w:val="28"/>
          <w:szCs w:val="28"/>
          <w:rtl w:val="true"/>
          <w:lang w:bidi="ar-SA"/>
        </w:rPr>
        <w:t xml:space="preserve">تحوّلات سياسيّة كبرى، وقيام الثورة البلشفية عام </w:t>
      </w:r>
      <w:r>
        <w:rPr>
          <w:rFonts w:eastAsia="Amiri" w:cs="Amiri" w:ascii="Amiri" w:hAnsi="Amiri"/>
          <w:color w:val="111111"/>
          <w:sz w:val="28"/>
          <w:szCs w:val="28"/>
          <w:lang w:bidi="ar-SA"/>
        </w:rPr>
        <w:t>1917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وتأسيس أوّل دولة اشتراكيةّ في أوروبا، وكذلك قيام جمهورية فايمار عام </w:t>
      </w:r>
      <w:r>
        <w:rPr>
          <w:rFonts w:eastAsia="Amiri" w:cs="Amiri" w:ascii="Amiri" w:hAnsi="Amiri"/>
          <w:color w:val="111111"/>
          <w:sz w:val="28"/>
          <w:szCs w:val="28"/>
          <w:lang w:bidi="ar-SA"/>
        </w:rPr>
        <w:t>1919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ألمانيا وما تَبِعها من صراعات وانقسامات سياسيّة في صفوف اليسار الأوروبي، كان له كبير الأثر في ظهور المدرسة، وهكذا نجد الجيل الأوّل للمدرسة اشتغل على مشاغل العشريات السوداء لألمانيا والغرب، فمن جدل العقل ا ولتنوير لهوركايمر، إلى الخوف من الحريّة لإريك فروم، إلى الجدل القمعي للحضارة وإنسان البعد الواحد لماركوز</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فهيمنة الفكر الرأسمالي الليبرالي على الفلسفة الغربية فترة طويلة استطاع أن يحوّل الإنسان بفعل الإيديولوجية التي تتحكّم به إلى بضاعة أو سلعة أو شيء تُرِّر عليه غاياتها، فرفعت الفرد فوق المجتمع والدولة، وكردّ فعل على الاستغلال البرجوازي المسيطر على رؤوس الأموال ظهرت الحركة الشيوعية والاتجاه الاشتراكي الذي جعل الدولة هي المتحكّم بالاقتصاد والملكيةّ الشخصيةّ، فغاب الفرد وقمعت حرّيته وسلبت ملكيّته حتى عانى من اغتراب آخر وهو يعيش في دولة يقودها العمّل؛ وكان نتيجة ذلك ظهور حركة أو مَدْرَسَة جديدة على صعيد الفكر في أوروبا حاولت مجابهة وتحدي الفوضويّة التي جاء بها الفكر الليبرالي والاتّجاه الرأسمالي، والجمود الذي جاء به الاتّجاه الشيوعي</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كلّ هذه الأحداث المثيرة خلقت لدى مفكري المدرسة كما عبّ عنه مترجم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 فرانكفورت لبوتومور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سعد هجرس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هنا وجدت هذه المدرسة نفسها تضطلع بمهمّة رئيسيّة، تخايلت لدى مفكّريها أقرب إلى الشهوة العارمة، هي الرّغبة في صوغ أساس لنظريّة وممارسة أكثر قدرة وفاعليّة على تفسير الظروف التاريخية المستجدّة والتعامل معها بواسطة ممارسة نمط من النّقد السلبي، يتجاوز أفكار كانط التي ساهمت في تأسيس العقلانيّة الحديثة، وأفكار الْمَرْكِسِيَّة الأرثوذكسيّة التي استبعدت الذّات الإنسانيّة من حسابها</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بالأطر جملة التوجهات الفكرية، والتيارات الفلسفية المتعدّدة التي أحاطت بظهور مدرسة فرانكفورت، ومجموع الأزمات الِجْتِمَعِيِّة والاقتصادية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تكن مدرسة فرانكفورت تعبيرًا عمّ كان سائدًا في المجتمع الألماني ولا انعكاسًا له، بل كانت محاولة نقديّة أجراها معظم مفكريها تعبيرًا عن هضمها لهذه الأطر٭ أي لتُعبّ عن اتّخاذها من كلّ ذلك موقفًا نقديًّا مميّزًا، فلا تنحاز لعلمٍ معيٍّ بقدر ما تُسخّر العلوم في إطار التوجّه المقصود، سواءً أكان ذلك فلسفيًّا صرف، أم اجتماعيًّا صرف، علمً بأنّ الفوارق لم تعد هنا جدّ حاسمة؛ ومن هذا المجال النّقدي المتعدّد الاتّجاهات والتيّارات ظهرت معظم آثار مدرسة فرانكفورت لتشهد على قدرة مؤلّفيها على استيعاب فكر العصر ومشاكله</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ولعلّ أهمّ ما يميّز هذه المدرسة الفلسفيّة يتحدّد في كونها اتخّذت النّقد منهجًا لها، وحاولت القيام بممارسة نقديةّ جذريةّ للحضارة الغربيّة قصد إعادة النّظر في أسسها ونتائجها على ضوء التحوُّلاَت الأساسيّة الكبرى التي أفرزتها الحداثة الغربية، وخاصّةً منذ الأنوار، التي تعتبر نقطة تحوّل جوهريّة في مسار هذه الحداثة، كما أنّها لعبت دورًا مهمًّ في رصد مختلف الأعراض الباثولوجيّة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عرفتها المجتمعات الغربيّة المعاصرة كالتشيّؤ والاغتراب وضياع مكان الفرد وأزمة المعنى وغيرها</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يتّضح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سبق أنّ ظهور مدرسة فرانكفورت لم يكن من باب الصدفة أو من فراغ، وإنّا كان هذا الظهور بمثابة الولادة الحتميّة، التي أفرزتها ظروف وعوامل متعدّدة ومتباينة في آنٍ واحدٍ، تداخلت وتظافرت فيما بينها، فترتب عن ذلك بروز هذه المدرسة التي أصبحت إحدى أبرز المدارس الفلسفية والاجتماعية الغربية المعاصرة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الولادة المتعسّة لمدرسة فرانكفورت بحكم الظروف التاريخيّة والسياسيّة والاجتماعيّة الصعبة التي أحاطت بنشأتها، والتي رغم ذلك استطاعت أن تنشأ، واستطاع روّادها الصمود ومجابهة كلّ المعوّقات والصعوبات والضغوط، خاصّة السياسيّة منها، تجعلنا نتساءل عن المصادر الفلسفية التي استمدّ منها مفكّرو مدرسة فرانكفورت النَّقْدِيَّة هذه الرّوح النَّقْدِيَّة وهذا الإصرار على </w:t>
      </w:r>
    </w:p>
    <w:p>
      <w:pPr>
        <w:pStyle w:val="BookText"/>
        <w:rPr/>
      </w:pPr>
      <w:r>
        <w:rPr>
          <w:rFonts w:ascii="Amiri" w:hAnsi="Amiri" w:eastAsia="Amiri" w:cs="Amiri"/>
          <w:color w:val="111111"/>
          <w:sz w:val="28"/>
          <w:sz w:val="28"/>
          <w:szCs w:val="28"/>
          <w:rtl w:val="true"/>
          <w:lang w:bidi="ar-SA"/>
        </w:rPr>
        <w:t>إعادة النظر في أسس الحضاةر الغبرية بكلّ ج ا ونبها السياسية والاقتصاديّة والاجتماعيّة، وفي المفاهيم والقيم التي تأسّست عليها هذه الحضارة ومجتمعاتها؛ كالعقلانيّة والحريّة والتقدّم العلمي والتقني، وما ارتبط بها من نزعات وضعيّة وعلمويّة وتقنوعلمويّة، وغيرها من النّزعات التي عملت على الحفاظ على الوضع القائم والمصالح المهيمنة فيه</w:t>
      </w:r>
      <w:r>
        <w:rPr>
          <w:rFonts w:eastAsia="Amiri" w:cs="Amiri" w:ascii="Amiri" w:hAnsi="Amiri"/>
          <w:color w:val="111111"/>
          <w:sz w:val="28"/>
          <w:szCs w:val="28"/>
          <w:rtl w:val="true"/>
          <w:lang w:bidi="ar-SA"/>
        </w:rPr>
        <w:t>.</w:t>
      </w:r>
      <w:r>
        <w:rPr>
          <w:rStyle w:val="FootnoteAnchor"/>
          <w:rtl w:val="true"/>
        </w:rPr>
        <w:footnoteReference w:id="55"/>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الدارس للتراث الفكري الفلسفي والاجتماعي لمدرسة فرانكفورت، من خلال المنتج الفكري لروّادها من الجيل الأوّل، والوقوف على إسهاماتهم العلميّة التي مسّت الكثير من المسائل الفلسفيّة والاجتماعيّة، التي أفرزها الواقع، والتي كانت المدرسة وروّادها جزءًا منه، سرعان ما يكتشف أنّ هذا المنتج يتضمّن في طيّاته الكثير من أسماء الفلاسفة السابقين عن المدرسة وروّادها أو المعاصرين لها بمختلف انتماءاتهم المذهبيّة وتوجّهاتهم الفلسفيّة، ويجد الدّارس لهذا التراث حضورًا قويًّا لبعض الفلاسفة في فكر المدرسة، وقد يجد لبعضهم الآخر حضورًا أقل، يعكس هذا الحضور درجة التأثير أو التأثّر الذي حدث بين هؤلاء الفلاسفة وفلاسفة مدرسة فرانكفورت النقديّة؛ ولعلّنا نجد أنّ النَّظَرِيَّة النَّقْدِيَّة مدينة أساسًا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علاقتها مع الفلسفة الهيغلية والماركسية والكانطية والوضعية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تكوين أبعادها الْفِكْرِيَّة والفلسفية والاجتماعية ونقدها للعقل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الرأسمالية، دون </w:t>
      </w:r>
    </w:p>
    <w:p>
      <w:pPr>
        <w:pStyle w:val="BookText"/>
        <w:rPr/>
      </w:pPr>
      <w:r>
        <w:rPr>
          <w:rFonts w:ascii="Amiri" w:hAnsi="Amiri" w:eastAsia="Amiri" w:cs="Amiri"/>
          <w:color w:val="111111"/>
          <w:sz w:val="28"/>
          <w:sz w:val="28"/>
          <w:szCs w:val="28"/>
          <w:rtl w:val="true"/>
          <w:lang w:bidi="ar-SA"/>
        </w:rPr>
        <w:t xml:space="preserve">أن نغضّ الطّرف عن الأثر الذي تركته أعمال كلّ من ماكس فيبر وبخاصّة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الأخلاق البروتستانتية وروح الرأسمالية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وجورج لوكاش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التاريخ والوعي الطبقي </w:t>
      </w:r>
      <w:r>
        <w:rPr>
          <w:rFonts w:eastAsia="Amiri" w:cs="Amiri" w:ascii="Amiri" w:hAnsi="Amiri"/>
          <w:color w:val="111111"/>
          <w:sz w:val="28"/>
          <w:szCs w:val="28"/>
          <w:lang w:bidi="ar-SA"/>
        </w:rPr>
        <w:t>1923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وكارل مانهايم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إيديولوجيا ويوتوبيا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1929</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فتأثير لوكاش الشاب على مدرسة فرانكفورت كان حاسمً، ولقد أُعتمِد عليه بطرقٍ متعدّدة من طرف المهتمّين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التأثير بالنسبة لكثير منهم يمثّل قوّة لقراءة شبابيّة تثير الحماس وتَسِمُ عمق شخصيّتهم الْفِكْرِيَّة ونظرتهم للعالم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وجميعهم سوف يعطيه دورًا محوريًّا في تعزيز النَّظَرِيَّة النقديّة</w:t>
      </w:r>
      <w:r>
        <w:rPr>
          <w:rFonts w:eastAsia="Amiri" w:cs="Amiri" w:ascii="Amiri" w:hAnsi="Amiri"/>
          <w:color w:val="111111"/>
          <w:sz w:val="28"/>
          <w:szCs w:val="28"/>
          <w:rtl w:val="true"/>
          <w:lang w:bidi="ar-SA"/>
        </w:rPr>
        <w:t>.</w:t>
      </w:r>
      <w:r>
        <w:rPr>
          <w:rStyle w:val="FootnoteAnchor"/>
          <w:rtl w:val="true"/>
        </w:rPr>
        <w:footnoteReference w:id="57"/>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المرجعيّات والأصول الْفِكْرِيَّة التي سبق ذكرها وغيرها من المرجعيّات التي لم تذكر فيما تمّ اقتباسه من نصّ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النور شرقي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لها تأثيرها، وإن بدرجات متفاوتة، في رسم المعالم الْفِكْرِيَّة والفلسفيّة لمدرسة فرانكفورت، ولمّا كان التأثير معلومًا فلا بدّ من الوقوف على أهمّ المرجعيّات والأصول الْفِكْرِيَّة تأثيرًا في بلورة المنظومة الْفِكْرِيَّة لروّاد مدرسة فرانكفورت من الجيل الأوّل باعتباره جيل التأسيس</w:t>
      </w:r>
      <w:r>
        <w:rPr>
          <w:rFonts w:eastAsia="Amiri" w:cs="Amiri" w:ascii="Amiri" w:hAnsi="Amiri"/>
          <w:color w:val="111111"/>
          <w:sz w:val="28"/>
          <w:szCs w:val="28"/>
          <w:rtl w:val="true"/>
          <w:lang w:bidi="ar-SA"/>
        </w:rPr>
        <w:t xml:space="preserve">. </w:t>
      </w:r>
      <w:bookmarkStart w:id="102" w:name="pg16380_210354"/>
    </w:p>
    <w:p>
      <w:pPr>
        <w:pStyle w:val="Heading3"/>
        <w:numPr>
          <w:ilvl w:val="2"/>
          <w:numId w:val="1"/>
        </w:numPr>
        <w:rPr/>
      </w:pPr>
      <w:bookmarkStart w:id="103" w:name="__RefHeading___Toc6736800_1280447820"/>
      <w:bookmarkStart w:id="104" w:name="_Toc35"/>
      <w:bookmarkEnd w:id="102"/>
      <w:bookmarkEnd w:id="103"/>
      <w:r>
        <w:rPr>
          <w:rtl w:val="true"/>
        </w:rPr>
        <w:t>المطلب الأول</w:t>
      </w:r>
      <w:r>
        <w:rPr>
          <w:rtl w:val="true"/>
        </w:rPr>
        <w:t xml:space="preserve">: </w:t>
      </w:r>
      <w:r>
        <w:rPr>
          <w:rtl w:val="true"/>
        </w:rPr>
        <w:t>الأثر الكَانْطِي في فَلسفَة مدرسة فرانكفورت</w:t>
      </w:r>
      <w:bookmarkEnd w:id="104"/>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لفلسفة كانط النَّقْدِيَّة حضورٌ بارزٌ في فكر الفلاسفة المعاصرين، وبالذّات على فلاسفة مدرسة فرانكفورت، فهذا الرجوع للفلسفة الكانطيّة الهدف منه الوقوف على أثر هذه الفلسفة في فكر فلاسفة مدرسة فرانكفورت من الجيل الأوّل، خاصّة أنّ الفاصل الزمني بين كانط ومدرسة فرانكفورت يصل إلى حوالي القرنين، ومن التعسّف الإدّعاء بوجود علاقة مباشرة ووحيدة بين المفكّرين المنتسبين إلى تلك المدرسة وبين فلسفة كانط</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 xml:space="preserve">وانطلاقًا من هذا الفاصل، فهل يمكن القول إنّ النَّظَرِيَّة النَّقْدِيَّة لمدرسة فرَانْكِفُورْتْ قد استلهمت روح النّقد من فلسفة كانط النقديّة؟ نجد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التنوير والنّقد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كانط في مدرسة فرانكفورت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للباحث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محسن الخوني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محاولة جادّة للإجابة عن هذا التساؤل، وبحث حثيث لتتبّع آثار الفلسفة الكانطيّة في فكر المدرسة، على الرَّغْمِ من أنّ هذه المحاولة ستصطدم بأطروحة مقابلة تؤكّد على هيغيليّة النَّظَرِيَّة النَّقْدِيَّة من نشأتها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هوركايمر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فترة إعادة بنائها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هبرماس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فإنّنا ننوي الدفاع عن الفكرة القائلة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تبيَّ لنا أنّ النَّظَرِيَّة النَّقْدِيَّة مسكونةٌ منذ نشأتها بهاجس الفلسفة النقديّة</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يبدو من هذا، أنّ الدكتور محسن الخوني يقرّ بصعوبة المهمّة، وبأنّه أمام تحدٍّ يجب رفعه وهو إثبات أنّ فلسفة كانط النَّقْدِيَّة كانت من الأسس التي قامت عليها مدرسة فرانكفورت النَّقْدِيَّة خاصّة في جيلها الأوّل، أي أنّ روّاد الجيل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هوركايمر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أدورنو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تأثرّا في صياغة مشروعهما الفلسفي والاجتماعي بفلسفة كانط عامّة أو على الأقلّ بروح النقد 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الباحث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أفاية محمد نورالدين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الحداثة والتواصل في الفلسفة النقَّْدِيةَّ المعاصرة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الأثر المَْرْكسِِِّ على روّاد مدرسة فرانكفورت،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النظَّرَِيةَّ النقَّْدِيةَّ في سياق صياغتها لأسئلتها وأساليب محاكمتها للوضعيّة ولنتائج الحداثة، لم تكفّ عن محاورة المتن الفلسفي الألماني، غير أنّ كانط وهيغل كانا أكثر الفلاسفة عرضة للنقد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أنّ دراساتهم لم تقتصر على هذين الفيلسوفين، لكن نسقي كانط وهيغل وفّرا لأصحاب النَّظَرِيَّة النَّقْدِيَّة انفتاحات متعدّدة للتفكير والتأمّل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المؤكّد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النَّظَرِيَّة النَّقْدِيَّة مدينة بالكثير إلى فلسفة كانط، وذلك عبر جميع مارحل تطوّرها؛ فالحضور المستمرّ لكانط في مؤلّفات فلاسفة مدرسة فرانكفورت يُؤكّد عظمة كانط؛ الفيلسوف الّذي يُعدّ المرجعيّة الثابتة للفلسفة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ما جعل فلاسفة النَّظَرِيَّة النَّقْدِيَّة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يَعُدّون أنفسهم على الدوام ورثة المثاليّة الكلاسيكية الألمانيّة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حوار متواصل معه إلى أيّامنا هذه</w:t>
      </w:r>
      <w:r>
        <w:rPr>
          <w:rFonts w:eastAsia="Amiri" w:cs="Amiri" w:ascii="Amiri" w:hAnsi="Amiri"/>
          <w:color w:val="111111"/>
          <w:sz w:val="28"/>
          <w:szCs w:val="28"/>
          <w:rtl w:val="true"/>
          <w:lang w:bidi="ar-SA"/>
        </w:rPr>
        <w:t>.</w:t>
      </w:r>
      <w:r>
        <w:rPr>
          <w:rStyle w:val="FootnoteAnchor"/>
          <w:rtl w:val="true"/>
        </w:rPr>
        <w:footnoteReference w:id="61"/>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bookmarkStart w:id="105" w:name="pg16380_210356"/>
    </w:p>
    <w:p>
      <w:pPr>
        <w:pStyle w:val="Heading3"/>
        <w:numPr>
          <w:ilvl w:val="2"/>
          <w:numId w:val="1"/>
        </w:numPr>
        <w:rPr/>
      </w:pPr>
      <w:bookmarkStart w:id="106" w:name="__RefHeading___Toc6736802_1280447820"/>
      <w:bookmarkStart w:id="107" w:name="_Toc36"/>
      <w:bookmarkEnd w:id="105"/>
      <w:bookmarkEnd w:id="106"/>
      <w:r>
        <w:rPr>
          <w:rtl w:val="true"/>
        </w:rPr>
        <w:t>المطلب الثاني</w:t>
      </w:r>
      <w:r>
        <w:rPr>
          <w:rtl w:val="true"/>
        </w:rPr>
        <w:t xml:space="preserve">: </w:t>
      </w:r>
      <w:r>
        <w:rPr>
          <w:rtl w:val="true"/>
        </w:rPr>
        <w:t>الأثر الهيغلي في فلسفة مدرسة فرانكفورت</w:t>
      </w:r>
      <w:bookmarkEnd w:id="107"/>
    </w:p>
    <w:p>
      <w:pPr>
        <w:pStyle w:val="BookText"/>
        <w:rPr/>
      </w:pPr>
      <w:r>
        <w:rPr>
          <w:rFonts w:ascii="Amiri" w:hAnsi="Amiri" w:eastAsia="Amiri" w:cs="Amiri"/>
          <w:color w:val="111111"/>
          <w:sz w:val="28"/>
          <w:sz w:val="28"/>
          <w:szCs w:val="28"/>
          <w:rtl w:val="true"/>
          <w:lang w:bidi="ar-SA"/>
        </w:rPr>
        <w:t xml:space="preserve">ويُستشفّ هذا التأثير من الدّرس الافتتاحي الذي ألقاه هوركايمر بمناسبة تعيينه مديرًا لمركز البحوث الِجْتِمَعِيِّة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الاسم الأوّل لمدرسة فرانكفورت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أكّد فيه بأنّ الفلسفة الاجتماعية، التي هو بصدد الإعلان عن برنامج عملها، تستمدّ وجودها مباشرة من تجربة الوعي الفينومونولوجي الهيغلي</w:t>
      </w:r>
      <w:r>
        <w:rPr>
          <w:rStyle w:val="FootnoteAnchor"/>
          <w:rtl w:val="true"/>
        </w:rPr>
        <w:footnoteReference w:id="62"/>
      </w:r>
      <w:r>
        <w:rPr>
          <w:rFonts w:ascii="Amiri" w:hAnsi="Amiri" w:eastAsia="Amiri" w:cs="Amiri"/>
          <w:color w:val="111111"/>
          <w:sz w:val="28"/>
          <w:sz w:val="28"/>
          <w:szCs w:val="28"/>
          <w:rtl w:val="true"/>
          <w:lang w:bidi="ar-SA"/>
        </w:rPr>
        <w:t>، فكان لفلسفة هيغل حضور قويّ في بلورة الفكر الفلسفي لمدرسة فرانكفورت النَّقْدِيَّة في جيلها الأوّل الذي هو موضوع الدراسة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الحضور لفلسفة هيغل في فكر المدرسة يؤكّد عليه الكثير من الباحثين، نجد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أفاية محمد نورالدين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الحداثة والتواصل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فلاسفة النَّظَرِيَّة النَّقْدِيَّة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سيّما أدورنو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الإشكاليّة الفلسفيّة تدور بين نسقي كانط وهيغل، لقد حاوروا كلّ الفلاسفة الألمان، لكن كانط وهيغل شكّلا أهمّ متنٍ فلسفيٍّ انطلقت منه النَّظَرِيَّة النَّقْدِيَّة لتجربة وممارسة نقدها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ما يُؤكّد هذا الحضور هو حضور مفاهيم مهمّة لدى هيغل ضمن جدليّة الفكر الحديث الذي كانت لديه مفاهيم الذات والوعي والتقدّم حاضرة، وقد كانت هذه المفاهيم تعرّضت للتلقّي وإعادة التوظيف بشكلٍ يتّفق مع حاجات المدرسة، فظهرت المفاهيم المؤثّرة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الجدل، والاغتراب، والاعتراف، حاولنا أن نتابع </w:t>
      </w:r>
    </w:p>
    <w:p>
      <w:pPr>
        <w:pStyle w:val="BookText"/>
        <w:rPr/>
      </w:pPr>
      <w:r>
        <w:rPr>
          <w:rFonts w:ascii="Amiri" w:hAnsi="Amiri" w:eastAsia="Amiri" w:cs="Amiri"/>
          <w:color w:val="111111"/>
          <w:sz w:val="28"/>
          <w:sz w:val="28"/>
          <w:szCs w:val="28"/>
          <w:rtl w:val="true"/>
          <w:lang w:bidi="ar-SA"/>
        </w:rPr>
        <w:t>حضورها كأثر في تلك النصوص النَّقْدِيَّة لدى ممثلي المدرسة</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ويَبرز تأثير فلسفة هيغل بوضوح في بعض الأعمال الفلسفيّة المنسوبة إلى مدرسة فرانكفورت، ففي جدليّة التنوير بوصفها أوديسا العقل تحاكي على صعيد الشكل، فينومينولوجيا الروح الهيغلي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مستوى المضمون فهي تسند أهميّة كبرى إلى كلّ من التّجربة التاريخيّة والحركة الجدليّة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كتابٌ يروي مسيرة العقل في التاريخ وفق عبارة مؤلّفيه، وهو يُذكّرنا أيضًا بكتاب هيغل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العقل والتاريخ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ولئن كانت مسيرة العقل لدى هيغل مظفرة فإنّها وفق جدليّة التنوير متقهقرة، وهذا ما يسمح بالحديث عن خسوف العقل عنوان كتاب هوركايمر بدلً من فكرة انتصار العقل التي غذّت فكر هيغل وأسندته في خصومته ضدّ التنوير</w:t>
      </w:r>
      <w:r>
        <w:rPr>
          <w:rFonts w:eastAsia="Amiri" w:cs="Amiri" w:ascii="Amiri" w:hAnsi="Amiri"/>
          <w:color w:val="111111"/>
          <w:sz w:val="28"/>
          <w:szCs w:val="28"/>
          <w:rtl w:val="true"/>
          <w:lang w:bidi="ar-SA"/>
        </w:rPr>
        <w:t>.</w:t>
      </w:r>
      <w:r>
        <w:rPr>
          <w:rStyle w:val="FootnoteAnchor"/>
          <w:rtl w:val="true"/>
        </w:rPr>
        <w:footnoteReference w:id="65"/>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والمتصفّح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بدايات فلسفة التاريخ البرجوازيّة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لهوركايمر، يقف على كثير من المحطّات التي يعود فيها صاحب الكتاب إلى هيغل في سياق حديثه عن الجدل في منظوره،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وكما يعرض هيغل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الجدل هو الذي ينهي إلى الفهم، إلى الاختلاف، طبيعته المتناهية والمظهر الزائف الذي هو استقلاليّة نتاجاته وهو الذي يعيده إلى الوحدة </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 xml:space="preserve">فلقد أفرد هوركايمر في هذا </w:t>
      </w:r>
    </w:p>
    <w:p>
      <w:pPr>
        <w:pStyle w:val="BookText"/>
        <w:rPr/>
      </w:pPr>
      <w:r>
        <w:rPr>
          <w:rFonts w:ascii="Amiri" w:hAnsi="Amiri" w:eastAsia="Amiri" w:cs="Amiri"/>
          <w:color w:val="111111"/>
          <w:sz w:val="28"/>
          <w:sz w:val="28"/>
          <w:szCs w:val="28"/>
          <w:rtl w:val="true"/>
          <w:lang w:bidi="ar-SA"/>
        </w:rPr>
        <w:t xml:space="preserve">المؤلَّف عنصرًا خاصًّا عنونه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هيغل ومشكلة الميتافيزيقا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والذي يبرز فيه تفسير هيغل لمشكلة الميتافيزيقا، ويبدأ هذا المبحث بعبارة مشهورة لهيغل ذكرها في مقدّمة مُؤلّفه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وتتمثل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ماهو عقلانيّ هو واقعيّ، وكلّ ما هو واقعيّ عقلانيّ </w:t>
      </w:r>
      <w:r>
        <w:rPr>
          <w:rStyle w:val="FootnoteAnchor"/>
          <w:rtl w:val="true"/>
        </w:rPr>
        <w:footnoteReference w:id="6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وغرضنا من الوقوف على هذه الإحالة لمؤلّف هوركايمر السابق ذكره ليس تحليل ما ورد فيه من مضامين، وإنّا إبراز حضور فلسفة هيغل في هذا المنتج الفكريّ لهوركايمر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ويبرز دور الفلسفة الهيغلية في مدرسة فرانكفورت من خلال الحضور القويّ لها في مؤلّفات روّادها، ففي جدل التنوير يذهب أدورنو إلى أنّ هيغل قد استبق واقعه بمئة سنة بمفاهيمه وبجذبها لسلطته بلغة مبهمة للحقيقة وبالغ في التفريط بالضحايا معتبرهم كديكورات فقط، وهذا دون أن يزعج جوهريّا الوضعيّة التي توجد فيها الضّحيّة</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ويذهب هوركايمر كذلك إلى التأكيد على أهميّة هيغل مؤيّدًا لأدورنو،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لهذا التجريبي الكبير، الذي استبق فهمه للوقائع التاريخيّة والسوسيولوجيّة والنفسيّة نتائج هامّة تمّ التوصّل إليها بفضل العمل المنهجي وطيلة قرن بأكمله، ولا يزال بإمكانه اليوم أيضًا أن يُوجّه البحوث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هذه الإشادة بقيمة هيغل وفلسفته لم تمنعهم من نقده </w:t>
      </w:r>
    </w:p>
    <w:p>
      <w:pPr>
        <w:pStyle w:val="BookText"/>
        <w:rPr/>
      </w:pPr>
      <w:r>
        <w:rPr>
          <w:rFonts w:ascii="Amiri" w:hAnsi="Amiri" w:eastAsia="Amiri" w:cs="Amiri"/>
          <w:color w:val="111111"/>
          <w:sz w:val="28"/>
          <w:sz w:val="28"/>
          <w:szCs w:val="28"/>
          <w:rtl w:val="true"/>
          <w:lang w:bidi="ar-SA"/>
        </w:rPr>
        <w:t>في كثير من المسائل الرئيسة تتعلّق بنزعته التوفيقيّة بين العقل والواقع، وبين الذّات والموضوع، وبين التاريخ والمطلق، وبين المفهوم والاعتقاد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الجدليّة التي تُثّل لا شكّ أهمّ المسائل التي استولت على اهتمام فلاسفة مدرسة فرانكفورت على الدوام، وحضور هذا اللّفظ في عناوين لوحدات من أهمّ مصادر النَّظَرِيَّة النَّقْدِيَّة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جدليّة التنوير والجدل السلبي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مجرّد حضور لفظي، بل إنّ مضمون ما كتبه المنظّرون الأوائل يركّز على هذه المسألة التي استقطبت اهتمام الكثير من الفلاسفة المعاصرين،</w:t>
      </w:r>
      <w:r>
        <w:rPr>
          <w:rStyle w:val="FootnoteAnchor"/>
          <w:rtl w:val="true"/>
        </w:rPr>
        <w:footnoteReference w:id="70"/>
      </w:r>
      <w:r>
        <w:rPr>
          <w:rFonts w:ascii="Amiri" w:hAnsi="Amiri" w:eastAsia="Amiri" w:cs="Amiri"/>
          <w:color w:val="111111"/>
          <w:sz w:val="28"/>
          <w:sz w:val="28"/>
          <w:szCs w:val="28"/>
          <w:rtl w:val="true"/>
          <w:lang w:bidi="ar-SA"/>
        </w:rPr>
        <w:t>فلقد تركّز عملهم على الجدليّة الهيغليّة، والتي لا ينكر فلاسفة فرَانْكِفُورْتْ أهمّيتها كمنهج فلسفي قد وجّهوا لها الكثير من الانتقادات، منها أنّهم يرفضون الطريقة التي استخدم بها هيغل هذه الجدليّة كمنهجٍ فلسفيٍّ، وهذا ما جعل هوركايمر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الجدل بالنسبة لنا ليس لعبة مع المحاولة تصبح أكيدة، بل إنّه عمليّة جادّة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نعلم أنّه إذا لم تحلّ المتناقضات، فإنّ كلّ جهود الفكر ستكون باطلة، لذا لا بدّ على هيغل أن يعطي التلاؤم لنظريّته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بطريقة تكون فيها النهاية مقبولة للافتراض الأوّلي لفكره، ويصبح المفهوم أكثر تكيّفًا مع وضعيّتنا من مفهوم المصالحة مع ذاته </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الأثر الهيغلي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الجيل الأوّل خصوصًا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يتمثّل بشكلٍ أساسٍ في عظمة المنهج الجدليّ الذي جعلته مدرسة فرانكفورت </w:t>
      </w:r>
      <w:bookmarkStart w:id="108" w:name="pg16380_210360"/>
    </w:p>
    <w:p>
      <w:pPr>
        <w:pStyle w:val="BookText"/>
        <w:rPr/>
      </w:pPr>
      <w:bookmarkEnd w:id="108"/>
      <w:r>
        <w:rPr>
          <w:rFonts w:ascii="Amiri" w:hAnsi="Amiri" w:eastAsia="Amiri" w:cs="Amiri"/>
          <w:color w:val="111111"/>
          <w:sz w:val="28"/>
          <w:sz w:val="28"/>
          <w:szCs w:val="28"/>
          <w:rtl w:val="true"/>
          <w:lang w:bidi="ar-SA"/>
        </w:rPr>
        <w:t>أكثر ديناميكيّةً من خلال رؤيتها النَّقْدِيَّة، التي ربطت بواسطتها الجدل بالواقع الاجتماعي، وهو ما مكّن فلاسفتها من اكتشاف جملة التناقضات الكامنة في الظواهر المدروسة، فتمكّنوا من رفض النزعة الوضعيّة التي تشيّئ عالم الإنسان وبالتالي تجعله يشعر بالاغتراب</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6736804_1280447820"/>
      <w:bookmarkStart w:id="110" w:name="_Toc37"/>
      <w:bookmarkEnd w:id="109"/>
      <w:r>
        <w:rPr>
          <w:rtl w:val="true"/>
        </w:rPr>
        <w:t>المطلب الثالث</w:t>
      </w:r>
      <w:r>
        <w:rPr>
          <w:rtl w:val="true"/>
        </w:rPr>
        <w:t xml:space="preserve">: </w:t>
      </w:r>
      <w:r>
        <w:rPr>
          <w:rtl w:val="true"/>
        </w:rPr>
        <w:t>الأثر الْاَرْكِسِّ في مدرسة فرانكفورت</w:t>
      </w:r>
      <w:bookmarkEnd w:id="110"/>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القارئ المحلّل للمنتج الفكريّ لروّاد مدرسة فرانكفورت بمختلف أجيالها وخاصّة الجيل الأوّل منها، سرعان ما يكتشف حضورًا للفلسفة الْمَرْكِسِيَّة بمفاهيمها المختلفة وبروحها النقديّة، الأمر الذي يجعله يتأكّد من وجود تقاطعات كثيرة بين هذه الفلسفة الْمَرْكِسِيَّة وفلسفة مدرسة فرانكفورت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تبرز أوّل محطّات هذا التقاطع في اجتماع عقد صيف </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إيلمينو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Ilmenau</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تورينغ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Thuringe</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أسبوع عمل ماركسي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Erste Marxistische Arbeitwoche 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والذي تمّ خلاله الاتّفاق على ضرورة تأسيس معهد للأبحاث الاجتماعيّة</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 xml:space="preserve">وكان من أبرز الشخصيّات المشاركة في هذا الاجتماع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جورج لوكاش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كارل كورش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واللذين تتجلّ ماركسيّتهما من خلال كتابيهما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والوعي الطبقي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وكتاب الْمَرْكِسِيَّة والفلسفة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وهما يعبّان عن محاولة لتجديد الماركسيّة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انخرطت المدرسة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المعهد في التنظير الْمَرْكِسِِّ والتزمت بالخطّ الاشتراكي الذي يُعوِّل في رؤيته على الماديّة التاريخيّة وفي ممارساته النضاليّة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الثوريّة </w:t>
      </w:r>
    </w:p>
    <w:p>
      <w:pPr>
        <w:pStyle w:val="BookText"/>
        <w:rPr/>
      </w:pPr>
      <w:r>
        <w:rPr>
          <w:rFonts w:ascii="Amiri" w:hAnsi="Amiri" w:eastAsia="Amiri" w:cs="Amiri"/>
          <w:color w:val="111111"/>
          <w:sz w:val="28"/>
          <w:sz w:val="28"/>
          <w:szCs w:val="28"/>
          <w:rtl w:val="true"/>
          <w:lang w:bidi="ar-SA"/>
        </w:rPr>
        <w:t xml:space="preserve">على طبقة البروليتاريا مع رئاسة أستاذ القانون والعلوم السياسيّة في جامعة فينا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كارل جرونبرغ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أبرز زعماء المدرسة الْمَرْكِسِيةَّ النمساويّة،</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حيث أصبحت الْمَرْكِسِيَّة منهجًا أساسيًّا لفهم سيرورة التاريخ والمجتمع وأساس فهم التقدُّم السياسِّ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شكّلت الْمَرْكِسِيَّة إذًا وجهةً للنّقد الفرانكفورتي لِمَ كانت تحمله من رغبة في تحرير المستضعفين ومناهضة أشكال الهيمنة والإقصاء واستلاب لجهد العمّل التي ترتّبت عن الهيمنة الرأسمالية، وهو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فلاسفة وعلماء اجتماع هذه المدرسة ينخرطون في جهدٍ نقديٍّ يرمي إلى رصد مختلف الأعراض المرضيّة التي أصابت عصرنا كالتشيّؤ والاغتراب والصنميّة، ممّ حدا بهم إلى أن يقيموا نقدًا حادًّا ليوتوبيا التقدّم التّقني والنظريّات التبشيريّة بعالم الأحلام الموعود، كما انتقدوا في حينه النزعة العلمويّة التي تتصوّر المعرفة كطبيعة موضوعيّة مجرّدة عن المصلحة</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يعني أنّ الدراسة الفلسفيّة لمدرسة فرَانْكِفُورْتْ كغيرها من الدّراسات الفلسفيّة الألمانيّة التزمت بتقليد فلسفي ألماني، وهو تقليد النّقد، كنشاط تنظيريّ ينصبّ على المنتج الفكري وكممارسة واقعيّة ترمي إلى دفع الفكر نحو التورّط في إشكاليّة التغيير الاجتماعي</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بناء على ذلك أرست المدرسة منظورًا جديدًا يقوم </w:t>
      </w:r>
    </w:p>
    <w:p>
      <w:pPr>
        <w:pStyle w:val="BookText"/>
        <w:rPr/>
      </w:pPr>
      <w:r>
        <w:rPr>
          <w:rFonts w:ascii="Amiri" w:hAnsi="Amiri" w:eastAsia="Amiri" w:cs="Amiri"/>
          <w:color w:val="111111"/>
          <w:sz w:val="28"/>
          <w:sz w:val="28"/>
          <w:szCs w:val="28"/>
          <w:rtl w:val="true"/>
          <w:lang w:bidi="ar-SA"/>
        </w:rPr>
        <w:t xml:space="preserve">على فلسفة اجتماعيّة ترى ذاتها كنظريّة نقديّة، فعوض أن تنخرط بالانتماء إلى المجتمع وتسلّم بنظمه، لم تتردّد عن نقده والبقاء خارجه، لتقوم بدورها كاملً في النّقد كاشفة عن مصادر العطب الذي يطاله وتتوجّه موضوعيًّا نحو تغييره </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القول بأنّ النَّظَرِيَّة النَّقْدِيَّة تمتدّ بجذورها إلى الماركسيّة، عبر حلقات أسبوع العمل الْمَرْكِسِيَّة، التي انبثقت منها فكرة تكوين معهد البحوث الاجتماعيّة، ومن الواضح أيضًا أنّ المعهد كان مواكبًا لكافّة التطوّرات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الاتحاد السوفياتيّ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ثورة </w:t>
      </w:r>
      <w:r>
        <w:rPr>
          <w:rFonts w:eastAsia="Amiri" w:cs="Amiri" w:ascii="Amiri" w:hAnsi="Amiri"/>
          <w:color w:val="111111"/>
          <w:sz w:val="28"/>
          <w:szCs w:val="28"/>
          <w:lang w:bidi="ar-SA"/>
        </w:rPr>
        <w:t>1917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 هوركايمر حاول أن يُطبّق الْمَرْكِسِيَّة باعتبارها فلسفة نقديّة على صعيد نظريّة المعرفة</w:t>
      </w:r>
      <w:r>
        <w:rPr>
          <w:rFonts w:eastAsia="Amiri" w:cs="Amiri" w:ascii="Amiri" w:hAnsi="Amiri"/>
          <w:color w:val="111111"/>
          <w:sz w:val="28"/>
          <w:szCs w:val="28"/>
          <w:rtl w:val="true"/>
          <w:lang w:bidi="ar-SA"/>
        </w:rPr>
        <w:t>.</w:t>
      </w:r>
      <w:r>
        <w:rPr>
          <w:rStyle w:val="FootnoteAnchor"/>
          <w:rtl w:val="true"/>
        </w:rPr>
        <w:footnoteReference w:id="77"/>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هذا الانتماء لا يعني الصّلة التي تُلغي البعد، والإقرار بالأساس الْمَرْكِسِِّ للمدرسة لا يُلغي حقّ الاختلاف معها، فكانت علاقتها تتضمّن الانتماء والاختلاف، فيمكن الحكم على فترة رئاسة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كارل جرونبرغ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للمعهد بمرحلة الانتماء، أمّا فترة رئاسة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ماكس هوركايمر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تسميتها بمرحلة الاختلاف، ففي الوقت الذي كان فيه أصحاب النَّظَرِيَّة المَارْكِسِيَّة الأوائل يراهنون على إعادة بناء المجتمع على أسسٍ ماركسيّةٍ كحلٍّ لطغيان العقل الذي نجم عنه انهيار المعرفة وأزمة في العقل التاريخي،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هوركايمر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أنّ المراهنة على البروليتاريا كقوّة دافعة ليس كافيًا لعمليّة التّحرّر، </w:t>
      </w:r>
      <w:bookmarkStart w:id="111" w:name="pg16380_210363"/>
    </w:p>
    <w:p>
      <w:pPr>
        <w:pStyle w:val="BookText"/>
        <w:rPr/>
      </w:pPr>
      <w:bookmarkEnd w:id="111"/>
      <w:r>
        <w:rPr>
          <w:rFonts w:ascii="Amiri" w:hAnsi="Amiri" w:eastAsia="Amiri" w:cs="Amiri"/>
          <w:color w:val="111111"/>
          <w:sz w:val="28"/>
          <w:sz w:val="28"/>
          <w:szCs w:val="28"/>
          <w:rtl w:val="true"/>
          <w:lang w:bidi="ar-SA"/>
        </w:rPr>
        <w:t>فالنظريّة النَّقْدِيَّة أخذت بعض مُقوّماتها، لا سيّما في البداية، من الْمَرْكِسِيَّة لكنّها قطعت مع تعاليمها في الوقت الذي تبيَّ لروّادها أنّ للماركسية نظامًا توتاليتاريًّا يمكنه تسييج الحريّة وخنق البعد النّقديّ للتفكير</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لقد استطاعت النَّظَرِيَّة النَّقْدِيَّة أن تستوعب الجهد الفكريّ والنقديّ الذي استثمره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ماركس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نقد الرأسماليّة وبيان أساليب ومواطن اضطهادها للطبقة العاملة، لكنّها لم تسايره في معظم الحلول التي قدّمها خاصّة منها تلك التي كانت تبتعد عن مستجدّات الواقع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أخذت النَّظَرِيَّة النقديّة الْمَرْكِسِيَّة في جملة من المآخذ الفعليّة، والتي من خلالها حاولت النَّظَرِيَّة النَّقْدِيَّة أن تطرح قراءاتٍ جديدةً مختلفةً عن تلك المقترحة من طرف الماركسيين</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6736806_1280447820"/>
      <w:bookmarkStart w:id="113" w:name="_Toc38"/>
      <w:bookmarkEnd w:id="112"/>
      <w:r>
        <w:rPr>
          <w:rtl w:val="true"/>
        </w:rPr>
        <w:t>المطلب الرابع</w:t>
      </w:r>
      <w:r>
        <w:rPr>
          <w:rtl w:val="true"/>
        </w:rPr>
        <w:t xml:space="preserve">: </w:t>
      </w:r>
      <w:r>
        <w:rPr>
          <w:rtl w:val="true"/>
        </w:rPr>
        <w:t>الأثر الفرويدي في مدرسة فرانكفورت</w:t>
      </w:r>
      <w:bookmarkEnd w:id="113"/>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الدّارس لمدرسة فرَانْكِفُورْتْ النَّقْدِيَّة والمتتبّع لمراحل تطوّرها عبر أجيالها المختلفة، سيكتشف درجة التعقيد التي تكتنف هذه المدرسة بفعل الحضور القويّ لكثيرٍ من الأطياف الفلسفيّة، التي مارست تأثيرها وإن بدرجات متفاوتة على روّادها، ولقد أشرنا سالفًا إلى تأثير الفلسفة الكانطيّة وكذلك الفلسفة الهيغليّة والْمَرْكِسِيَّة، وبيّنّا بأنّ هذا التأثير لم يأخذ صورة التقليد والتبنّي فقط، بل إنّ فلاسفة المدرسة تناولوا مختلف المسائل الفلسفيّة التي عالجتها الفلسفات السابقة بالدراسة التحليليّة النقديّة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حصر </w:t>
      </w:r>
    </w:p>
    <w:p>
      <w:pPr>
        <w:pStyle w:val="BookText"/>
        <w:rPr/>
      </w:pPr>
      <w:r>
        <w:rPr>
          <w:rFonts w:ascii="Amiri" w:hAnsi="Amiri" w:eastAsia="Amiri" w:cs="Amiri"/>
          <w:color w:val="111111"/>
          <w:sz w:val="28"/>
          <w:sz w:val="28"/>
          <w:szCs w:val="28"/>
          <w:rtl w:val="true"/>
          <w:lang w:bidi="ar-SA"/>
        </w:rPr>
        <w:t xml:space="preserve">المنابع الفلسفيّة لمفكري المدرسة في الفلسفات السالف ذكرها، بل اتّسعت مشاربها أكثر بكثير لترتبط من الناحية السيكولوجيّة بمدرسة التحليل النفسيّ من خلال التأثّر بأفكار رائدها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سيجموند فرويد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والاستفادة من التحليل النفسي كمنهجٍ لتفسير كثير من المسائل التي اهتمّت المدرسة بمعالجتها إلى درجة أنّ البعض من المفكرين اعتقد بأنّه لا يُكن التفكير في أيّ حركة فلسفيّة، أو تيّار فكريّ في القرن العشرين خارج الأثر الثلاثي لماركس، نيتشه، وفرويد، وربّا تكون النَّظَرِيَّة النَّقْدِيَّة لمدرسة فرانكفورت قد جمعت هذه الأطياف الثلاثة حزمة واحدة</w:t>
      </w:r>
      <w:r>
        <w:rPr>
          <w:rFonts w:eastAsia="Amiri" w:cs="Amiri" w:ascii="Amiri" w:hAnsi="Amiri"/>
          <w:color w:val="111111"/>
          <w:sz w:val="28"/>
          <w:szCs w:val="28"/>
          <w:rtl w:val="true"/>
          <w:lang w:bidi="ar-SA"/>
        </w:rPr>
        <w:t>.</w:t>
      </w:r>
      <w:r>
        <w:rPr>
          <w:rStyle w:val="FootnoteAnchor"/>
          <w:rtl w:val="true"/>
        </w:rPr>
        <w:footnoteReference w:id="79"/>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ففلاسفة النَّظَرِيَّة النَّقْدِيَّة بعد معاينتهم لانحطاط القيم الفرديّة داخل المجتمع الصناعي المتقدّم، ومن انسحاب لحقّ الفرد في الاختلاف داخل النّظام الفاشستي أوّلاً، وفي تراتبيّات النّظام السياسي المغلق للمجتمع الصناعي ثانيًا، حاولوا إعمال العقل لإعادة الاعتبار للفرد ولتنشيط الفكر النقديّ، وانطلاقًا من هذا الاهتمام عملوا على إعادة قراءة النصّ الفرويديّ على ضوء تحوّلات المجتمع الصناعيّ متسائلين عن دلالات الرّغبة والتصعيد اللاَّ شعوري وموقع الجنس في آليات الإغراء الحديثة وعلاقتها بالعمليّة الإنتاجيّة وعن المعاني الجديدة الّتي يتّخذها الحب</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من هذا يتضّح أنّ روّاد مدرسة فرانكفورت النَّقْدِيةَّ جعلوا من التحليل النفسيّ منهجًا ضروريًّا لتحليل المشكلات الفرديّة التي برزت في المجتمعات الرأسماليّة؛ بقصد تشخيصها ومن ثمّ إيجاد الحلول المناسبة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ويعود اهتمام مدرسة فرانكفورت بالتحليل النفسيّ إلى مقالة مبكّرة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فلهلم رايخ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الماديّة الجدليّة والتحليل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إنّه نبّه إلى أنّ التحليل النّفسيّ يختلف جذريًّا عن علم الاجتماع أو علم النّفس الاجتماعي، وأنّه يحمل تصوّرًا ماديًّا عن الإنسان بوصفه فردًا، أي أنّه كتلةٌ غريزيّةٌ من النزوات متحرّكة في جدل تحوّلات وصيرورات لا متناهية للكينونة، ولفرديّة الإنسان الذي يبدو أنّه اشتقّ إنسانيّته من نشأة الفرديّة، وانفصل عن الطبيعة بفعل فرديّته، ومن هنا أصبح الاغتراب البُعد الأساس في الكائن الفرد</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يعني أنّ روَّاد مدرسة فرانكفورت من الجيل الأوّل قد تأثّروا بمفاهيم علم النفس ونتائج أبحاثه، وتوظيفها في مختلف دراساتهم ونجد في مؤلّفات هؤلاء الروّاد إشاراتٍ واضحةً إلى هذا الأثر، ففي المؤلّف المشترك لهوركايمر وأدورنو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جدل التنوير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تبعًا لنظريّة التحليل النفسي فهناك إسقاطات، وإنّ حصول الإسقاط المرضي مرتبط بتحويل الفرد نزواته على المواضيع، النّزوات المحرمة على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ضغط الأنا الأعلى، يُسقِط الأنا على العالم الخارجي كنوايا سيّئة وبذلك تنجح بالتخلُّص منها كردّات </w:t>
      </w:r>
    </w:p>
    <w:p>
      <w:pPr>
        <w:pStyle w:val="BookText"/>
        <w:rPr/>
      </w:pPr>
      <w:r>
        <w:rPr>
          <w:rFonts w:ascii="Amiri" w:hAnsi="Amiri" w:eastAsia="Amiri" w:cs="Amiri"/>
          <w:color w:val="111111"/>
          <w:sz w:val="28"/>
          <w:sz w:val="28"/>
          <w:szCs w:val="28"/>
          <w:rtl w:val="true"/>
          <w:lang w:bidi="ar-SA"/>
        </w:rPr>
        <w:t xml:space="preserve">فعل تجاه العالم الخارجي </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 فوجود مثل هذه الإشارة يوضّح حضور الطيف الفرويدي في فكر روّاد مدرسة فرانكفورت النَّقْدِيَّة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إيرك فروم مقالً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التحليل النّفسي والسياسة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مجلة السيكولوجيا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أثار سجالً علميًّا واسعًا، إذ كان محاولة لتطوير الفرويديّة من خلال نظريّة المعرفة الماركسيّة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فروم أنّ الْمَرْكِسِيَّة كانت على خطأ حين أسقطت أهميّة العامل السيكولوجي لغريزة التملّك، كما أنّ ماركس لم يضع أهميّة للمقدّمات السيكولوجيّة مثلما يقوم به هو اليوم؛ ولهذا فإنّ الْمَرْكِسِيَّة تحتاج إلى مرجعيّة سيكولوجيّة أوسع وإلى حلقة الوصل الضائعة التي تربط البناء الفوقي بالأساس الاقتصادي، وتطوير علم نفس 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تحليلي يقوم على دراسة أو فهم السلوك المدفوع بباعث غير واع، من طريق تأثير الأساس المادّي في الحاجات البشريّة الأساسيّة</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ويمكننا القول بأنّ مدرسة فرانكفورت قد مرّت بمجموعةٍ من المراحل؛ فقد انشغلت في الثلاثينيات والأربعينيات بالاشتراكيّة الوطنيّة، ومعاداة السامية، واهتمّت في الخمسينيات بصناعة الثقافة، واعتنت في الستينيات بالحركات الثوريّة التحرريّة، لا سيّما ثورة الطلبة والأقليّات العرقيّة، لتهتمّ في سنوات السبعين وبعدها بنظريّة المعرفة، وإعادة النّظر في الكثير من الآراء الماركسيّة، وبناء أسسها من جديد، وصياغة نظريةّ ماركسيةّ جديدة، والاعتناء بالقضايا </w:t>
      </w:r>
    </w:p>
    <w:p>
      <w:pPr>
        <w:pStyle w:val="BookText"/>
        <w:rPr/>
      </w:pPr>
      <w:r>
        <w:rPr>
          <w:rFonts w:ascii="Amiri" w:hAnsi="Amiri" w:eastAsia="Amiri" w:cs="Amiri"/>
          <w:color w:val="111111"/>
          <w:sz w:val="28"/>
          <w:sz w:val="28"/>
          <w:szCs w:val="28"/>
          <w:rtl w:val="true"/>
          <w:lang w:bidi="ar-SA"/>
        </w:rPr>
        <w:t>السياسيّة والمجتمعيّة في ضوء النَّظَرِيَّة النقديّة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ارتبط علم الاجتماع بالْمَرْكِسِيَّة، ووضعت النَّظَرِيَّة النَّقْدِيَّة إبستمولوجيا بين الفلسفة والعلم، وخاصّة مع مفكّر التجديد هابرماس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 أهمّ الانتقادات الموجّهة إلى مفكّريّ مدرسة فرانكفورت فتتمثّل اختلاف آرائهم من شخص إلى آخر، واختلاف توجّهات مدرسة فرانكفورت لما بعد الحداثة عن مدرسة فرانكفورت في فترة الثلاثينيات من القرن العشرين، كما استبعدت المدرسة اهتمامها بالتاريخ والاقتصاد إلى حدٍّ كبير، وانحرفت انحرافًا كبيرًا عن مبادئ الْمَرْكِسِيَّة الكلاسكيّة كما عند الجيل الثاني من مفكّريّ معهد فرانكفورت، وقد همّشت النَّظَرِيَّة النَّقْدِيَّة الجديدة مع هابرماس الطّبقة العاملة باعتبارها طبقةً ثوريّةً سياسيّةً فاعلةً ومغيّة؛ لذا وصفت مدرسة فرانكفورت بأنها ماركسيّة بدون بروليتاريا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يبدو أنّ مفهوم مدرسة فرانكفورت عن تدهور أو تلاشي الطبقة العاملة كقوّة سياسيّة قدّم أساسًا فكرة طوباويّة وخياليّة عن الثورة، التي هي بأية حال الطريق الوحيد، أو الأكثر مَارْكِسِيَّة، لتصوّر عمليّة الثورة الاجتماعية، وربّا يكون هذا المفهوم قائمًا أيضًا على انعكاس الخبرة الاستثنائيّة الأميركية، الناجمة عن غياب طبقة عاملة منظّمة سياسيًّا في المجتمع الأميركي، على فكرهم، ولا سيّما في حالة ماركوز</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القول أخيرًا بأنّ النَّظَرِيَّة النَّقْدِيَّة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عمومها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ابتعدت في مراحلها الأخيرة عن الْمَرْكِسِيَّة التي انطلقت منها في بداياتها، بل أعلنت هذه النَّظَرِيَّة فشلها حينما اعتبر هابرماس بأنّ نظريّة ما بعد </w:t>
      </w:r>
    </w:p>
    <w:p>
      <w:pPr>
        <w:pStyle w:val="BookText"/>
        <w:rPr/>
      </w:pPr>
      <w:r>
        <w:rPr>
          <w:rFonts w:ascii="Amiri" w:hAnsi="Amiri" w:eastAsia="Amiri" w:cs="Amiri"/>
          <w:color w:val="111111"/>
          <w:sz w:val="28"/>
          <w:sz w:val="28"/>
          <w:szCs w:val="28"/>
          <w:rtl w:val="true"/>
          <w:lang w:bidi="ar-SA"/>
        </w:rPr>
        <w:t>الحداثة حالة مرضيّة؛ بسبب اختلال التوازن بين ما هو معنويّ وما هو ماديّ</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نصل إلى أنّ النَّظَرِيَّة النَّقْدِيَّة هي قراءة مَارْكِسِيَّة للمجتمع، ونقد للنظرية العلميّة والوضعيّة التي أهملت الإنسان والذات والتاريخ والمجتمع والأخلاق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تعمل النَّظَرِيَّة النَّقْدِيَّة على تنوير المرء الملزم، وتنويره عقليًّا وذهنيًّا وانتقاد الاغتراب في المجتمع الرأسمالي، وإدانة فكرة التشييء والاستلاب والقمع الآلي؛ ومن ثم تستند النَّظَرِيَّة النَّقْدِيَّة في قراءتها للأدب والفنّ إلى مفاهيم النقد الْمَرْكِسِِّ الكلاسيكي أو الْمَرْكِسِيَّة المعدّلة في نظريّة هابرماس، ويمكن أن نُحدّد مجموعة من المراحل التي قطعتها النَّظَرِيَّة النَّقْدِيَّة الجديدة، فكان هناك في البداية اهتمام بنقد الوضعية العلمية، ومعاداة لفكرة السامية، وبعد ذلك انتقل الاهتمام إلى المجال الثقافي مع ماركوز، ليتمّ الإنصات إلى الحركات الثوريّة الطلاَّبية والأقليّات المضطهدة، لتتخذ النَّظَرِيَّة النَّقْدِيَّة توجّهًا جديًّا مع هابرماس، حيث بدأت النَّظَرِيَّة النَّقْدِيَّة الجديدة تُقدّم تصوّرات مختلفة حول المجتمع متأرجحةً بين الفلسفة والعلم، كما أعيدت صياغة الْمَرْكِسِيَّة من جديد على أسس علميّة وسياسيّة واجتماعيّة ما بعد حداثيّة، لتنتهي النَّظَرِيَّة النَّقْدِيَّة بالثورة على ما بعد الحداثة نفسها، وذلك حينما وقع اختلال مجتمعيّ وحضاريّ بين القيمالماديّة والقيم المعنويّة، فترتّب عن ذلك أن أصبحت ما بعد الحداثة حالة مرضيّة مأساويّة</w:t>
      </w:r>
      <w:r>
        <w:rPr>
          <w:rFonts w:eastAsia="Amiri" w:cs="Amiri" w:ascii="Amiri" w:hAnsi="Amiri"/>
          <w:color w:val="111111"/>
          <w:sz w:val="28"/>
          <w:szCs w:val="28"/>
          <w:rtl w:val="true"/>
          <w:lang w:bidi="ar-SA"/>
        </w:rPr>
        <w:t xml:space="preserve">. </w:t>
      </w:r>
      <w:bookmarkStart w:id="114" w:name="pg16380_210369"/>
    </w:p>
    <w:p>
      <w:pPr>
        <w:pStyle w:val="Heading2"/>
        <w:numPr>
          <w:ilvl w:val="1"/>
          <w:numId w:val="1"/>
        </w:numPr>
        <w:rPr/>
      </w:pPr>
      <w:bookmarkStart w:id="115" w:name="__RefHeading___Toc6736808_1280447820"/>
      <w:bookmarkStart w:id="116" w:name="_Toc39"/>
      <w:bookmarkEnd w:id="114"/>
      <w:bookmarkEnd w:id="115"/>
      <w:r>
        <w:rPr>
          <w:rtl w:val="true"/>
        </w:rPr>
        <w:t xml:space="preserve">الفصل الرابع </w:t>
      </w:r>
      <w:r>
        <w:rPr>
          <w:rtl w:val="true"/>
        </w:rPr>
        <w:t xml:space="preserve">: </w:t>
      </w:r>
      <w:r>
        <w:rPr>
          <w:rtl w:val="true"/>
        </w:rPr>
        <w:t>مدرسة فرانكفورت معاثر ها الفکریه او نقد النقد</w:t>
      </w:r>
      <w:bookmarkEnd w:id="116"/>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7" w:name="__RefHeading___Toc6736810_1280447820"/>
      <w:bookmarkStart w:id="118" w:name="_Toc40"/>
      <w:bookmarkEnd w:id="117"/>
      <w:r>
        <w:rPr>
          <w:rtl w:val="true"/>
        </w:rPr>
        <w:t>اشارة</w:t>
      </w:r>
      <w:bookmarkEnd w:id="118"/>
    </w:p>
    <w:p>
      <w:pPr>
        <w:pStyle w:val="BookText"/>
        <w:rPr/>
      </w:pPr>
      <w:r>
        <w:rPr>
          <w:rFonts w:ascii="Amiri" w:hAnsi="Amiri" w:eastAsia="Amiri" w:cs="Amiri"/>
          <w:color w:val="111111"/>
          <w:sz w:val="28"/>
          <w:sz w:val="28"/>
          <w:szCs w:val="28"/>
          <w:rtl w:val="true"/>
          <w:lang w:bidi="ar-SA"/>
        </w:rPr>
        <w:t>لا تستغني الحياة الواعية عن النّقد، ولا يَشُكّ أحد في ضرورة النّقد للواقع السائد في نظم المعرفة والقيم والاجت اع، وأنماط الفِكر م والفعل والسّلوك، إذ إنّ إحياء الحسّ النّقدي معناه إحياء الحسّ بالحريّة والاستنارة، وضرورة التغيير والتقدّم والحوار المستمرّ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الرَّغْمِ من تعدّد مفاهيم النّقد وتنوّع أساليب تطبيقه وميادينه، فهو يتضمّن ضرورة مناهج المراجعة والتقييم للأفكار والوقائع والأفعال، التي تنطلق من معايير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ا يستهدف م الكشف عن تعارض تلك الأفكار والوقائع والأفعال مع هذه المعايير التي أصابها العجز والفساد بغية العمل على تجاوزها</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هذا ما حاولت مدرسة فرانكفورت اتّباعه كمنهج، لكن هل وصلت بمنهجها الثوريّ والنظريّ في النقد إلى ملامسة الواقع أم بقيت في الإطار النظريّ والتحليل الفكريّ؟ هل خرجت هذه المدرسة من مجال النّقد العقليّ إلى الفعل العمليّ وقدّمت منظومةً فكريّةً متكاملةً لبناء اجت اعيّ قيميّ م وإنسانيّ مغاير أم بقيت في حيّز الوعود البلاغيّة والإنشائيّة؟</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مدرسة فرانكفورت خليطًا من الاختصاصات والاهت امات، فقد كان رُوّادها من علم الاجت اع والفلسفة ك ا العلوم التجريبيّة، لذا م م كان هذا التنوّع رغم مزاياه النَّظَرِيَّة والمعرفيّة أرضيّةً خصبةً للصراع </w:t>
      </w:r>
    </w:p>
    <w:p>
      <w:pPr>
        <w:pStyle w:val="BookText"/>
        <w:rPr/>
      </w:pPr>
      <w:r>
        <w:rPr>
          <w:rFonts w:ascii="Amiri" w:hAnsi="Amiri" w:eastAsia="Amiri" w:cs="Amiri"/>
          <w:color w:val="111111"/>
          <w:sz w:val="28"/>
          <w:sz w:val="28"/>
          <w:szCs w:val="28"/>
          <w:rtl w:val="true"/>
          <w:lang w:bidi="ar-SA"/>
        </w:rPr>
        <w:t xml:space="preserve">الدّاخلي، والتناقضات فهذا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 الضدّي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حاول على مرّ تاريخ المدرسة جمع شتاته حول فكرة جوهريةّ، كما سبق أن وضّحنا، نقديّة بالأساس، إلاّ أنّ اختلاف التوجّهات والمرجعيّات كان عائقًا أمام جمع الأضداد، فكان ما اعتبرناه في المدرسة من مراحل هو عبارة عن هدم وإعادة 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يمكن أن نماهي بين الجيل الأوّل للمدرسة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معهد البحوث الِجْتِمَعِيِّة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والجيل الثاني بعد الحرب العالميّة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 فرانكفورت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تكن الحرب كافية لتغيير الاتّجاهات والأفكار؟ ألم نتحوَّل من المعهد إلى المدرسة من فكر إلى فكر ومن روّاد إلى آخرين؟ فَلِمَ هذا الإصرار على جمع الاختلاف داخل المدرسة رغم ابتعاد الكثيرين منها عن مقولاتها الأساسيّة؟</w:t>
      </w:r>
    </w:p>
    <w:p>
      <w:pPr>
        <w:pStyle w:val="BookText"/>
        <w:rPr/>
      </w:pPr>
      <w:r>
        <w:rPr>
          <w:rFonts w:ascii="Amiri" w:hAnsi="Amiri" w:eastAsia="Amiri" w:cs="Amiri"/>
          <w:color w:val="111111"/>
          <w:sz w:val="28"/>
          <w:sz w:val="28"/>
          <w:szCs w:val="28"/>
          <w:rtl w:val="true"/>
          <w:lang w:bidi="ar-SA"/>
        </w:rPr>
        <w:t xml:space="preserve">الاختلاف في طرق البحث نتيجة تنوّع الاختصاصات واضحة داخل المدرسة، فقد توالت عليها عدّة مُؤثّرات كالفلسفة التحليليّة والتحليل النفسيّ والفينمنولوجيا أو الظاهريّة والوجوديّة والهرومنيوطيقيّة أو فلسفة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الحدّ الذي تتّهم معه من جانب خصومها بأنّها لم تعد نقديّة ولا ماركسيّة، وأنّها انتهت عند بعض أعلامها في أواخر حياتها إلى نوع من اليساريّة العدميّة</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المدرسة إذا لم تكن ذات أسس نقديّة واضحة المعالم، أيّ أنّها </w:t>
      </w:r>
    </w:p>
    <w:p>
      <w:pPr>
        <w:pStyle w:val="BookText"/>
        <w:rPr/>
      </w:pPr>
      <w:r>
        <w:rPr>
          <w:rFonts w:ascii="Amiri" w:hAnsi="Amiri" w:eastAsia="Amiri" w:cs="Amiri"/>
          <w:color w:val="111111"/>
          <w:sz w:val="28"/>
          <w:sz w:val="28"/>
          <w:szCs w:val="28"/>
          <w:rtl w:val="true"/>
          <w:lang w:bidi="ar-SA"/>
        </w:rPr>
        <w:t xml:space="preserve">لم تؤسّس لنفسها بنيةً نقديّةً خاصّة، بل استقت منهجها من عدّة مناهج، فكانت وليدة مزج الفلسفة الهيغليّة بالماركسيّة والكانطيّة بالوضعية، وادّعت في هذا الخلط، أنّه مسارها النقديّ، فكانت في الأخير جسمً لا متجانسًا ولا فكريًّا ولا منهجيًّا، بل يمكن تجاوز القول لنقول إنّها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نقديًّا لا نسخة نقديّة لمرجعيّات متضابرة ومتناقضة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بعض خصومهم يصفنوهم بأنهّم ماركسيون وجوديون متمركسون، وبأنّهم عاطفيّون مصابون بالتشاؤم الحضاري والعديميّة التاريخيّة التي حاولوا الفرار من أسوارها الكثيفة المظلمة بأجنحة أحلامهم الغامضة عن الإنقاذ والخلاص، عن طريق الإبداع والفنّ حينًا أو على يد أنبياء العصر الجُدد حينًا آخر، من المنبوذين والمضطهدين والهامشيين، وصعاليك الفنّانين وشباب الجامعات المتمرّدين</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الجامع والدّافع الوحيد الأصلي الواضح أمام تكوّن مدرسة فرانكفورت يبدو جلياًّ من خلال فكرة أو الشعور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الاغ ا ترب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فالأصل المشترك للجيل الأوّل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اليهوديّة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ذلك لأنّ معظم أعضاء المدرسة قد نشأوا في عائلات يهوديّة ميسورة، ومعهد البحث الِجْتِمَعِيِّ نفسه قد أسّسه وأنفق عليه بسخاء ابن مليونير يهوديّ، وهو فليكس فاسل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تعتبر الأصول العرقيّة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اليهودية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 تكوّن المدرسة، لا الطابع الفلسفي النقديّ كما ادّعى الكثير من مُؤسّسيها، ولعلّ الرجوع للنظريّة الْمَرْكِسِيَّة كمصدر أساسي للنّقد </w:t>
      </w:r>
    </w:p>
    <w:p>
      <w:pPr>
        <w:pStyle w:val="BookText"/>
        <w:rPr/>
      </w:pPr>
      <w:r>
        <w:rPr>
          <w:rFonts w:ascii="Amiri" w:hAnsi="Amiri" w:eastAsia="Amiri" w:cs="Amiri"/>
          <w:color w:val="111111"/>
          <w:sz w:val="28"/>
          <w:sz w:val="28"/>
          <w:szCs w:val="28"/>
          <w:rtl w:val="true"/>
          <w:lang w:bidi="ar-SA"/>
        </w:rPr>
        <w:t xml:space="preserve">كان ارتباطها بفكر ماركس الشاب الذي اهتمّ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الاغتراب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المعنى الذي يتجاوب وواحساسهم كيهود مضطهدين من قبل المجتمعات الرأسمالية، لذا قرّروا الثورة الشّاملة، لكنّها كانت ثورةً مشبعة بمعاني إيديولوجيّة عنصريّة، وبأفكار فلسفيّة ومعاني إنسانيّة شموليّة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المدرسة الفرانكفورتيّة كانت مدرسة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فهي نبعت من واقع مُتصارِعٍ وأفكار مُتضارِبة ومتنافرة لا رابط بينها سوى أهوال الحرب من طغيانٍ نازيٍّ وقمع لليهود في أوروبا، فالمدرسة لم تكن مستقرّةً لا فكريًّا ولا مكانيًّا كما أنّها امتدّت امتدادًا تاريخيًّا ما بين الحربين ممّ يترتب عليه حقيقة بالغة الوضوح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أنّ النَّظَرِيَّة النَّقْدِيَّة 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ثابتة ولا مطلقة، ومعنى هذا أنّها تخضع للنّقد شأنها شأن كلّ الظواهر التي يغمرها نهر الصيرورة وتُحرّكها أمواج التاريخ، ومعناه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نقد النقد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وارد وواجب، وإلّ فنحن لم نتعلّم من النّقد شيئًا، وطبيعي كذلك أن يكون نقدنا لها نقدًا تاريخيًّا، أي مشروطًا بأوضاعنا وظروفنا الذاتيّة والموضوعيّة، ومرتبطًا بسياقنا الِجْتِمَعِيِّ والسياسيّ والثقافيّ ومدى قُدرتنا على استيعابه، ولذلك فهو بدوره لن يكون معصومًا من النّقد ولا من نقد النّقد</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الفكر النقديّ لمدرسة فرَانْكِفُورْتْ وحّد ما بين الفلسفة والثورة بانتهاجه مسلكًا نقديًّا للمجتمع الصناعي الرأسمالي، واعتباره أنّ الفكر الفلسفيّ عليه مقاومة العقلانيّة الصناعيّة، الّتي تستغلّ الأفراد </w:t>
      </w:r>
    </w:p>
    <w:p>
      <w:pPr>
        <w:pStyle w:val="BookText"/>
        <w:rPr/>
      </w:pPr>
      <w:r>
        <w:rPr>
          <w:rFonts w:ascii="Amiri" w:hAnsi="Amiri" w:eastAsia="Amiri" w:cs="Amiri"/>
          <w:color w:val="111111"/>
          <w:sz w:val="28"/>
          <w:sz w:val="28"/>
          <w:szCs w:val="28"/>
          <w:rtl w:val="true"/>
          <w:lang w:bidi="ar-SA"/>
        </w:rPr>
        <w:t>وتجعل المجتمعات جهاز إنتاج خالٍ من أيّ إبداع فرديٍّ أو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فتكاد أن تكون مقولة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التشيّؤ والاغتراب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الإطار المرجعيّ الأصيل لفلاسفة المدرسة، لذا كانت فلسفتهم فلسفةً ثوريّةً بالأساس، فأكّدوا على التّفاعل والتّكامل ما بين النَّظَرِيَّة والفلسفة الِجْتِمَعِيِّة، كما بين العلوم الإنسانيّة والاجتماعيّة التجريبيّة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المنهجيّة خلقت جدليةّ وتفاعلً ما بين الاختصاصات، وفتحت المجال لتفاعلها الفلسفيّ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ما يُؤخذ على النَّظَرِيَّة النَّقْدِيَّة أنّها لم تستطع أن تُقيم منهجيّة أو نسقيّة محكمة متناسقة، ولذلك بقيت فلسفة حرّة مفتوحة، تعتمد على حدوسهم الثاقبة أكثر ممّ تعتمد على التطوير التّصوري للأفكار، وتُعبّ عن نفسها في صور مقالات وشذرات متفرّقة لا في بناء مترابط دقيق، وربّا يرجع السبب في هذا إلى تنوّع اهتماماتهم ومواهبهم، وتمزّق شخصيّاتهم بين العالم الِجْتِمَعِيِّ والجدليّ الصارم وبين الفنّان العاطفي أو الرومنطيقي الحالم، وحرصهم على البُعد عن صورة الفيلسوف والعالم بالمعنى الحرفي، على الرَّغْمِ من أنّ بعضهم قد شغل منصب الأستاذيّة في الجامعة، رغبةً منهم في الاحتفاظ بصورة الفيلسوف والعالم الحرّ، واستجابةً لطبيعتهم القلقة ومزاجهم الثوري الذي جعلهم ينخرطون في تناقضات عصرهم وأزماته وأمراضه ويحاولون تشخيصها ووصف العلاج الحاسم للخلاص بها</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كانت الفلسفة أهمّ ممارسة ثوريّة للفرانكفورتيين، بل إنّ </w:t>
      </w:r>
    </w:p>
    <w:p>
      <w:pPr>
        <w:pStyle w:val="BookText"/>
        <w:rPr/>
      </w:pPr>
      <w:r>
        <w:rPr>
          <w:rFonts w:ascii="Amiri" w:hAnsi="Amiri" w:eastAsia="Amiri" w:cs="Amiri"/>
          <w:color w:val="111111"/>
          <w:sz w:val="28"/>
          <w:sz w:val="28"/>
          <w:szCs w:val="28"/>
          <w:rtl w:val="true"/>
          <w:lang w:bidi="ar-SA"/>
        </w:rPr>
        <w:t>عزوفهم عن ممارسة السياسة كمبدأ أصيل في ثوترهم جعلهم يماهون بين النَّظَرِيَّة والفعل الثوري، فتصوّروا أنّ مقالاتهم ونظريّاتهم المتنوّعة والممسكة بكلّ المجالات المعرفيّة هي أعلى وأقوى الممارسات الثوريّة، وهذا فيه خلط واضح ما بين النَّظَرِيَّة والممارسة، وما بين التنظير والفعل، كما بين فعل التفلسف وممارسة الفعل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النقديّة الفرانكفورتيّة أسقطت من حساباتها الشرق، وتمركزت حول الذاتية الغربية، وفي هذا خروج للنقد عن الموضوعية، وإغفال للتمشي الكونِ للتاريخ من جانب الحضارة الشرقيّة القديمة، فلو قاموا بدراستها لاكتشفوا أنّ موقف هذه الحضارات أو الرّؤى الشرقيّة القديمة للعالم لم يكن بحالٍ من الأحوال هو موقف التسلّط على الطبيعة والأشياء والتحكّم فيها واستغلالها كوسائل للمزيد من التسلُّط والسيطرة كما حدث في التاريخ الغربي منذ عصر النهضة الأوروبية</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 قد نرجع إلى نقطة سبق وأن أشرنا إليها، وهو أنّ تعميم النّقد في هذه المدرسة راجع بالأساس إلى الهجوم على اللّعقلانيّة النّازيّة بدافع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يكشف عن تجاهل متعمّد للّعقلانيّة الصهيونيّة ودورها في قلب الوجود العربي الإسلامي</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وتعقيبًا على ما سبق فإنّنا نودّ الإشارة إلى ارتباط المشروع </w:t>
      </w:r>
    </w:p>
    <w:p>
      <w:pPr>
        <w:pStyle w:val="BookText"/>
        <w:rPr/>
      </w:pPr>
      <w:r>
        <w:rPr>
          <w:rFonts w:ascii="Amiri" w:hAnsi="Amiri" w:eastAsia="Amiri" w:cs="Amiri"/>
          <w:color w:val="111111"/>
          <w:sz w:val="28"/>
          <w:sz w:val="28"/>
          <w:szCs w:val="28"/>
          <w:rtl w:val="true"/>
          <w:lang w:bidi="ar-SA"/>
        </w:rPr>
        <w:t xml:space="preserve">الفكريّ لمدرسة فرَانْكِفُورْتْ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متمثّلً في النَّظَرِيَّة النَّقْدِيَّة لروّادها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الواسع لكلمة النّقد، حيث تستند إلى أصولٍ أنواريّةٍ مع ديكارت، وروسو، وكانط صاحب مشروع نقد العقل، كما تستند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نتائج القرن التاسع عشر؛ سواءً في شقّه الفكريّ مع كلٍّ من هيغل وماركس أو في شقّه العلميّ مع ماكس فيبر وفرويد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الأصول يمكنها أن توجّه فهمنا لمعنى النّقد كما تتبنّاه المدرسة النَّقْدِيَّة لفرانكفورت، التي تحاول أن توجّه النّقد لكلّ ما هو كائنٌ، سواءً في بعده الفكريّ أوالاجتماعيّ أو العلميّ المتخصّص، وهكذا ينصبّ النّقد الفلسفيّ لمدرسة فرَانْكِفُورْتْ على إنتاجات العقل، وخاصّةً كما تجلّ مع الأنوار؛ بحيث إنّ العقل الأنواريّ الذي يُبشّ بالتّحرّر والانعتاق بدخول عالم المعرفة، نجده سرعان ما ينقلب إلى أداةٍ تُساهم في الاغتراب والاستعباد والمزيد من التشيّؤ؛ وبذلك أصبح العقل الأنواريّ عقلً أداتيًّا في الفهم النّقديّ لمدرسة فرانكفورت</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وسنبدأ في الحديث عن العقل الأداتيّ بتحديد الدلالة اللّغويّة أو لا، ثمّ الدلالة الفلسفيّة لمفهوم العقل الأداتي، لننتقل للحديث حول مضمون النّقد الموجّه للعقل الأداتي متسائلين عن أفق النّقد الذي مارسته مدرسة فرانكفورت، مكتفين بقراءة يورغن هابرماس لكونه يعُيد صياغة نقد العقل الأداتيّ منذ الروّاد الأوائل من جهةٍ، ومن جهةٍ أخرى لأنّه يُظهر نقد العقل الأداتيّ بشكلٍ مستقلٍّ وواضحٍ؛ حيث إنّ النّقد الذي مارسه هابرماس قد نقل قيمة النّقد –عمومًا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نظرته التشاؤميّة مع الرواد إلى نظرةٍ أكثر تفاؤلً بالمستقبل</w:t>
      </w:r>
      <w:r>
        <w:rPr>
          <w:rFonts w:eastAsia="Amiri" w:cs="Amiri" w:ascii="Amiri" w:hAnsi="Amiri"/>
          <w:color w:val="111111"/>
          <w:sz w:val="28"/>
          <w:szCs w:val="28"/>
          <w:rtl w:val="true"/>
          <w:lang w:bidi="ar-SA"/>
        </w:rPr>
        <w:t xml:space="preserve">. </w:t>
      </w:r>
      <w:bookmarkStart w:id="119" w:name="pg16380_210377"/>
    </w:p>
    <w:p>
      <w:pPr>
        <w:pStyle w:val="Heading3"/>
        <w:numPr>
          <w:ilvl w:val="2"/>
          <w:numId w:val="1"/>
        </w:numPr>
        <w:rPr/>
      </w:pPr>
      <w:bookmarkStart w:id="120" w:name="__RefHeading___Toc6736812_1280447820"/>
      <w:bookmarkStart w:id="121" w:name="_Toc41"/>
      <w:bookmarkEnd w:id="119"/>
      <w:bookmarkEnd w:id="120"/>
      <w:r>
        <w:rPr>
          <w:rtl w:val="true"/>
        </w:rPr>
        <w:t>المطلب الأوّل</w:t>
      </w:r>
      <w:r>
        <w:rPr>
          <w:rtl w:val="true"/>
        </w:rPr>
        <w:t xml:space="preserve">: </w:t>
      </w:r>
      <w:r>
        <w:rPr>
          <w:rtl w:val="true"/>
        </w:rPr>
        <w:t>الدلالة اللّغويّة والفلسفيّة</w:t>
      </w:r>
      <w:r>
        <w:rPr>
          <w:rtl w:val="true"/>
        </w:rPr>
        <w:t xml:space="preserve">: </w:t>
      </w:r>
      <w:r>
        <w:rPr>
          <w:rtl w:val="true"/>
        </w:rPr>
        <w:t>تأصيل مفهوم العقل الأداتي</w:t>
      </w:r>
      <w:bookmarkEnd w:id="121"/>
    </w:p>
    <w:p>
      <w:pPr>
        <w:pStyle w:val="BookText"/>
        <w:rPr/>
      </w:pPr>
      <w:r>
        <w:rPr>
          <w:rFonts w:ascii="Amiri" w:hAnsi="Amiri" w:eastAsia="Amiri" w:cs="Amiri"/>
          <w:color w:val="111111"/>
          <w:sz w:val="28"/>
          <w:sz w:val="28"/>
          <w:szCs w:val="28"/>
          <w:rtl w:val="true"/>
          <w:lang w:bidi="ar-SA"/>
        </w:rPr>
        <w:t xml:space="preserve">بالعودة إلى المعاجم من أجل تأسيس العقل الأداتي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instrumental reason</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كمفهومٍ فلسفيٍّ ينتمي لحقل اشتغال الفلسفة النّقديّة؛ حيث نسجّل غيابًا شبه تامٍّ للمفهوم في المعاجم اللّغويّة؛ فنجد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الاستعمال كأداة بحيث نجد في معجم </w:t>
      </w:r>
      <w:r>
        <w:rPr>
          <w:rFonts w:eastAsia="Times New Roman" w:cs="Times New Roman" w:ascii="Times New Roman" w:hAnsi="Times New Roman"/>
          <w:color w:val="111111"/>
          <w:sz w:val="28"/>
          <w:szCs w:val="28"/>
          <w:lang w:val="en-US" w:bidi="en-US"/>
        </w:rPr>
        <w:t>Robert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حول كلمة </w:t>
      </w:r>
      <w:r>
        <w:rPr>
          <w:rFonts w:eastAsia="Times New Roman" w:cs="Times New Roman" w:ascii="Times New Roman" w:hAnsi="Times New Roman"/>
          <w:color w:val="111111"/>
          <w:sz w:val="28"/>
          <w:szCs w:val="28"/>
          <w:lang w:val="en-US" w:bidi="en-US"/>
        </w:rPr>
        <w:t>instrument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وسيلة – أداة، كما تستعمل في سياق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للنّجاح أو فلان يستعمل مستخدميه كأداة، وحول كلمة </w:t>
      </w:r>
      <w:r>
        <w:rPr>
          <w:rFonts w:eastAsia="Times New Roman" w:cs="Times New Roman" w:ascii="Times New Roman" w:hAnsi="Times New Roman"/>
          <w:color w:val="111111"/>
          <w:sz w:val="28"/>
          <w:szCs w:val="28"/>
          <w:lang w:val="en-US" w:bidi="en-US"/>
        </w:rPr>
        <w:t>Instrumental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نجد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يتمّ تنفيذه بواسطة أدوات… موسيقى أداتيّة، مجموعة من الأدوات، وما يتمّ تطبيقه بواسطة أدوات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les instruments</w:t>
      </w:r>
      <w:r>
        <w:rPr>
          <w:rFonts w:eastAsia="Times New Roman" w:cs="Times New Roman" w:ascii="Times New Roman" w:hAnsi="Times New Roman"/>
          <w:color w:val="111111"/>
          <w:sz w:val="28"/>
          <w:szCs w:val="28"/>
          <w:rtl w:val="true"/>
          <w:lang w:val="en-US" w:bidi="en-US"/>
        </w:rPr>
        <w:t xml:space="preserve">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في الاستعمال الفلسفي فنجد غياب المفهوم في الموسوعة الفلسفيّة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Universalis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أمّا في المعجم الفلسفي </w:t>
      </w:r>
      <w:r>
        <w:rPr>
          <w:rFonts w:eastAsia="Times New Roman" w:cs="Times New Roman" w:ascii="Times New Roman" w:hAnsi="Times New Roman"/>
          <w:color w:val="111111"/>
          <w:sz w:val="28"/>
          <w:szCs w:val="28"/>
          <w:lang w:val="en-US" w:bidi="en-US"/>
        </w:rPr>
        <w:t>Lalande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فنجد حول كلمة </w:t>
      </w:r>
      <w:r>
        <w:rPr>
          <w:rFonts w:eastAsia="Times New Roman" w:cs="Times New Roman" w:ascii="Times New Roman" w:hAnsi="Times New Roman"/>
          <w:color w:val="111111"/>
          <w:sz w:val="28"/>
          <w:szCs w:val="28"/>
          <w:lang w:val="en-US" w:bidi="en-US"/>
        </w:rPr>
        <w:t>Instrumentale = ce qui sert de moyen pour la production d’un effet ce terme est aujourd’hui peu cité</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أي ما يُتّخذ وسيلة لإنتاج حدث ما، إنّ هذا المفهوم قليل الاستعمال في الوقت المعاصر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بداية القرن العشرين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كلمة </w:t>
      </w:r>
      <w:r>
        <w:rPr>
          <w:rFonts w:eastAsia="Times New Roman" w:cs="Times New Roman" w:ascii="Times New Roman" w:hAnsi="Times New Roman"/>
          <w:color w:val="111111"/>
          <w:sz w:val="28"/>
          <w:szCs w:val="28"/>
          <w:lang w:val="en-US" w:bidi="en-US"/>
        </w:rPr>
        <w:t>instrumentalisme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فنجدها في معجم لالاند تتّخذ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إحدى استعمالات البراغماتيّة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une variété du pramatisme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من خلال العودة إلى المعاجم اللّغويّة أو الفلسفيّة يتبيَّ أولً </w:t>
      </w:r>
    </w:p>
    <w:p>
      <w:pPr>
        <w:pStyle w:val="BookText"/>
        <w:rPr/>
      </w:pPr>
      <w:r>
        <w:rPr>
          <w:rFonts w:ascii="Amiri" w:hAnsi="Amiri" w:eastAsia="Amiri" w:cs="Amiri"/>
          <w:color w:val="111111"/>
          <w:sz w:val="28"/>
          <w:sz w:val="28"/>
          <w:szCs w:val="28"/>
          <w:rtl w:val="true"/>
          <w:lang w:bidi="ar-SA"/>
        </w:rPr>
        <w:t xml:space="preserve">أنّ هناك استع لماً بمعنى الأداتيّة أي كوسيلة للقيام بشيء ما، كما أنّ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la raison instrumentale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ليس مفهومًا كمفهوم الحريّة أو الديمقراطيّة أو الحتميّة، إنّه لا يتضمّن محدّدات داخليّة بقدر ما هو مرتبط بكلّ ما يُكن استعماله، أو كلّ ما يُكن اتّخاذه كوسيلة، كأداة، كشيء مفصول ومعزول عن أصوله أو محدّداته الأخرى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العقل الأداتي الذي سنُقدّم بعض ملامحه الكبرى هو عقل يُستعمل كشيءٍ، كوسيلةٍ لإنتاج أشكال، وقائع، مؤسّسات، استيهامات؛ باعتبارها بضاعة قابلة للتداول لها قيمة استعماليّة وتبادليّة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يُؤكّد على ذلك هابرماس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أضفنا كلمة نقد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critique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العقل الأداتي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فسنحصل على التركيب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العقل الأداتي هي عمليّة مواجهة وفضح وإبراز لمجالات النّقص في الاستعمال المرتبط بالعقل كشيء أو وسيلة لإنتاج العقلنة في العالم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ارتبطنا بهذه الرؤية المفهوميّة سنجد أنفسنا عند الحديث عن نقد العقل الأداتي في صلب اهتمام المدرسة النَّقْدِيَّة لفرانكفورت، بمعنى أنّ غياب موضوع داخليّ للعقل الأداتي يجعله بمثابة عمليّة نقد اتّجاه إنتاجات العقل؛ وبالتالي سنجد هذا العقل الأداتي يتجلّ في النَّظَرِيَّة الْمَرْكِسِيَّة والرأسماليّة وفي صناعة الثقافة، وفي التقنيّة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آخر يُكننا القول بأنّ العقل الأداتي يأخذ عنوانًا مركزيًّا في النَّظَرِيَّة النَّقْدِيَّة تتفرع عنه كلّ المواضيع النَّقْدِيَّة الأخرى، </w:t>
      </w:r>
      <w:bookmarkStart w:id="122" w:name="pg16380_210379"/>
    </w:p>
    <w:p>
      <w:pPr>
        <w:pStyle w:val="BookText"/>
        <w:rPr/>
      </w:pPr>
      <w:bookmarkEnd w:id="122"/>
      <w:r>
        <w:rPr>
          <w:rFonts w:ascii="Amiri" w:hAnsi="Amiri" w:eastAsia="Amiri" w:cs="Amiri"/>
          <w:color w:val="111111"/>
          <w:sz w:val="28"/>
          <w:sz w:val="28"/>
          <w:szCs w:val="28"/>
          <w:rtl w:val="true"/>
          <w:lang w:bidi="ar-SA"/>
        </w:rPr>
        <w:t xml:space="preserve">فعندما يتمّ انتقاد الْمَرْكِسِيَّة فإنّ ذلك يكون انتقادًا لبُعدٍ من أبعادها الأداتيّة، وعندما يتمّ انتقاد الرأسماليّة الصناعيّة المتقدّمة أو المدرسة الوضعيّة أو العلم فإنّ ذلك يكون انتقادًا للأداتيّة التي تحكم كلّ مجالٍ من هذه المجالات؛ وبذلك يتجلّ كون نقد العقل الأداتي منصبًّا على نقد الأشكال التي يأخذ فيها العقل بُعدًا استعماليًّا، وكشكلٍ من أشكال التشيّؤ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reification</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23" w:name="__RefHeading___Toc6736814_1280447820"/>
      <w:bookmarkStart w:id="124" w:name="_Toc42"/>
      <w:bookmarkEnd w:id="123"/>
      <w:r>
        <w:rPr>
          <w:rtl w:val="true"/>
        </w:rPr>
        <w:t>المطلب الثاني</w:t>
      </w:r>
      <w:r>
        <w:rPr>
          <w:rtl w:val="true"/>
        </w:rPr>
        <w:t xml:space="preserve">: </w:t>
      </w:r>
      <w:r>
        <w:rPr>
          <w:rtl w:val="true"/>
        </w:rPr>
        <w:t>جذور نقد العقل الأداتي</w:t>
      </w:r>
      <w:r>
        <w:rPr>
          <w:rtl w:val="true"/>
        </w:rPr>
        <w:t xml:space="preserve">: </w:t>
      </w:r>
      <w:r>
        <w:rPr>
          <w:rtl w:val="true"/>
        </w:rPr>
        <w:t>هوركهايمروأدورنو</w:t>
      </w:r>
      <w:bookmarkEnd w:id="124"/>
    </w:p>
    <w:p>
      <w:pPr>
        <w:pStyle w:val="BookText"/>
        <w:rPr/>
      </w:pPr>
      <w:r>
        <w:rPr>
          <w:rFonts w:ascii="Amiri" w:hAnsi="Amiri" w:eastAsia="Amiri" w:cs="Amiri"/>
          <w:color w:val="111111"/>
          <w:sz w:val="28"/>
          <w:sz w:val="28"/>
          <w:szCs w:val="28"/>
          <w:rtl w:val="true"/>
          <w:lang w:bidi="ar-SA"/>
        </w:rPr>
        <w:t>من المعلوم بأنّ الروّاد الأوائل لمدرسة فرَانْكِفُورْتْ هم مجموعة من الماركسيّين المتشائمين الذين يواجهون عدّة إخفاقات ا ونتكاسات، جعلتهم يبحثون عن مجالٍ ما للتعبير عن الرّفض ومواجهة الإحباطات التي تعرفها ألمانيا بشكلٍ خاصٍّ، والعالم الغربيّ بشكلٍ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مركز الأبحاث الِجْتِمَعِيِّة لفرانكفورت المتنفّس الذي احتضن كلّ هؤلاء لتوجيه سهام النّقد لكلّ أشكال الانحراف والتّشيّؤ والاغتراب التي تعرفها النَّظَرِيَّة أو الممارسة العمليّة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الوضعيّة التي انطلق منها النّقد تعود أساسًا إلى الوضعيّة التي خلقتها الحرب العالميةّ الأولى، إلى جانب فشل الثّورة في تحقيق التّحرّر، إضافةً إلى صعود التيّارات النازيّة والفاشيّة، في مقابل تمكّن الرأسماليّة الصناعيّة من التكيّف مع الواقع الجديد، بل أكثر من ذلك استطاعت الرأسماليّة أن تستوعب تناقُضَاتِها، وأن </w:t>
      </w:r>
    </w:p>
    <w:p>
      <w:pPr>
        <w:pStyle w:val="BookText"/>
        <w:rPr/>
      </w:pPr>
      <w:r>
        <w:rPr>
          <w:rFonts w:ascii="Amiri" w:hAnsi="Amiri" w:eastAsia="Amiri" w:cs="Amiri"/>
          <w:color w:val="111111"/>
          <w:sz w:val="28"/>
          <w:sz w:val="28"/>
          <w:szCs w:val="28"/>
          <w:rtl w:val="true"/>
          <w:lang w:bidi="ar-SA"/>
        </w:rPr>
        <w:t xml:space="preserve">تُبدِع وسائل جديدة لمواجهة المدّ الثوري، وذلك من خلال عمليّة الإدماج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l’intégration</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التي انتهجتها لتفكيك الاحتقان الذي يمكن أن تتزعّمه الطبقة العاملة والعمل على تطويق تلك المواجهة من خلال إشراك العمّل في وهم الاستهلاك أو ما يسميه هوركهايمر بتشيّؤ العقل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réification de la raison</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يعلن رائدا مدرسة فرانكفورت ماكس هوركهايمر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Max Horkheimer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وتيودور أدرنو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Theodor W. Adorno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في مقدّمة كتابهما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la dialectique de la raison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بأنّ من دواعي تأليف الكتاب هو مواجهة تنامي الأداتيّة والآليّة في المجتمع المعاصر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يتعلقّ الأمر إلاّ بالعوائق التي تنتج عن الأداتيّة المفصولة عن العلم، فتحليل المشاكل الِجْتِمَعِيِّة يمكن أن يرتبط بانتظارات معاكسة للتوجّه الرسمي للعلم </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 xml:space="preserve">، بمعنى أنّ العمل الذي تقوم به المدرسة النَّقْدِيَّة هو توجيه النّقد للاستعماليّة المباشرة للعقل والعلم على حدٍّ سواء؛ فالعقل التنويري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l’aufklärung</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الذي يعد بالتحرّر، يعيش إخفاقًا ذريعًا وهو إخفاق ليس عرضيًّا بمثابة حادثة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accidentelle</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فقط، وإنّا تعود جذوره لهذا العقل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إذن يصبح العقل مجرّد أداة لإنتاج التبعيّة والاغتراب، ويصبح الإنسان الحامل لهذا العقل مجّرد أداة للإنتاج الاقتصادي وتحقيق الرّبح في مجتمع لا يتمتّع فيه الإنسان بقيمة ذاتيّة، بل بقدرته الإنتاجيّة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وتقلّص دور الفرد إلى درجة الصفر في علاقته بالقُوى الاقتصاديةّ، وفي </w:t>
      </w:r>
    </w:p>
    <w:p>
      <w:pPr>
        <w:pStyle w:val="BookText"/>
        <w:rPr/>
      </w:pPr>
      <w:r>
        <w:rPr>
          <w:rFonts w:ascii="Amiri" w:hAnsi="Amiri" w:eastAsia="Amiri" w:cs="Amiri"/>
          <w:color w:val="111111"/>
          <w:sz w:val="28"/>
          <w:sz w:val="28"/>
          <w:szCs w:val="28"/>
          <w:rtl w:val="true"/>
          <w:lang w:bidi="ar-SA"/>
        </w:rPr>
        <w:t xml:space="preserve">الوقت نفسه الذي تحمل هذه القوى سيطرة المجتمع على الطبيعة إلى مستوى لم يعرفه من قبل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خلال هذا التوجّه التحكّمي للبُعد الاقتصادي على المجتمع يظهر التخوّف والقلق الذي يراود أصحاب المدرسة النَّقْدِيَّة ويدفعهم للتنبيه لتنامي النزعة الأداتيّة في استعمالات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النّقد الذي يدشّنه روّاد الجيل الأوّل من مدرسة فرانكفورت لاستعمالات العقل الأداتي، يجد جذوره في تنامي النزعة العلميّة المزهوّة بانتصاراتها، إلاّ أنّ النّقد يحاول أن يُبيّ قصور هذا التوجّه ونتائجه المعكوسة على وجود الإنسان ورغبته في التحرّر وعيش إنسانيّته الكونيّة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رغم كون نقد العقل الأداتيّ يُثّل قطب الرّحى في مدرسة فرانكفورت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أشرنا إلى ذلك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حضور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نقد العقل الذاتي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كعنوان مستقلّ أو كموضوع مستقلّ لا نجده إلاّ عند فيلسوف الجيل الثاني يورغن هابرماس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habermas jürgen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بحيث إنّ الاستعمال المنتشر اليوم هو من إبداع هابرماس، هو الذي التقط هذه الإشارة وحوّل الاستعمال الضمني إلى مفهوم صريح في الفلسفة النّقديّة</w:t>
      </w:r>
      <w:r>
        <w:rPr>
          <w:rFonts w:eastAsia="Amiri" w:cs="Amiri" w:ascii="Amiri" w:hAnsi="Amiri"/>
          <w:color w:val="111111"/>
          <w:sz w:val="28"/>
          <w:szCs w:val="28"/>
          <w:rtl w:val="true"/>
          <w:lang w:bidi="ar-SA"/>
        </w:rPr>
        <w:t xml:space="preserve">. </w:t>
      </w:r>
      <w:bookmarkStart w:id="125" w:name="pg16380_210382"/>
    </w:p>
    <w:p>
      <w:pPr>
        <w:pStyle w:val="Heading3"/>
        <w:numPr>
          <w:ilvl w:val="2"/>
          <w:numId w:val="1"/>
        </w:numPr>
        <w:rPr/>
      </w:pPr>
      <w:bookmarkStart w:id="126" w:name="__RefHeading___Toc6736816_1280447820"/>
      <w:bookmarkStart w:id="127" w:name="_Toc43"/>
      <w:bookmarkEnd w:id="125"/>
      <w:bookmarkEnd w:id="126"/>
      <w:r>
        <w:rPr>
          <w:rtl w:val="true"/>
        </w:rPr>
        <w:t>المطلب الثالث</w:t>
      </w:r>
      <w:r>
        <w:rPr>
          <w:rtl w:val="true"/>
        </w:rPr>
        <w:t xml:space="preserve">: </w:t>
      </w:r>
      <w:r>
        <w:rPr>
          <w:rtl w:val="true"/>
        </w:rPr>
        <w:t>نقد العقل الأداتي هو نقدٌ للتشيّؤ</w:t>
      </w:r>
      <w:bookmarkEnd w:id="127"/>
    </w:p>
    <w:p>
      <w:pPr>
        <w:pStyle w:val="Heading4"/>
        <w:numPr>
          <w:ilvl w:val="3"/>
          <w:numId w:val="1"/>
        </w:numPr>
        <w:rPr/>
      </w:pPr>
      <w:bookmarkStart w:id="128" w:name="__RefHeading___Toc6736818_1280447820"/>
      <w:bookmarkStart w:id="129" w:name="_Toc44"/>
      <w:bookmarkEnd w:id="128"/>
      <w:r>
        <w:rPr>
          <w:rtl w:val="true"/>
        </w:rPr>
        <w:t>اشارة</w:t>
      </w:r>
      <w:bookmarkEnd w:id="129"/>
    </w:p>
    <w:p>
      <w:pPr>
        <w:pStyle w:val="BookText"/>
        <w:rPr/>
      </w:pPr>
      <w:r>
        <w:rPr>
          <w:rFonts w:ascii="Amiri" w:hAnsi="Amiri" w:eastAsia="Amiri" w:cs="Amiri"/>
          <w:color w:val="111111"/>
          <w:sz w:val="28"/>
          <w:sz w:val="28"/>
          <w:szCs w:val="28"/>
          <w:rtl w:val="true"/>
          <w:lang w:bidi="ar-SA"/>
        </w:rPr>
        <w:t xml:space="preserve">يناقش هابرماس في كتابه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théorie de l’agir communicationnel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وخاصّة في الْفَصْل الخَامِس من هذا الكتاب، مسألة نقد العقل الأداتي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la critique de la raison instrumentale</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وأوّل ما ينطلق منه هابرماس في حديثه عن العقل الأداتي هو القول بأنّ نقد العقل الأداتيّ كما تجلّ لدى كلٍّ من هوركهايمر وأدورنو، هو بمثابة نقد لتشيّؤ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reification</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العقل، عن طريق الاشتغال على نظريّة ماكس فيبر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Max weber</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المتعلّقة بالبيروقراطيّة والتنظيم أو ما يسمّيه فيبر بالعقلنة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rationalization</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دون إهمال لنتائج الفلسفة الموضوعيّة للتاريخ؛ حيث يقوم كلٌّ من أدورنو وهوركهايمر بالكشف عن النقائض التي تنتج عن مسار النَّظَرِيَّة الخاصّة بالمجتمع لذلك يعمل كلٌّ من هوركهايمر وأدورنو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هابرماس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تعميق أسس النّقد تجاه فعل التشيّؤ بالحديث عن الأصول والجذور ما قبل الرأسماليّة للاغتراب، وبالعودة إلى أصل صيرورة الإنسان عمومًا والحضارة الغربيّة على وجه الخصوص</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الموقف الذي يتبنّاه هابرماس هو إعادة قراءة النّقد الذي مارسه كلٌّ من هوركهايمر وأدورنو، بمعنى أنّ هابرماس يقوم بنقدٍ مضاعفٍ أو نقدٍ مزدوجٍ؛ فهو يقرأ نقد الروّاد باعتباره تشريحًا للوضعيّة المتأزّمة التي وصل إليها الفكر المعاصر، كما يُبين أنّ هذا النّقد هو تعبير عن التشظّي والانكسار والتشاؤم الذي غلب على روّاد المدرسة النَّقْدِيَّة جرّاء توالي الإخفاقات وأشكال الفشل التي عايشوها خلال الأربعينيات من القرن العشرين</w:t>
      </w:r>
      <w:r>
        <w:rPr>
          <w:rFonts w:eastAsia="Amiri" w:cs="Amiri" w:ascii="Amiri" w:hAnsi="Amiri"/>
          <w:color w:val="111111"/>
          <w:sz w:val="28"/>
          <w:szCs w:val="28"/>
          <w:rtl w:val="true"/>
          <w:lang w:bidi="ar-SA"/>
        </w:rPr>
        <w:t xml:space="preserve">. </w:t>
      </w:r>
      <w:bookmarkStart w:id="130" w:name="pg16380_210383"/>
    </w:p>
    <w:p>
      <w:pPr>
        <w:pStyle w:val="BookText"/>
        <w:rPr/>
      </w:pPr>
      <w:bookmarkEnd w:id="130"/>
      <w:r>
        <w:rPr>
          <w:rFonts w:ascii="Amiri" w:hAnsi="Amiri" w:eastAsia="Amiri" w:cs="Amiri"/>
          <w:color w:val="111111"/>
          <w:sz w:val="28"/>
          <w:sz w:val="28"/>
          <w:szCs w:val="28"/>
          <w:rtl w:val="true"/>
          <w:lang w:bidi="ar-SA"/>
        </w:rPr>
        <w:t>لكن هابرماس لا يتوقّف عند هذا الحدّ، بل يعمل على تجاوز انحصار النّقد في نسخته الأوّليّة مع الروّاد الأوائل وتحوّله إلى نظريّة ميتافيزيقيّة أو فنيّة للتخلّص من أشكال الاغتراب والتشيّؤ، مستبدلً ذلك الانحصار بفضاءٍ رحبٍ للتواصل؛ فما هي أهمّ تجلّيات نقد العقل الأداتيّ عند هابرماس؟</w:t>
      </w:r>
    </w:p>
    <w:p>
      <w:pPr>
        <w:pStyle w:val="Heading4"/>
        <w:numPr>
          <w:ilvl w:val="3"/>
          <w:numId w:val="1"/>
        </w:numPr>
        <w:rPr/>
      </w:pPr>
      <w:bookmarkStart w:id="131" w:name="__RefHeading___Toc6736820_1280447820"/>
      <w:bookmarkStart w:id="132" w:name="_Toc45"/>
      <w:bookmarkEnd w:id="131"/>
      <w:r>
        <w:rPr/>
        <w:t>1</w:t>
      </w:r>
      <w:r>
        <w:rPr>
          <w:rtl w:val="true"/>
        </w:rPr>
        <w:t xml:space="preserve">. </w:t>
      </w:r>
      <w:r>
        <w:rPr>
          <w:rtl w:val="true"/>
        </w:rPr>
        <w:t>نقد النزعة الموضوعيّة في العلم</w:t>
      </w:r>
      <w:bookmarkEnd w:id="132"/>
    </w:p>
    <w:p>
      <w:pPr>
        <w:pStyle w:val="BookText"/>
        <w:rPr/>
      </w:pPr>
      <w:r>
        <w:rPr>
          <w:rFonts w:ascii="Amiri" w:hAnsi="Amiri" w:eastAsia="Amiri" w:cs="Amiri"/>
          <w:color w:val="111111"/>
          <w:sz w:val="28"/>
          <w:sz w:val="28"/>
          <w:szCs w:val="28"/>
          <w:rtl w:val="true"/>
          <w:lang w:bidi="ar-SA"/>
        </w:rPr>
        <w:t xml:space="preserve">يعمل هابرماس على العودة إلى القراءة الموضوعيّة للتاريخ باعتبارها المنبع الذي يستقي منه كلٌّ من هوركهايمر وأدورنو ملامح النّقد الموجّه للعقل الأداتي، من خلال الحديث عن سيطرة النظرة الموضوعيّة للعلم، وذلك بالعودة إلى التفسير الذي ساد في السنوات الأولى من القرن العشرين للماركسيّة، خاصّةً مع لوكاتش في حديثه عن أسباب الاغتراب والتشيّؤ التي تعمل على انزياح الإنسان إلى بعدٍ ماديٍّ موضوعيٍّ يفقد من خلاله روحه الفاعلة في ذاتيّته؛ فالرغبة المتزايدة للنّظام الرأسماليّ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بغية الربح، ولمزيدٍ من الإنتاج الماديّ والتقنيّ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تُدخل الإنسان في عمليّة تشيّؤ من جهةٍ، ومن جهةٍ أخرى تُؤدّي إلى سلب حريته الفاعلة في التغيير والتحرّر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النّقد الذي يوجّهه لوكاتش لرؤية العلم في بعده الوضعيّ باعتباره يُفضي إلى رؤيّة تعمل على جعل الاغتراب شاملً للإنسان، وعلى هذا الأساس ينبني نقد كلٍّ من هوركهايمر وأدورنو اللّذين </w:t>
      </w:r>
    </w:p>
    <w:p>
      <w:pPr>
        <w:pStyle w:val="BookText"/>
        <w:rPr/>
      </w:pPr>
      <w:r>
        <w:rPr>
          <w:rFonts w:ascii="Amiri" w:hAnsi="Amiri" w:eastAsia="Amiri" w:cs="Amiri"/>
          <w:color w:val="111111"/>
          <w:sz w:val="28"/>
          <w:sz w:val="28"/>
          <w:szCs w:val="28"/>
          <w:rtl w:val="true"/>
          <w:lang w:bidi="ar-SA"/>
        </w:rPr>
        <w:t>يطوّران نظريّة لوكاتش في الاغتراب والتشيّؤ، بفعل نمط الإنتاج الذي يُؤدّي إلى عزل العامل عن إنتاجه وإفراغه من ذاتيّته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نقد النزعة العلمويّة هو نقدٌ عميقٌ لربط العلم بالبعد التطبيقي الذي يعتمد رؤية ميكانيكيّة، هذه الموضعة التي تجعل الإنسان بمثابة بضاعة وأداة للاستعمال، وعوضًا عن ذلك يرى هوركهايمر وأدورنو ضرورة الدخول في عمليّة نقد العلم لذاته بتأمّلٍ ذاتيٍّ؛ وهذا ما يجعل أدورنو يعيد الاعتبار للفنّ؛ لأنّه المجال الذي تبرز فيه الذاتيّة ولا يطوله التشيّؤ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يعتبر هابرماس في قراءته بأنّ الوضعيّة الحاليّة للعلم المعاصر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يقدّمه الوضعانيون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من نقد الروّاد الأوائل لمدرسة فرَانْكِفُورْتْ ينصبّ حول فكرة ربط العلم بالواقع المباشر، ولذلك تكون رؤيته بمثابة اغترابٍ للحياة بشكلٍ عامٍّ، وللإدراك بشكلٍ خاصّ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النزعة العلميّة موضوع النّقد لا تتجلّ فقط في النظام الرأسمالي الصناعي حيث سيادة المفاهيم الاقتصاديّة كالإنتاج والتوزيع والربح، بل يتوجّه كذلك إلى النَّظَرِيَّة الماركسيّة، فالنزعة الموضوعيّة في الْمَرْكِسِيَّة تتحدّث عن الحتميّة التاريخيّة باعتبارها حتميّةً علميّةً نتيجة لمسار تطوّر الإنسانيّة، حيث يعتبر ماركس أنّ التناقضات الداخليّة للنظام الرأسمالي هي الكفيلة بتجاوزه، ويرجع أسباب الاغتراب لعوامل اقتصاديّة محضة، كما تجعل القضاء عليه مرهونا بالقضاء على الملكيّة الخاصّة بوسائل الإنتاج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يفسّ </w:t>
      </w:r>
      <w:bookmarkStart w:id="133" w:name="pg16380_210385"/>
    </w:p>
    <w:p>
      <w:pPr>
        <w:pStyle w:val="BookText"/>
        <w:rPr/>
      </w:pPr>
      <w:bookmarkEnd w:id="133"/>
      <w:r>
        <w:rPr>
          <w:rFonts w:ascii="Amiri" w:hAnsi="Amiri" w:eastAsia="Amiri" w:cs="Amiri"/>
          <w:color w:val="111111"/>
          <w:sz w:val="28"/>
          <w:sz w:val="28"/>
          <w:szCs w:val="28"/>
          <w:rtl w:val="true"/>
          <w:lang w:bidi="ar-SA"/>
        </w:rPr>
        <w:t xml:space="preserve">كيف يمكن للذوات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الطبقة العاملة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تتّحد ويخلق لديها الحافز للتغيير الثوري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التاريخ في نظر الْمَرْكِسِيَّة هو تاريخ بدون ذاتٍ يلغي الحديث عن الذاتيّة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subjectivité</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إنّه تطوّر موضوعيّ علميّ حتميّ، لكنّ النّقد الذي يُؤسّس له لوكاتش يتمثّل في قدرة العامل على رفض تشيؤه، وبالتالي العمل على التحرّر من النزعة التي تتعامل معه كمنتوج مفرغ من كلّ ذاتيّة، مما يدفعه للمقاومة والفعل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ارتباط روّاد المدرسة النَّقْدِيَّة لفرانكِفُورْت بنظريّة التشيّؤ جعلهم يبحثون عن كيفيّة لتفسير الهيمنة التي سادت المجتمع الصناعي، وكيف أنّ وجود التناقض المادي وحده غير كافٍ لخلق الثورة وتحرُّر الإنسان من الاغتراب، وأنّ هناك عوامل أخرى تُساهم في الهيمنة، والتي تتمثّل في بلورة نظريّة حول الفاشيّة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fascism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ونظريّة للثقافة الجماهيريّة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culture de masse</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4" w:name="__RefHeading___Toc6736822_1280447820"/>
      <w:bookmarkStart w:id="135" w:name="_Toc46"/>
      <w:bookmarkEnd w:id="134"/>
      <w:r>
        <w:rPr/>
        <w:t>2</w:t>
      </w:r>
      <w:r>
        <w:rPr>
          <w:rtl w:val="true"/>
        </w:rPr>
        <w:t xml:space="preserve">. </w:t>
      </w:r>
      <w:r>
        <w:rPr>
          <w:rtl w:val="true"/>
        </w:rPr>
        <w:t>نقد أداتيّة الأنظِمة الشُموليّة</w:t>
      </w:r>
      <w:bookmarkEnd w:id="135"/>
    </w:p>
    <w:p>
      <w:pPr>
        <w:pStyle w:val="BookText"/>
        <w:rPr/>
      </w:pPr>
      <w:r>
        <w:rPr>
          <w:rFonts w:ascii="Amiri" w:hAnsi="Amiri" w:eastAsia="Amiri" w:cs="Amiri"/>
          <w:color w:val="111111"/>
          <w:sz w:val="28"/>
          <w:sz w:val="28"/>
          <w:szCs w:val="28"/>
          <w:rtl w:val="true"/>
          <w:lang w:bidi="ar-SA"/>
        </w:rPr>
        <w:t>إنّ نقد العقل الأداتي لم يأخذ طابع نظريّة في المجتمع فحسب، بل تجلّ كذلك في نظريّة سياسيّة لنقد العقل الأداتي كما تمظهر في الأنظمة الشموليّة سواءً في شقّها النازي والفاشي أو في شكلها البيروقراطي التسلّطي الذي شكّلته التجربة السوفياتيّة مع القوّة القمعيّة الستالينيّة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الأداتيّة السياسيّة للعقل تمثّلت في استغلال الشعب الألماني في عمليّة التصنيع على يد النّظام النازي، حيث تغذّت النازيّة برغبة </w:t>
      </w:r>
    </w:p>
    <w:p>
      <w:pPr>
        <w:pStyle w:val="BookText"/>
        <w:rPr/>
      </w:pPr>
      <w:r>
        <w:rPr>
          <w:rFonts w:ascii="Amiri" w:hAnsi="Amiri" w:eastAsia="Amiri" w:cs="Amiri"/>
          <w:color w:val="111111"/>
          <w:sz w:val="28"/>
          <w:sz w:val="28"/>
          <w:szCs w:val="28"/>
          <w:rtl w:val="true"/>
          <w:lang w:bidi="ar-SA"/>
        </w:rPr>
        <w:t>الشعب في الخروج من واقع التأخّر التاريخي وآماله في تحسين أوضاعه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الذي جعل الشعب الألماني يدخل في مشروع ليس مشروعه بالضرورة، إنّهم ضحايا للعقل الأداتي؛ وهنا يُبيِّ هوركهايمر وأدورنو كيف أنّ القرويين وحرفيي الطبقة المتوسّطة والمقاولين الصّغار يدخلون في مساندة النّظام النّازي وإيصاله إلى الحكم بهدف العقلنة الاجتماعيّة، إلاّ أنّ هذه الشحنة المعنويّة والزخم الروحي للشعب الألماني، سيتحوّل إلى آلة مدمّرة في يد النازيّة التي استغلّت العقل أبشع استغلال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يعتبر هوركهايمر أنّ الفاشيّة هي تعبير عن تركيب شيطاني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synthèsesatanique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بين العقل والطبيعة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فشل الثورة في تحقيق التحرّر كان من بين سهام النّقد الموجّه للنّظام السوفياتي الذي كانت تعقد عليه آمال كبيرة لتحرير الإنسان من التبعيّة والاستغلال، إلاّ أنّ السنوات الأولى من تطبيق النَّظَرِيَّة في أرض الواقع، بيّنت بأنّ هناك انزياحًا نحو الأداتيّة، ذلك أنّ النّظام السوفياتي وبدافع الحفاظ على الثورة وتحصين مكتسباتها دخل في عمليّة عقلنة أداتيّة تمثّلت في تقوية الحزب عبر آلة بيروقراطيّة مركزيّة لا تسمح بالحريّة أو بالمبادرة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واجهت كلّ أشكال المعارضة بالقمع المفرط، ممّ أدّى بهوركهايمر إلى انتقاد التطبيقات الميكانيكيّة للماركسيّة وضرورة الحفاظ على الوظيفة الديالكتيكيّة للنقد كمحاكمة للمرحلة التاريخيّة في كليّتها وأصالتها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فالفلسفة ليست عودة إلى المقولات المجرّدة </w:t>
      </w:r>
      <w:bookmarkStart w:id="136" w:name="pg16380_210387"/>
    </w:p>
    <w:p>
      <w:pPr>
        <w:pStyle w:val="BookText"/>
        <w:rPr/>
      </w:pPr>
      <w:bookmarkEnd w:id="136"/>
      <w:r>
        <w:rPr>
          <w:rFonts w:ascii="Amiri" w:hAnsi="Amiri" w:eastAsia="Amiri" w:cs="Amiri"/>
          <w:color w:val="111111"/>
          <w:sz w:val="28"/>
          <w:sz w:val="28"/>
          <w:szCs w:val="28"/>
          <w:rtl w:val="true"/>
          <w:lang w:bidi="ar-SA"/>
        </w:rPr>
        <w:t xml:space="preserve">بل هي الحيلولة دون تحويل المفاهيم الاقتصاديّة إلى مجموعة من التفاصيل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النظريّة النَّقْدِيَّة لم تتحوّل قط إلى علم اقتصاديّ متخصّص من الطراز التقليدي، فتبعيّة ما هو سياسيّ لما هو اقتصاديّ كانت هي موضوع دراستها لا برنامجها </w:t>
      </w:r>
      <w:r>
        <w:rPr>
          <w:rFonts w:eastAsia="Amiri" w:cs="Amiri" w:ascii="Amiri" w:hAnsi="Amiri"/>
          <w:color w:val="111111"/>
          <w:sz w:val="28"/>
          <w:szCs w:val="28"/>
          <w:rtl w:val="true"/>
          <w:lang w:bidi="ar-SA"/>
        </w:rPr>
        <w:t>.»</w:t>
      </w:r>
    </w:p>
    <w:p>
      <w:pPr>
        <w:pStyle w:val="Heading4"/>
        <w:numPr>
          <w:ilvl w:val="3"/>
          <w:numId w:val="1"/>
        </w:numPr>
        <w:rPr/>
      </w:pPr>
      <w:bookmarkStart w:id="137" w:name="__RefHeading___Toc6736824_1280447820"/>
      <w:bookmarkStart w:id="138" w:name="_Toc47"/>
      <w:bookmarkEnd w:id="137"/>
      <w:r>
        <w:rPr/>
        <w:t>3</w:t>
      </w:r>
      <w:r>
        <w:rPr>
          <w:rtl w:val="true"/>
        </w:rPr>
        <w:t xml:space="preserve">. </w:t>
      </w:r>
      <w:r>
        <w:rPr>
          <w:rtl w:val="true"/>
        </w:rPr>
        <w:t>نقد الفعل الأداتي</w:t>
      </w:r>
      <w:r>
        <w:rPr>
          <w:rtl w:val="true"/>
        </w:rPr>
        <w:t xml:space="preserve">: </w:t>
      </w:r>
      <w:r>
        <w:rPr>
          <w:rtl w:val="true"/>
        </w:rPr>
        <w:t>الإدماج وصناعة الثقافة</w:t>
      </w:r>
      <w:bookmarkEnd w:id="138"/>
    </w:p>
    <w:p>
      <w:pPr>
        <w:pStyle w:val="BookText"/>
        <w:rPr/>
      </w:pPr>
      <w:r>
        <w:rPr>
          <w:rFonts w:ascii="Amiri" w:hAnsi="Amiri" w:eastAsia="Amiri" w:cs="Amiri"/>
          <w:color w:val="111111"/>
          <w:sz w:val="28"/>
          <w:sz w:val="28"/>
          <w:szCs w:val="28"/>
          <w:rtl w:val="true"/>
          <w:lang w:bidi="ar-SA"/>
        </w:rPr>
        <w:t xml:space="preserve">يعتبر هابرماس أنّ الدعامة المفاهيميّة للنقد الذي وجهته المدرسة النَّقْدِيَّة في نسختها الأولى تتمثل في عمليّة نقد للتشيّؤ والاغتراب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Aliénation</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التي سادت المجتمعات الصناعيّة، حيث يتمّ النّظر إلى الإنسان كأداة للإنتاج أو الاستهلاك، كما أنّ العلاقة بين الذوات أصبحت علاقة تشيئيّة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chosification</w:t>
      </w:r>
      <w:r>
        <w:rPr>
          <w:rFonts w:eastAsia="Times New Roman" w:cs="Times New Roman" w:ascii="Times New Roman" w:hAnsi="Times New Roman"/>
          <w:color w:val="111111"/>
          <w:sz w:val="28"/>
          <w:szCs w:val="28"/>
          <w:rtl w:val="true"/>
          <w:lang w:val="en-US" w:bidi="en-US"/>
        </w:rPr>
        <w:t xml:space="preserve">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جانب ذلك يتحدّث هوركهايمر وأدورنو عن مفهوم الإدماج</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l’intégration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باعتباره آليّة أساسيّة للالتفاف على العنف الثوريّ الذي يمكن أن يأتي من الخطر العمالي؛ فالعامل البروليتاري الذي لا يملك إلاّ قوّة عمله ولا يملك إلاّ قوت يومه لا يملك شيئًا يمكن أن يكون سندًا له، بمعنى ليس لهذا العامل أمل يعيش من أجله أو أدوات يرتبط بها تجعله لا يُفكّر في الثورة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لا بدّ من تزويده بوهمٍ ما يجعله يملك الأمل في التطوّر، وبالتالي الحفاظ على النّظام القائم، وهنا تتدخّل آلة الإدماج لإحكام قبضتها على الطبقة العاملة حيث يتمّ احتواؤها عبر إدماجِها في عمليّة الاستهلاك من خلال الدخول في دوّامة الرغبات المتجدِّدة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عمليّة الإدماج هذه تتطلَّب مفهومًا يساندها، وينمّط كلّ </w:t>
      </w:r>
    </w:p>
    <w:p>
      <w:pPr>
        <w:pStyle w:val="BookText"/>
        <w:rPr/>
      </w:pPr>
      <w:r>
        <w:rPr>
          <w:rFonts w:ascii="Amiri" w:hAnsi="Amiri" w:eastAsia="Amiri" w:cs="Amiri"/>
          <w:color w:val="111111"/>
          <w:sz w:val="28"/>
          <w:sz w:val="28"/>
          <w:szCs w:val="28"/>
          <w:rtl w:val="true"/>
          <w:lang w:bidi="ar-SA"/>
        </w:rPr>
        <w:t>متطلّعٍ نحو التحرُّر والانعتاق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مفهوم صناعة الثقافة أو الثقافة الجماهيريّة، حيث تصبح الثقافة صناعة وتصبح معاناة المبدع بمثابة سلعةٍ للاستهلاك، ووسيلةٍ للتنميط، وجعل الإنسان يرتبط بأوهام النجم السينمائي أو صيحات الموضة العالميّة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بين أهمّ وسائل الإدماج الثقافيّة ينتقد هوركهايمر وأدورنو كلًّ من الراديو والتلفزيون باعتبارهما وسائل للترويج والدعاية الضاغطة على العقول والسالبة لكلّ حريّة، بحيث تلعب وسائل الدعاية دورًا خطيرًا في تدجين الأفراد وتنميط الأذواق وتحديد الاتّجاهات الممكنة؛ بحيث تصبح كلّ اختيارات الناس متحكّمً فيها مسبقًا؛ لأنهم ضحايا الدعاية المفرطة، ممّ يقضي على كلّ أملٍ في التغيير أو التحرّر من التشيّؤ والاغتراب</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مآل النَّظَرِيَّة النَّقْدِيَّة وروّادها الأوائل، لقد تعمَّقوا وأبدعوا في نقد المجتمع الصناعي والليبراليّة الزاحفة وكذلك الأنظمة الشموليّة، إلاّ أنّ قوّة النّقد ودقّته، أوصلت أصحاب النَّظَرِيَّة النَّقْدِيَّة إلى بابٍ مسدودٍ؛ بحيث استنتجوا أنّ قدرة النظام الرأسمالي على استيعاب وإدماج كلّ فكرٍ تحرّريٍّ، وقدرته على إجهاض كلّ أملٍ جديدٍ، جعلهم يقرّون بأنّه لا مفرّ من الوضع القائم إلاّ بالانسحاب إلى مجال الفنّ، وإبداع نظريّة في الجماليات كما فعل أدورنو باعتبار الفنّ هو المجال الذي لا يُكن تنميطه أو استيعابه؛ لأنّه مجال الذاتيّة بامتياز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هناك ذات تعبر عن وجودها الفنِّي فإنّها تستعصي عن كلّ تشيّؤٍ وعن كلّ استعمالٍ أداتيٍّ</w:t>
      </w:r>
      <w:r>
        <w:rPr>
          <w:rFonts w:eastAsia="Amiri" w:cs="Amiri" w:ascii="Amiri" w:hAnsi="Amiri"/>
          <w:color w:val="111111"/>
          <w:sz w:val="28"/>
          <w:szCs w:val="28"/>
          <w:rtl w:val="true"/>
          <w:lang w:bidi="ar-SA"/>
        </w:rPr>
        <w:t xml:space="preserve">. </w:t>
      </w:r>
      <w:bookmarkStart w:id="139" w:name="pg16380_210389"/>
    </w:p>
    <w:p>
      <w:pPr>
        <w:pStyle w:val="Heading3"/>
        <w:numPr>
          <w:ilvl w:val="2"/>
          <w:numId w:val="1"/>
        </w:numPr>
        <w:rPr/>
      </w:pPr>
      <w:bookmarkStart w:id="140" w:name="__RefHeading___Toc6736826_1280447820"/>
      <w:bookmarkStart w:id="141" w:name="_Toc48"/>
      <w:bookmarkEnd w:id="139"/>
      <w:bookmarkEnd w:id="140"/>
      <w:r>
        <w:rPr>
          <w:rtl w:val="true"/>
        </w:rPr>
        <w:t>المطلب الرابع</w:t>
      </w:r>
      <w:r>
        <w:rPr>
          <w:rtl w:val="true"/>
        </w:rPr>
        <w:t xml:space="preserve">: </w:t>
      </w:r>
      <w:r>
        <w:rPr>
          <w:rtl w:val="true"/>
        </w:rPr>
        <w:t>انفتاح العقل الأداتي على العقل التواصلي</w:t>
      </w:r>
      <w:bookmarkEnd w:id="141"/>
    </w:p>
    <w:p>
      <w:pPr>
        <w:pStyle w:val="BookText"/>
        <w:rPr/>
      </w:pPr>
      <w:r>
        <w:rPr>
          <w:rFonts w:ascii="Amiri" w:hAnsi="Amiri" w:eastAsia="Amiri" w:cs="Amiri"/>
          <w:color w:val="111111"/>
          <w:sz w:val="28"/>
          <w:sz w:val="28"/>
          <w:szCs w:val="28"/>
          <w:rtl w:val="true"/>
          <w:lang w:bidi="ar-SA"/>
        </w:rPr>
        <w:t>تتمثّل الإضافة التي يُقدّمها هابرماس لهذا النّقد، في أنّ الروّاد الأوائل لمدرسة فرَانْكِفُورْتْ بالرغم من عمليّة التحليل التي دشّنوها تجاه كلّ عوامل التشيّؤ والاغ رتاب؛ فإنهم كانوا محكوم ني بنوعٍ من المسبقات، أيّ الأحكام السياسيّة المسبقة التي انحازت عن التحليل، ممّ يجعل هابرماس يُعيد الاعتبار للعقل الأداتيّ ليس من زاوية الدفاع عن استعمالاته بل للحديث عن الفعل العق الني الهادف الذي يهدف إلى تحقيق غايات معيّنة بأنجح طريقة ممكنة، وتمييزه عن الفعل الاس رتاتيجي الذي يتميّز بطابعٍ شخصيٍّ</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يدشّن هابرماس لانفتاح العقل الأداتي الذي ينخرط ضمن فلسفة الوعي والذاتيّة المحافظة، على عقل تواصلي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la raison communicationnelle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الإشكال في الأداتيّة عند هابرماس، بل الإشكال هو التوقّف عند منحًى وحيدٍ للأداتيّة السلبيّة، ففلسفة السّلب لا يمكن أن تبني وحدها فعلً نقديًّا، فعند الحديث مثلً عن أساليب الإدماج الِجْتِمَعِيِّ عن طريق وسائل الدعاية، فإنّه من غير الممكن اعتبار أنّ كلّ هذه الوسائل الإعلاميّة تحتفظ بوظيفةٍ واحدةٍ هي الإدماج أو التشيّؤ، وهنا ينتقل هابرماس إلى ما يُسمّيه المنعطف اللّغويّ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tournant linguistique</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باعتبار اللّغة بمثابة الوسيط في التعامل داخل العالم المعيش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le monde vécu</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من أجل تحقيق الإقناع داخل الفضاء العمومي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l’espace public</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صحيح أنّ وسائل الإعلام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 </w:t>
      </w:r>
    </w:p>
    <w:p>
      <w:pPr>
        <w:pStyle w:val="BookText"/>
        <w:rPr/>
      </w:pPr>
      <w:r>
        <w:rPr>
          <w:rFonts w:ascii="Amiri" w:hAnsi="Amiri" w:eastAsia="Amiri" w:cs="Amiri"/>
          <w:color w:val="111111"/>
          <w:sz w:val="28"/>
          <w:sz w:val="28"/>
          <w:szCs w:val="28"/>
          <w:rtl w:val="true"/>
          <w:lang w:bidi="ar-SA"/>
        </w:rPr>
        <w:t>هابرماس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متحكَّم فيها، لكن ذلك لا يُكّننا من معرفة أنّ قوانين السوق تتدخل بشكلٍ عميقٍ في صناعة الثقافة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النّقد الذي وجّهه هابرماس لروّاد المدرسة النَّقْدِيَّة بخصوص العقل الأداتيّ، يتمثّل في إبراز مظاهر الانزعاج أو النّقد الإيديولوجي الذي تحكّم في مؤسّسي المدرسة النّقديّة، وهو بذلك يفتح المجال نحو نظريّة الفعل التواصلي الذي يحمل نبرةً تفاؤليّةً تتبنّى براديغم التواصل عوضًا عن براديغم الصّاع</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وأخيرًا علينا أن نطرح عدّة تساؤلاتٍ مهمّةٍ وجذريّة؛ ألا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قدّم لنا نقد العقل الذي امتدّ من كانط وهيغل وماركس إلى أصحاب النَّظَرِيَّة النَّقْدِيَّة لمدرسة فرَانْكِفُورْتْ عبر أجيالها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قدّم لنا بعد أن نزل العقل أو بمعنى آخر أُجبر على النزول عن عرشه المتوّج إلى قلب المجتمع والتاريخ؟ وإلامَ أدّى تطوّر مفهوم العقل منذ الإغريق وعصر التنوير وتطوّر آلياته ومناهجه المعبّة عنه حتى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استطاع أن يُحقّق وضعًا وحياةً أفضل للإنسان الّذي هو هدف التاريخ وغايته؟ وهل أمكنه أن يحرّره من القوى التي استعبدته عبر عصور طويلة سواءً أكانت قوى طبيعيّة أم سياسيّة؟ ومن الظروف أو القيود التي كبّلته على مدى تاريخه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وأخيرًا يلحّ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استطاعت النَّظَرِيَّة النَّقْدِيَّة بالفعل إنقاذ العقل من نفسه؟ وهل استطاعت أن تقترب من هدفها الأساسي، وهو تحرير إنسانيّة الإنسان وتأكيد فرديّته المقهورة وإبعاد أشباح اللّ عقلانيّة الزاحف عليه في عصرِنا الحاضر بأشكال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إنّ بعض أعضاء المدرسة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 فرانكفورت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أدورنو وماركيوز لم يجدوا هذا الإنقاذ إلاّ في الفنّ وفيما عدا ذلك فقد غلب التشاؤم على معظم أعضاء المدرسة، ومع ذلك تظلّ أهميّة النَّظَرِيَّة النَّقْدِيَّة كامنة في سلاحها النقديّ، وفي تعبيرها عن صرخة العقل في مواجهة تناقضاته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كانت هذه الصرخة قد بقيت حتى 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الأقلّ على مستوى الفكر الفلسفي والتأمّلي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تستطع أن تشكّل نظريّةً متكاملةً وقادرةً على توجيه العقل الإنسانيّ على أرض الواقع، فإنّها تظلّ تعبيرًا حيًّا وصادقًا عن أزمة العقل التاريخي والنقديّ في الحياة الفلسفية المعاصرة في الغرب</w:t>
      </w:r>
      <w:r>
        <w:rPr>
          <w:rFonts w:eastAsia="Amiri" w:cs="Amiri" w:ascii="Amiri" w:hAnsi="Amiri"/>
          <w:color w:val="111111"/>
          <w:sz w:val="28"/>
          <w:szCs w:val="28"/>
          <w:rtl w:val="true"/>
          <w:lang w:bidi="ar-SA"/>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2" w:name="pg16380_210393"/>
      <w:bookmarkStart w:id="143" w:name="pg16380_210393"/>
      <w:bookmarkEnd w:id="143"/>
    </w:p>
    <w:p>
      <w:pPr>
        <w:pStyle w:val="Heading2"/>
        <w:numPr>
          <w:ilvl w:val="1"/>
          <w:numId w:val="1"/>
        </w:numPr>
        <w:rPr/>
      </w:pPr>
      <w:bookmarkStart w:id="144" w:name="pg16380_210393"/>
      <w:bookmarkStart w:id="145" w:name="__RefHeading___Toc6736828_1280447820"/>
      <w:bookmarkStart w:id="146" w:name="_Toc49"/>
      <w:bookmarkEnd w:id="144"/>
      <w:bookmarkEnd w:id="145"/>
      <w:r>
        <w:rPr>
          <w:rtl w:val="true"/>
        </w:rPr>
        <w:t xml:space="preserve">الفصل الخامس </w:t>
      </w:r>
      <w:r>
        <w:rPr>
          <w:rtl w:val="true"/>
        </w:rPr>
        <w:t xml:space="preserve">: </w:t>
      </w:r>
      <w:r>
        <w:rPr>
          <w:rtl w:val="true"/>
        </w:rPr>
        <w:t>داء مدرسة فرانكفورت وتهافتها</w:t>
      </w:r>
      <w:bookmarkEnd w:id="146"/>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7" w:name="__RefHeading___Toc6736830_1280447820"/>
      <w:bookmarkStart w:id="148" w:name="_Toc50"/>
      <w:bookmarkEnd w:id="147"/>
      <w:r>
        <w:rPr>
          <w:rtl w:val="true"/>
        </w:rPr>
        <w:t>اشارة</w:t>
      </w:r>
      <w:bookmarkEnd w:id="148"/>
    </w:p>
    <w:p>
      <w:pPr>
        <w:pStyle w:val="BookText"/>
        <w:rPr/>
      </w:pPr>
      <w:r>
        <w:rPr>
          <w:rFonts w:ascii="Amiri" w:hAnsi="Amiri" w:eastAsia="Amiri" w:cs="Amiri"/>
          <w:color w:val="111111"/>
          <w:sz w:val="28"/>
          <w:sz w:val="28"/>
          <w:szCs w:val="28"/>
          <w:rtl w:val="true"/>
          <w:lang w:bidi="ar-SA"/>
        </w:rPr>
        <w:t>لا يسع المتتبّع لمسار مدرسة فرانكفورت منذ لحظتها التأسيسيّة إضافة إلى مراحل تطوّرها المختلفة، إلاّ أن يعترف لروّادها من الجيل الأوّل بالجهد الكبير في تأسيس هذه المدرسة، التي تُركّز مشروعها المعرفيّ على نقد مباني الحداثة بأبعادها الفلسفيّة والاجت 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ساهم هؤلاء مساهمةً فاعلةً في إثراء المنتج الفكري للمدرسة، وكانت نقطة البدء لهذه المساه ات متمثِّلةً في المساءلة النَّقْدِيَّة م لواقع المجتمعات الأوروبيّة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أبرز نتائج هذه العملية النَّقْدِيَّة رصد الكثير من التناقضات في هذه المجتمعات حيث طرح الروّاد الأوائل تساؤلات عديدة محورت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الوضع ت غير السّويِّ الذي وصلت إليه الإنسانيّة الحديثة ككل، وكان التساؤل المحوري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حدث للمجتمع الإنساني حتى انحدر إلى هذه الوضعيّة؟ وما هي الأسباب الحقيقيّة التي كانت وراء تلك المأساة؟</w:t>
      </w:r>
    </w:p>
    <w:p>
      <w:pPr>
        <w:pStyle w:val="BookText"/>
        <w:rPr/>
      </w:pPr>
      <w:r>
        <w:rPr>
          <w:rFonts w:ascii="Amiri" w:hAnsi="Amiri" w:eastAsia="Amiri" w:cs="Amiri"/>
          <w:color w:val="111111"/>
          <w:sz w:val="28"/>
          <w:sz w:val="28"/>
          <w:szCs w:val="28"/>
          <w:rtl w:val="true"/>
          <w:lang w:bidi="ar-SA"/>
        </w:rPr>
        <w:t>وهكذا شرع فلاسفة فرَانْكِفُورْتْ في عمليّة البحث للوصول إلى إجابة عن هذه التساؤلات، معتمدين في ذلك على المنهج النقديّ كآليّة ضروريّة للكشف عن مكامن الخلل في واقع المجتمعات الغربيّة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تب لهم بأنّ الأزمة التي اجتاحت الحداثة هي أزمة عقل في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العقل الذي يعود إليه الفضل في تحرير الإنسان من ربقة القيود التي هيمنت عليه، ما لبث أن انحدر نحو مسار تهافتيّ بعد تحوّله إلى قيمة وظائفيّة للسلطة الرأس 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الأمر م </w:t>
      </w:r>
    </w:p>
    <w:p>
      <w:pPr>
        <w:pStyle w:val="BookText"/>
        <w:rPr/>
      </w:pPr>
      <w:r>
        <w:rPr>
          <w:rFonts w:ascii="Amiri" w:hAnsi="Amiri" w:eastAsia="Amiri" w:cs="Amiri"/>
          <w:color w:val="111111"/>
          <w:sz w:val="28"/>
          <w:sz w:val="28"/>
          <w:szCs w:val="28"/>
          <w:rtl w:val="true"/>
          <w:lang w:bidi="ar-SA"/>
        </w:rPr>
        <w:t>لم يقف عند هذا الحدّ؛ حيث أصبح العقل أداة للسيطرة على فكر الإنسان، ورغباته، وعواطفه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أكثر من ذلك حيث فقََدَ الفرد داخل المجتمع الغربي كرامته وحرّيته، ليتحوّل إلى مجرّد شيء لا يختلف عن أشياء الطبيعة، فالعقل الأنواريّ أصبح عقلً أداتيًّا بامتياز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نتيجة لهذا الانحراف في مسار العقل، والذي أدّى إلى انحراف مشروع التنوير ككل عن الأهداف السامية التي وُجد أصلً من أجلها، وجد فلاسفة فرَانْكِفُورْتْ أنفسهم أمام ضرورة التَّدَخُّل لإنقاذ الوضع الإنساني، وعلى هذا الأساس قام المشروع الفلسفي والاجتماعي لمدرسة فرَانْكِفُورْتْ، والذي قمنا بتحليل أبرز مكوّناته في محطّات هذا البحث</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وككلّ المدارس النَّقْدِيَّة التي ظهرت في التاريخ الحديث، فقد تعرَّضت مدرسة فرانكفورت إلى اختلالات عميقة في مبانيها النظرية، كما نأت في الكثير من الأحيان عن منهجها الانتقادي لتتحوّل إلى ظاهرة دوغمائيّة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إلى أشتات من الحلقات المغلقة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السياق يرى الباحث الأميركي ترنت شروير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النتيجة التي انتهت إليها هذه المدرسة تبدو متناقضة مع بداياتها</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يعدّ قريبًا ممّ أورده عالم الاجتماع الإنجليزي توم بوتومور حين ذكر 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تمثّل ظاهرة مُركَّبة، حيث جرى شرح وتفسير نمط الفكر الِجْتِمَعِيِّ الذي ارتبط بها في المقام الأوّل، أي النَّظَرِيَّة النقديّة، بطرق شتّى </w:t>
      </w:r>
      <w:r>
        <w:rPr>
          <w:rFonts w:eastAsia="Amiri" w:cs="Amiri" w:ascii="Amiri" w:hAnsi="Amiri"/>
          <w:color w:val="111111"/>
          <w:sz w:val="28"/>
          <w:szCs w:val="28"/>
          <w:rtl w:val="true"/>
          <w:lang w:bidi="ar-SA"/>
        </w:rPr>
        <w:t>»</w:t>
      </w:r>
      <w:r>
        <w:rPr>
          <w:rStyle w:val="FootnoteAnchor"/>
          <w:rtl w:val="true"/>
        </w:rPr>
        <w:footnoteReference w:id="99"/>
      </w:r>
      <w:r>
        <w:rPr>
          <w:rFonts w:ascii="IRNazanin" w:hAnsi="IRNazanin" w:eastAsia="IRNazanin"/>
          <w:color w:val="111111"/>
          <w:sz w:val="28"/>
          <w:sz w:val="28"/>
          <w:szCs w:val="28"/>
          <w:rtl w:val="true"/>
          <w:lang w:bidi="fa-IR"/>
        </w:rPr>
        <w:t xml:space="preserve">، مما </w:t>
      </w:r>
    </w:p>
    <w:p>
      <w:pPr>
        <w:pStyle w:val="BookText"/>
        <w:rPr/>
      </w:pPr>
      <w:r>
        <w:rPr>
          <w:rFonts w:ascii="Amiri" w:hAnsi="Amiri" w:eastAsia="Amiri" w:cs="Amiri"/>
          <w:color w:val="111111"/>
          <w:sz w:val="28"/>
          <w:sz w:val="28"/>
          <w:szCs w:val="28"/>
          <w:rtl w:val="true"/>
          <w:lang w:bidi="ar-SA"/>
        </w:rPr>
        <w:t xml:space="preserve">يعتبرها جان جراندان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معقل مع الفنّ لعالم إنسانيّ، يكتفي برسم أسود للتشيّؤ الغربي </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من شكّ، فإنّ الاضطراب الفكريّ الّذي حكم البدايات التأسيسيّة لمدرسة فرَانْكِفُورْتْ يعود إلى مجموعة من العوامل طالت بنيتها في الشّكل والمحتوى</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مستوى الشّكل، تجدر الإشارة إلى تلك التسميات العديدة التي أطلقت على هذه المدرسة، من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النَّظَرِيَّة النَّقْدِيَّة إشارة إلى مجموعة أعضائها من المثقفين الألمان الذين اتّخذوا من الفلسفة النَّقْدِيَّة رؤية لهم، والماركسيّة الأوروبيّة تمييزًا لفكرها عن التفسيرات التي قدّمها منظّرو الأمميّة الثانية والثالثة للماركسية، وفكر الهجرة، ومدرسة فرَانْكِفُورْتْ وهو الاسم الذي خلعوه عليها بعد عودتها من المهجر، إضافة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فندق الهاوية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أطلق عليها جورج لوكاش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تعدّد الأطر النَّظَرِيَّة والمنهجيّة لدى مفكرِّيها</w:t>
      </w:r>
      <w:r>
        <w:rPr>
          <w:rStyle w:val="FootnoteAnchor"/>
          <w:rtl w:val="true"/>
        </w:rPr>
        <w:footnoteReference w:id="101"/>
      </w:r>
      <w:r>
        <w:rPr>
          <w:rFonts w:ascii="Amiri" w:hAnsi="Amiri" w:eastAsia="Amiri" w:cs="Amiri"/>
          <w:color w:val="111111"/>
          <w:sz w:val="28"/>
          <w:sz w:val="28"/>
          <w:szCs w:val="28"/>
          <w:rtl w:val="true"/>
          <w:lang w:bidi="ar-SA"/>
        </w:rPr>
        <w:t>، ناهيك عن توالي أكثر من جيل، بالمعنى الكرونولوجي، لمثليها، أهمهم من الجيل المؤسّس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ماكس هوركايمر، وتيودور أدورنو، وفردريك بولوك، هربرت ماركيوز، وإريك فروم، ولوفينتال، وفالتر بنيامين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الجيل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ألفريد شميت، وكلاوس أوفي، يورجين هابرماس، وأولبرخت فيلمر</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على صعيد المحتوى النظريّ، فيمكن الإشارة إلى التباينات العميقة بين ممثّليها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درجة حدت بكثير من الباحثين والمؤرّخين إلى الاعتقاد بأنّ المدرسة لا تمثلّ وحدة فكريةّ متسَّقة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ويعود ذلك برأيهم إلى ما وجدوه فيها من تناقضات في الرؤية حول كثير من المسائل، من مثل الاختلاف بين هوركايمر من ناحية، وأدورنو وفرانز نيومان من ناحية أخرى، حول التفسير الْمَرْكِسِِّ الفييبري الذي قدّمه هذا الأخير للفاشيّة، أو التصنيفات التي صاغوها لتنوّع أفكارهم، حين رأوها تأخذ عند ماركيوز اتّجاهًا وطوباويًّا، وتشكّل لدى أدورنو جدليّة سلبيّة، وتقدّم كنظريّة للمعرفة مع هابرماس، وتُثّل مع هوركايمر حاجزًا أمام الفكر التعريفي والعالم المسيّ، أو في التأكيد على ارتباطهم بمصادر متباينة، حيث رغم انطلاقهم من الإطار الفكري للنظرية الماركسية، فإنّ منهم مثل فروم وماركيوز من تأثّر بالفرويدية والتحليل النفسي، وآخرون تأثّروا بإنسانيات بعض الروائيين، كفرانز كافكا، وهرمان هسّة، ومارسيل بروست، حيث إنّ المشكلات التي تصدّت لها نظريّتهم النَّقْدِيَّة على المستوى الاجتماعي، تكلّم عنها هؤلاء الروائيّون بصيغ أدبيّة وجماليّة، وهو ما حاولوا إثباته في تأثير كافكا على بنيامين وأدورنو، وتأثير هسّة على ماركيوز</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bookmarkStart w:id="149" w:name="pg16380_210398"/>
    </w:p>
    <w:p>
      <w:pPr>
        <w:pStyle w:val="Heading3"/>
        <w:numPr>
          <w:ilvl w:val="2"/>
          <w:numId w:val="1"/>
        </w:numPr>
        <w:rPr/>
      </w:pPr>
      <w:bookmarkStart w:id="150" w:name="__RefHeading___Toc6736832_1280447820"/>
      <w:bookmarkStart w:id="151" w:name="_Toc51"/>
      <w:bookmarkEnd w:id="149"/>
      <w:bookmarkEnd w:id="150"/>
      <w:r>
        <w:rPr>
          <w:rtl w:val="true"/>
        </w:rPr>
        <w:t>المطلب الأوّل</w:t>
      </w:r>
      <w:r>
        <w:rPr>
          <w:rtl w:val="true"/>
        </w:rPr>
        <w:t xml:space="preserve">: </w:t>
      </w:r>
      <w:r>
        <w:rPr>
          <w:rtl w:val="true"/>
        </w:rPr>
        <w:t>داء الاستغراق في الأحداث اليوميّة</w:t>
      </w:r>
      <w:bookmarkEnd w:id="151"/>
    </w:p>
    <w:p>
      <w:pPr>
        <w:pStyle w:val="BookText"/>
        <w:rPr/>
      </w:pPr>
      <w:r>
        <w:rPr>
          <w:rFonts w:ascii="Amiri" w:hAnsi="Amiri" w:eastAsia="Amiri" w:cs="Amiri"/>
          <w:color w:val="111111"/>
          <w:sz w:val="28"/>
          <w:sz w:val="28"/>
          <w:szCs w:val="28"/>
          <w:rtl w:val="true"/>
          <w:lang w:bidi="ar-SA"/>
        </w:rPr>
        <w:t>من أبرز المؤاخذات التي تُسجَّل على مدرسة فرانكفورت أنّها مالت للتأثّر إلى حدٍّ بعيد بالظواهر الآنيَّة العابرة، والتي لا تدوم إلاّ لفترة محدودة للغاية، والتي لم تحظ بالبحث بطريقة منهجيّة من منظورٍ تاريخيٍّ ومقارن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ويتّضح هذا من انشغالاتها المفرطة بالاشتراكيّة الوطنيّة والجدل حول معاداة السامية في الثلاثينيات والأربعينيات، وبصناعة الثقافة في الخمسينيات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القول بأنّ المدرسة لم تأتِ بنظريّات بديلة تتلاءم مع التطوّرات التي افترضها نموّ الرأسمالية، ولا سيّما في حقبة تحوّلها إلى إمبرياليّة تتخطّى امتداداتها حدود العالم الأوروبي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الوقت نفسه، لم تقم بأيّ محاولة لإعادة تقييم نظريّة ماركس في التاريخ ككلّ، بل إنّها في الحقيقة قد تجاهلتها ببساطة، ومع ذلك، فقد حدث تغيير بظهور أعمال الفيلسوف الألماني يورغن هابرماس في ستينيات القرن العشرين</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هذه المحاولة التي قام بها هابرماس بصفته أحد روّاد هذه المدرسة، كانت أيضًا غير تاريخيّة في نهجها بصورة عجيبة، ومقيّدة إلى حدّ بعيد في حدود تحليلها التصوّري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الرغم من بعض الاهتمام الذي ظهر حديثًا في أعمال أنثروبولوجيين ومشتغلين بعلم ما قبل التاريخ، ويتعلّق بأصول المجتمعات البشريّة، ومع أنّ هناك إشارات موجزة إلى المناقشات حول نمط الإنتاج الآسيوي، فإنّ ما </w:t>
      </w:r>
    </w:p>
    <w:p>
      <w:pPr>
        <w:pStyle w:val="BookText"/>
        <w:rPr/>
      </w:pPr>
      <w:r>
        <w:rPr>
          <w:rFonts w:ascii="Amiri" w:hAnsi="Amiri" w:eastAsia="Amiri" w:cs="Amiri"/>
          <w:color w:val="111111"/>
          <w:sz w:val="28"/>
          <w:sz w:val="28"/>
          <w:szCs w:val="28"/>
          <w:rtl w:val="true"/>
          <w:lang w:bidi="ar-SA"/>
        </w:rPr>
        <w:t>كان مطلوبًا في أيّ إعادة تقييم جوهريّة لنظريّة ماركس، هو إعادة تفكير شاملة في الحجّة التاريخيّة المتعلّقة بهيكل أو عمليات التغيير داخل نطاق الأشكال الكُبرى للمجتمع</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ومثلما تجاهل مفكّرو مدرسة فرانكفورت التاريخ، أو استبعدوه، فإنّهم تجاهلوا كذلك التحليل الاقتصادي إلى حدّ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فالسنوات الأولى للمعهد هي فقط التي شهدت على نشاطه المميّز، والتي كان فيها المنظّرون، والمؤرّخون هم الأكثر بروزًا، ولا سيّما هنريش جروسمان الذي نشرت دراسته عن التراكم والتفكّك الرأسمالي عام </w:t>
      </w:r>
      <w:r>
        <w:rPr>
          <w:rFonts w:eastAsia="Amiri" w:cs="Amiri" w:ascii="Amiri" w:hAnsi="Amiri"/>
          <w:color w:val="111111"/>
          <w:sz w:val="28"/>
          <w:szCs w:val="28"/>
          <w:lang w:bidi="ar-SA"/>
        </w:rPr>
        <w:t>1929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 جروسمان، وكما يلاحظ ماترن جاي، يُكن بصعوبة اعتباره قوّةً مهمّةً في التّطوّر الفكريّ للمدرسة؛ لأنّه كان غير متعاطف بدرجة كبيرة مع المنهج الجدلي الهيغلي الجديد الذي غلب على منهجها العام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المنظر الاقتصاديّ الّذي اقترن اسمه بالمعهد في مرحلة لاحقة، فهو فرانز نيومان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صلته به كانت قصيرة الأمد، وكان شأنه شأن جروسمان، غير متعاطف مع النَّظَرِيةَّ النقديةّ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حين أنّ الاقتصادي الوحيد الذي احتلّ مكانة أساسيّة في مدرسة فرانكفورت، هو صديق هوركايمر المقرّب فريدريك بولوك، الذي تناولت أعماله عن التخطيط السوفياتي والتسيير الذاتي فيما بعد، مسائل السياسة الاقتصادية في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النحو، </w:t>
      </w:r>
    </w:p>
    <w:p>
      <w:pPr>
        <w:pStyle w:val="BookText"/>
        <w:rPr/>
      </w:pPr>
      <w:r>
        <w:rPr>
          <w:rFonts w:ascii="Amiri" w:hAnsi="Amiri" w:eastAsia="Amiri" w:cs="Amiri"/>
          <w:color w:val="111111"/>
          <w:sz w:val="28"/>
          <w:sz w:val="28"/>
          <w:szCs w:val="28"/>
          <w:rtl w:val="true"/>
          <w:lang w:bidi="ar-SA"/>
        </w:rPr>
        <w:t xml:space="preserve">يمكن القول أنّ المدرسة قد أولت اهتمامًا محدودًا بالتحليل النّظري أو التاريخي بالتطوّر الاقتصادي الرأسمالي، ولم تقدّم أيّ دراسة يمكن مقارنتها مطلقًا بكتابات هلفردنغ عن رأس المال المالي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الرأسمالية المنظّمة </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ومقدمتي في هذه الترجمة تعطي جردا لمقالات هيلفردنغ التي نشرها عام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الرأسمالية التنظيمية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Hilferdingsm R :The organized economy in T. Bottomore and P. Goode (eds), (Readings in Marxist Theory), Op. Cit., pp. 247- 253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يُكن مقارنتها بتحليل نيومان عن العلاقة بين الرأسمالية الاحتكارية ونظام الاشتراكية الوطنية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اهتمامهما انصبّ على 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الدولة الّتي تنهج سياسة التّدخل، كما انصبّ أيضًا على مشاكل الشرعيّة المتعلّقة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يحاولا تقديم تحليلٍ نظريّ لنمو الإنتاج الرأسمالي في مرحلته الأخيرة، كما لم يحاولا تقديم وصف تاريخي لتطوّره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وفضلاً عن ذلك، فلا يزال واقع الحال هو أنّه لا يُوجد منظّر اقتصاديّ مهمّ مرتبط بالنظريّة النقديّة، حتى في شكلها المُعدّل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المدرسة ككل، لم تُقدّم أيّ اسهام ملحوظ في النَّظَرِيَّة الاقتصاديّة الماركسية، كما تطوّرت من خلال أعمال هلفردنغ ومفكرين لاحقين</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هذا التجاهل للبحث التاريخي من جهة، والتحليل الاقتصادي من جهة ثانية، يفصل مدرسة فرانكفورت بشدّة، هي ا ومتدادها المتمثّل في النَّظَرِيَّة النَّقْدِيَّة الجديدة، عن ميراثها النقدي الذي قامت على أساسه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ولعلّنا نجد في مناقشة الطبقات الاجتماعية، الانحراف الأكثر وضوحًا عمّ يُكن تسميته بشكل عام بالماركسية الكلاسيكية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يعدّ فحسب مفهومًا أساسيًّا في نظريّة ماركس الاجتماعية، بل يُعدّ في الحقيقة بمثابة نقطة بدئها بمعنى حاسم، وذلك باعتراف ماركس بالبروليتاريا كذات ثوريّة في المجتمع الحديث، وكحاملة رسالة المثل الأعلى للانعتاق في العالم الحقيقي، بما جعله يضحى أيضًا، كما لاحظ أوسوفسكي،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رمز المذهب بأكمله، والبرنامج السياسي المستمدّ منه </w:t>
      </w:r>
      <w:r>
        <w:rPr>
          <w:rFonts w:eastAsia="Amiri" w:cs="Amiri" w:ascii="Amiri" w:hAnsi="Amiri"/>
          <w:color w:val="111111"/>
          <w:sz w:val="28"/>
          <w:szCs w:val="28"/>
          <w:rtl w:val="true"/>
          <w:lang w:bidi="ar-SA"/>
        </w:rPr>
        <w:t>»</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الجانب الآخر، فقد وُصفت مدرسة فرانكفورت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ماركسية بدون بروليتاريا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نجد هابرماس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النظريّة والممارسة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يحاجج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البروليتاريا بوصفها بروليتاريا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تلاشت؛ لأنّه في حين أصبح القسم الرئيسي من السكّان فقراء معدمين من حيث دوره في عملية الإنتاج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فإنّ ماركس يستطيع اليوم أن يتخلّ عن أمله في إمكانيّة أن تصبح النَّظَرِيَّة قوّة ماديّة حالما تستحوذ على الجماهير</w:t>
      </w:r>
      <w:r>
        <w:rPr>
          <w:rFonts w:eastAsia="Amiri" w:cs="Amiri" w:ascii="Amiri" w:hAnsi="Amiri"/>
          <w:color w:val="111111"/>
          <w:sz w:val="28"/>
          <w:szCs w:val="28"/>
          <w:rtl w:val="true"/>
          <w:lang w:bidi="ar-SA"/>
        </w:rPr>
        <w:t xml:space="preserve">. </w:t>
      </w:r>
      <w:bookmarkStart w:id="152" w:name="pg16380_210402"/>
    </w:p>
    <w:p>
      <w:pPr>
        <w:pStyle w:val="Heading3"/>
        <w:numPr>
          <w:ilvl w:val="2"/>
          <w:numId w:val="1"/>
        </w:numPr>
        <w:rPr/>
      </w:pPr>
      <w:bookmarkStart w:id="153" w:name="__RefHeading___Toc6736834_1280447820"/>
      <w:bookmarkStart w:id="154" w:name="_Toc52"/>
      <w:bookmarkEnd w:id="152"/>
      <w:bookmarkEnd w:id="153"/>
      <w:r>
        <w:rPr>
          <w:rtl w:val="true"/>
        </w:rPr>
        <w:t>المطلب الثاني</w:t>
      </w:r>
      <w:r>
        <w:rPr>
          <w:rtl w:val="true"/>
        </w:rPr>
        <w:t xml:space="preserve">: </w:t>
      </w:r>
      <w:r>
        <w:rPr>
          <w:rtl w:val="true"/>
        </w:rPr>
        <w:t>التهافت الأيديولوجي للمدرسة</w:t>
      </w:r>
      <w:bookmarkEnd w:id="154"/>
    </w:p>
    <w:p>
      <w:pPr>
        <w:pStyle w:val="BookText"/>
        <w:rPr/>
      </w:pPr>
      <w:r>
        <w:rPr>
          <w:rFonts w:ascii="Amiri" w:hAnsi="Amiri" w:eastAsia="Amiri" w:cs="Amiri"/>
          <w:color w:val="111111"/>
          <w:sz w:val="28"/>
          <w:sz w:val="28"/>
          <w:szCs w:val="28"/>
          <w:rtl w:val="true"/>
          <w:lang w:bidi="ar-SA"/>
        </w:rPr>
        <w:t>ويبدو أنّ مفهوم مدرسة فرانكفورت عن تدهور أو تلاشي الطبقة العاملة كقوّة سياسيّة، قائمٌ أساسًا على فكرة طوباوية وخياليّة عن الثورة، التي هي بأيّة حال الطريق الوحيدة، أو الأكثر مَارْكِسِيَّة، لتصوّر عمليّة الثورة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وربّا يكون هذا المفهوم قائمًا أيضًا على انعكاس الخبرة الاستثنائية الأميركية، الناجمة عن غياب طبقة عاملة منظّمة سياسيًّا في المجتمع الأميركي، على فكرهم، ولا سيّما في حالة ماركيوز</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ذلك يرى نقّاد المدرسة ومنهم ماركيوز وفي مرحلة متأخّرة هابرماس أنّ المدرسة فشلت في تقديم تقييم جدِّي ومتميّز حول التحوُّلاَت التي طرأت على نظريّة الطبقة العاملة في عصر الإمبرياليّة الليبرالية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ربّا علينا أن نُشاطر كثيرين من النقّاد في قولهم أنّ مدرسة فرانكفورت ماتت في شكلها الأصلي كمدرسة في الْمَرْكِسِيَّة أو علم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هذا نستطيع القول إنّ الضعف والتفكّك الذي ضرب مدرسة فرانكفورت كان له الأثر العميق في تراجع وضمور مقولات أساسيّة في الثقافة الْمَرْكِسِيَّة، مثل الماديّة التاريخيّة وقانون الصراع الطبقي، وسبّب في بروز المقولات الليبراليّة بدلاً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الفترة التي تلت الحرب العالمية الثانية حاول عدد من علماء الاجتماع ممّن ينتمون إلى المدرسة القيام بإصلاحات جذريّة تُعيد الاعتبار للأسس النَّظَرِيَّة التي انبنت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خلال الفترة المذكورة اتّخذ تطوُّر الفكر الْمَرْكِسِِّ في العلوم الاجتماعية، وبخاصّة في الأنثروبولوجيا وعلم الاقتصاد وعلم الاجتماع، مجرى جعله أكثر اقترابًا من الاهتمامات الرئيسيّة لنظريّة ماركس، سواءً ما يتّصل بتحليل أنماط الإنتاج، أو التناقضات البنيويّة والتحوّلات التاريخية، أو البنية الطبقيّة والصراع الطبقي، أو السلطة السياسيّة ودور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موازاة ذلك، أضحى جزء جوهريّ من نظريّات ماركس في هذا العلم وبحوثه يُوجّه إلى مسائل مماثلة، فيما قلّ الانشغال الزائد بالثقافة، الذي ميّز أعمال أدورنو وهوركايمر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أيضًا أنّ بعض الدّراسات المهمّة الأخيرة عن الثقافة والأيديولوجيا قد حلّلت هذه الظواهر من منطلقٍ نظريٍّ يختلف اختلافًا عميقًا عن منطلقات مدرسة فرانكفورت، وقد جرى أغلبها الأعمّ داخل إطار بنيويٍّ يُؤكّد دور الثّقافة والإيديولوجيا كعناصر مؤسّسة في عمليّة عامّة لإعادة الإنتاج الاجتماعي</w:t>
      </w:r>
      <w:r>
        <w:rPr>
          <w:rFonts w:eastAsia="Amiri" w:cs="Amiri" w:ascii="Amiri" w:hAnsi="Amiri"/>
          <w:color w:val="111111"/>
          <w:sz w:val="28"/>
          <w:szCs w:val="28"/>
          <w:rtl w:val="true"/>
          <w:lang w:bidi="ar-SA"/>
        </w:rPr>
        <w:t>.</w:t>
      </w:r>
      <w:r>
        <w:rPr>
          <w:rStyle w:val="FootnoteAnchor"/>
          <w:rtl w:val="true"/>
        </w:rPr>
        <w:footnoteReference w:id="110"/>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أبرز هذه الأفكار هي النَّظَرِيَّة النَّقْدِيَّة والتي تمّ النظر إليها عمومًا في الحقيقة على أنّها تُشكّل الاهتمام الأساسي لفكر الفيلسوف الألماني المعاصر يورغن هابرماس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أسهم هذا الأخير في كتاباته النَّقْدِيَّة الأولى في نقد مدرسة فرانكفورت للوضعيّة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مفاهيمه، حتى في ذلك الوقت، كانت مختلفة جوهريًّا عن مفاهيم أدورنو وهوركايمر وماركيوز، حيث كانت أقلّ عداء للعلم والتكنولوجيا، كما أنّه لم يكترث، أو أنّه رفض ضمنيًّا، زعمهم القائل إنّ الفلسفة، أو الفن، شكلٌ من المعرفة متفوّق على </w:t>
      </w:r>
    </w:p>
    <w:p>
      <w:pPr>
        <w:pStyle w:val="BookText"/>
        <w:rPr/>
      </w:pP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فقد عوّل هابرماس أهميّة أكبر على العلم، وأعطى بالمقابل دورًا متناقصًا باضطراد للفلسفة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أحدث أعماله، يبرهن على أنّ الفلسفة لم يعد بوسعها أن ترتبط بالعالم ككل، أي بالطبيعة والتاريخ والمجتمع، بوصفها معرفة شموليّة، وأنّه ينبغي الآن التحرّي عن الموضوع الأساسي في الفلسفة، أي العقل، داخل الإطار النظري لعلم الاجتماع، باعتباره علمً عقلانيًّا</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وبالتأكيد فإنّ هابرماس يحاول التوحيد بين هذين المجالين من خلال نظريّته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الخطاب الخاصّة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توجد اعتراضات جديةّ على هذه النظريةّ، وعلى الهدف الذي يريد أن تحقّقه، أي إثبات أنّ الأحكام المعياريّة ليست ببساطة أمورًا تعسّفيّة، وإنّا هي سهلة المنال، شأنها كالأحكام الإمبيريقية، بالنسبة لسجال عقلي يمكن إحرازه، أو على الأقل الاقتراب منه بطرق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ذلك، تظلّ هذه النَّظَرِيَّة الجديدة قريبة من المَارْكِسِيَّة؛ لأنّها ووفقًا لما يقوله هابرماس، تقوم بنقد مجمل من العلوم الِجْتِمَعِيِّة المعاصرة والواقع الِجْتِمَعِيِّ التي تحاول أن تتناوله وتفهمه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ذلك رأينا كيف أنّ هابرماس راح يُيِّز بين ثلاثة توجّهات رئيسيّة للبحث في الدراسات الراهنة للمجتمعات الحديثة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الإتّجاه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سوسيوتاريخي نمطي مقارن، مشتقّ عمومًا من ماكس فيبر، وإن تأثّر إلى حدّ ما أيضًا بالتاريخ الماركسي، كما يبدو على سبيل المثال في أعمال رايت ميلز وبارنغتون مور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الإتّجاه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نظريّة التنظيم، الذي يُحلّل المجتمعات الحديثة من وجهة نظر وظيفيّة في إطار من التعقّد المتزايد، كما يبدو في أعمال تالكوت بارسونز، ولوهمان في ألمانيا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الإتّجاه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في الفعل، متأثّرة بالفلسفة الظاهراتيّة والتأويل والتفاعلية الرمزيّة، وتنصبّ اهتماماتها الرئيسيّة على فهم أو تفسير صور العالم وأشكال الحياة، أو بشكل أكثر عموميّة على نظريّة للحياة اليوميّة</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النقيض من هذه التوجُّهات الثلاثة، وبعد استعراضٍ موجزٍ للتطوّر التاريخي للنظرية النَّقْدِيَّة لمدرسة فرانكفورت أخذ هابرماس ينحو في اتّجاه مختلف، وهو اعتماد استراتيجيّة بحثيّة يطلق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البنيويّة التكوينيّة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كبديل لفلسفة التاريخ التي تبنّتها مدرسة فرانكفورت في حقبتها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رواد فرانكفورت ومعاثر الحداثة</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المعاثر التكوينية في الفكر التنويري الغربي، انه ألزَم نفسه بمنهجين صارمين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فينومينولوجي وتاريخاني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واكتفى بهما لمقاربة شأن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العلمانية بحقولها المعرفية المختلفة قيمةً حاكمةً على بنية هذا الفكر، سواءً في رؤيته للوجود، أو في هندسته المعرفية للنظام السياسي والاجتماعي والأخلاقي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وتبعاً لفرضيتنا من فكرة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بعد العلمانية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يسهم في تسويقها اليوم بعض الرواد المعاصرين لمدرسة فرنكفورت وفي مقدمهم الفيلسوف الألماني </w:t>
      </w:r>
    </w:p>
    <w:p>
      <w:pPr>
        <w:pStyle w:val="BookText"/>
        <w:rPr/>
      </w:pPr>
      <w:r>
        <w:rPr>
          <w:rFonts w:ascii="Amiri" w:hAnsi="Amiri" w:eastAsia="Amiri" w:cs="Amiri"/>
          <w:color w:val="111111"/>
          <w:sz w:val="28"/>
          <w:sz w:val="28"/>
          <w:szCs w:val="28"/>
          <w:rtl w:val="true"/>
          <w:lang w:bidi="ar-SA"/>
        </w:rPr>
        <w:t>المعاصر يورغن هابرماس ليست سوى إحدى التداعيات المترتبة على ما اقترفته العلمانية من عثراتٍ في النظر والعمل، يصير ضرورياً التعرُّف على مدى تأثرها بالمبدأ المؤسس لنظرية العلمنة</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تفضي القراءات الإجمالية إلى استنتاجٍ أوليٍّ مؤداه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هابرماس وصحبه من منظّري مدرسة فرانكفورت القدماء والجدد لم يغادروا المنهج التاريخاني في النظر إلى الدين بوصفه ظاهرةً سوسيو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هذا في الواقع إلى الأثر الكبير الذي تركته المادية التاريخية على جمعٍ وازنٍ من الفلاسفة وعلماء الاجتماع المعاصرين، خصوصاً أولئك المحتَسبين على مدرسة فرانكفورت التي كان هابرماس من أبرز روادها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لهذا يصح القول أن عناية هؤلاء بالشأن الديني كانت محكومةً بالمنهج العلماني لعلم اجتماع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أن الرأي المناهض للعلمانية بدا الأكثر رواجاً بين علماء الاجتماع حيث يؤكد أصحابه على ضرورة إحياء الحياة الدينية وينقدون النظريات والأسس العلمانية، فقد فعلوا ذلك بأدواتٍ ومناهج نظرٍ علمانيةٍ واضحة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حتى أولئك الذين ذهبوا أبعد من ذلك، وأعربوا عن اعتقادهم بقدرة الدين على قيادة المجتمعات البشرية لم يفارقوا المنطق المادي التاريخي لعلم اجتماع الدين</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الرغم من أنّ هابرماس قد تناول النظرية العلمانية بالشرح والتحليل في إطار رؤيةٍ محدودةٍ تقتصر على العالم </w:t>
      </w:r>
    </w:p>
    <w:p>
      <w:pPr>
        <w:pStyle w:val="BookText"/>
        <w:rPr/>
      </w:pPr>
      <w:r>
        <w:rPr>
          <w:rFonts w:ascii="Amiri" w:hAnsi="Amiri" w:eastAsia="Amiri" w:cs="Amiri"/>
          <w:color w:val="111111"/>
          <w:sz w:val="28"/>
          <w:sz w:val="28"/>
          <w:szCs w:val="28"/>
          <w:rtl w:val="true"/>
          <w:lang w:bidi="ar-SA"/>
        </w:rPr>
        <w:t>الأوروبي، إلا أنّ السبب الأساسي لشكّه في جدوى النظرية العلمانية يكمن في اعتقاده بعدم قدرتها على علمنة العالم،</w:t>
      </w:r>
      <w:r>
        <w:rPr>
          <w:rStyle w:val="FootnoteAnchor"/>
          <w:rtl w:val="true"/>
        </w:rPr>
        <w:footnoteReference w:id="115"/>
      </w:r>
      <w:r>
        <w:rPr>
          <w:rFonts w:ascii="Amiri" w:hAnsi="Amiri" w:eastAsia="Amiri" w:cs="Amiri"/>
          <w:color w:val="111111"/>
          <w:sz w:val="28"/>
          <w:sz w:val="28"/>
          <w:szCs w:val="28"/>
          <w:rtl w:val="true"/>
          <w:lang w:bidi="ar-SA"/>
        </w:rPr>
        <w:t>واللّافت في هذا المضمار أن نزعته الإيجابية نحو الدين عائدةٌ من جهةٍ إلى كونها موضوعاً فلسفياً مستقلاً، ومن جهةٍ ثانيةٍ إلى أنهّا نشأت لديه إثر انتعاش الحياة الدينية، وتوسُّع الظاهرة المعنوية في مختلف النواحي الاجتماعية والسياسية في جميع أرجاء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وبقطع النظر عما ذهب إليه هابرماس في حصر المقترح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المابعد علماني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بالغرب الأوروبي، واستثنائه لمجتمعات العالم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بالطبع يستلزم نقاشاً معمّقاً في مورد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السمة الأساسية للعصر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بعد العلماني الهابرماسي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التعددية الثقافية التي تتيح المجال أمام تعايش مختلف الأديان والتقاليد والأفكار الفلسفية في مرحلةٍ زمنيةٍ واحدةٍ وفي أغلب الأحيان هذه الفترة الزمنية تكون في إطار مجتمع غربي</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شك بأن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بعد العلمانية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شارك فيه عدد من المنتمين إلى المدرسة النقدية يومئ إلى اعترافٍ ولو متأخرٍ بدورالدين كمؤثرٍ في الشخصية الإنسانية في أغلب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البيِّ أنّ مثل هذا الاعتراف يشي بتخلٍ واضحٍ وصريحٍ عن محاولة العلمانية الإقصائية فرض نموذجٍ عدائيٍّ تجاه الدين باعتباره منافساً لها في إطار ما تسميه سعيها لتحرير الوعي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ما يجدر لفت الانتباه إليه هو أنّ هذا الإقرار ينطلق من ذهنيّةٍ علمانيّةٍ أولاً وآخراً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تعبر عنه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أحد ينتصر على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يقول بها </w:t>
      </w:r>
    </w:p>
    <w:p>
      <w:pPr>
        <w:pStyle w:val="BookText"/>
        <w:rPr/>
      </w:pPr>
      <w:r>
        <w:rPr>
          <w:rFonts w:ascii="Amiri" w:hAnsi="Amiri" w:eastAsia="Amiri" w:cs="Amiri"/>
          <w:color w:val="111111"/>
          <w:sz w:val="28"/>
          <w:sz w:val="28"/>
          <w:szCs w:val="28"/>
          <w:rtl w:val="true"/>
          <w:lang w:bidi="ar-SA"/>
        </w:rPr>
        <w:t>المؤيدون لعودة الدين إلى المجال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الذي يدل على أن هذه المعادلة صيغت تحت رعاية الدولة العلمانية، بحيث يكون الدين جزءاً من التنظيم العلماني للمجتمع ما بعد العلماني</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الإلحاد بأشكال مستحدثة</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هذه النتيجة سوف تضاعف من العناصر المساعدة على التحكم بالمجتمع الديني بحجة منع الدين مجدداً من التحكم بالمجتمعات المعاصرة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استعادة ثنائية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لقيصر لقيصر وما لله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قبيل عودة العلمانية من الباب الخلفي إلى مجتمعات الحداثة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يرى بعض نقاد أطروحات ما بعد العلمانية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العلمنة في مثل هذه الوضعية سوف تستمر بروحها وفرضياتها في الحكم على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معظم البلدان الأوروبيةّ تسود في الواقع علمنةُ الاعتراف بالدينيّ، أي إن العلمنة 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احترامها استقلاليّة كل من الدولة والأديان، ومع ضمانها للمبادئ الأساسيةّ للحرياّت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تعترف بمساهمات الأديان اجتماعياًّ وثقافياًّ ومدنياًّ، إلا أنها تدعو إلى إدماجها في الدائرة العامّة</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تلقاء هذا ثمة وجهة نظر أكثر تقدماً حيال الدين تقول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الاتحاد الأوروبيّ مختبرًا على المستوى الاجتماعي السياسيّ، فإنّه كذلك أيضًا على مستوى العلمنة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يخترع علمنةً، هي مع احترامها لامتيازات الدول الأعضاء حول </w:t>
      </w:r>
    </w:p>
    <w:p>
      <w:pPr>
        <w:pStyle w:val="BookText"/>
        <w:rPr/>
      </w:pPr>
      <w:r>
        <w:rPr>
          <w:rFonts w:ascii="Amiri" w:hAnsi="Amiri" w:eastAsia="Amiri" w:cs="Amiri"/>
          <w:color w:val="111111"/>
          <w:sz w:val="28"/>
          <w:sz w:val="28"/>
          <w:szCs w:val="28"/>
          <w:rtl w:val="true"/>
          <w:lang w:bidi="ar-SA"/>
        </w:rPr>
        <w:t>علاقات الكنيسة والدولة، تروح تضمن استقلاليّة السياسة والحريّة الفرديّة في وجه كلّ السلطات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تتعلّق هنا تحديداً بمخططٍ علمانيٍّ يمنح المشروعية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 بعد علماني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بإزاء ذلك يُطرح السؤال الاعتراضي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ستتصدى الدولة ما بعد العلمانية لظاهرة الانهيار المعنوي والأخلاقي التي تعصف بمجتمعات الغرب المعاصر، وعلى وجه الخصوص كيف ستواجه الإلحاد كظاهرة ساعية إلى إنتاج علمنة تقيم الحد على أي عودة للإيمان الديني؟</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يكن ج ا وب وَثَرة مدرسة فرنكفورت من المحدثين دقيقًا وحاسمً في هذا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فالمسألة الدينية بالنسبة لهؤلاء ظلت متصلة بعمق، بالفكرة الحادة للعلمانية حيال الدين مع أنّ هابرماس حاول أن يظهر خطابًا مرنًا في هذا الصدد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 قد لا يكون منطقياً الكلام على موقعية الدين والإيمان الديني في المجتمعات ما بعد علمانية، من دون النظر إلى تحديات الإلحاد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أفصح تاريخ العلمانية عن استشراء واسع النطاق للحالة الإلحادية لم تقتصر أسبابها على الإقصاء الذي مارسته الدولة العلمانية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فرنسا مثالاً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أيضاً وأساساً بسبب منظومة القيم الفلسفية للعقلانية الحادة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لهذا لم يكن ثمة عبارة أبلغ من توصيف مآلات العلمنة في الغرب بأنها حداثة ضد الله</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هذه العبارة ستدخل في صميم </w:t>
      </w:r>
    </w:p>
    <w:p>
      <w:pPr>
        <w:pStyle w:val="BookText"/>
        <w:rPr/>
      </w:pPr>
      <w:r>
        <w:rPr>
          <w:rFonts w:ascii="Amiri" w:hAnsi="Amiri" w:eastAsia="Amiri" w:cs="Amiri"/>
          <w:color w:val="111111"/>
          <w:sz w:val="28"/>
          <w:sz w:val="28"/>
          <w:szCs w:val="28"/>
          <w:rtl w:val="true"/>
          <w:lang w:bidi="ar-SA"/>
        </w:rPr>
        <w:t>مشاغل الفكر الناشط حول الأطروحة الما بعد علمانية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من شك في أن النقاش المعمَّق حول ثنائية الإيمان الديني والعلمنة، مرده إلى استشعار خطرين داهمين يحدقان بحاضر الغرب ومقبله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ضمور جاذبية العلمنة كتجربة ونظرية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عودة سؤال الإيمان كرد على الفراغ واستشراء الإلحاد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هنالك، بلا شك، رابط وطيد بين الخطرين المشار إليهما، بل وينتجان بعضهما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تعدُّ الظاهرة الإلحادية التي أسهمت فيها المدرسة النقدية بطريقة مباشرة وغير مباشرة، من أبرز البيِّنات على تهافت العلمنة وهي تخوض معاركها الفاصلة مع الإيمان الديني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فالإلحاد ما صار ظاهرة غربية إلا مع حداثة حرصت على نزع الإيمان حتى يتسنى لها الاستحواذ على دنيا الإنسان بلا أدنى منازعة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ما جاء به الإلحاد الغربي من محاجَّات، فإنما من تضخم الذات التي أسلمت نفسها لعَلْمنةٍ دارت جلُّ أسئلتها مدار فرضيتين مركزيتين حكمتا فكر الغرب الحديث بما فيها فكر مدرسة فرنكفورت سحابة أربعة قرون خلت</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قرَّرت أن العلم والتفكير العلمي قادران لوحدهما أن يحدِّدا كل ما علينا أن نتقبله على أنه 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كلّ شيءٍ يجب أن يخضع لقوانين الفيزياء والكيمياء والبيولوجيا، أو أيّ فرعٍ آخر من فروع العلم، أما الروحانيات وحتى الشعور بالجمال والحدس والعاطفة والأخلاقيات، فقد اختزلتها النظرة العقلانية إلى </w:t>
      </w:r>
    </w:p>
    <w:p>
      <w:pPr>
        <w:pStyle w:val="BookText"/>
        <w:rPr/>
      </w:pPr>
      <w:r>
        <w:rPr>
          <w:rFonts w:ascii="Amiri" w:hAnsi="Amiri" w:eastAsia="Amiri" w:cs="Amiri"/>
          <w:color w:val="111111"/>
          <w:sz w:val="28"/>
          <w:sz w:val="28"/>
          <w:szCs w:val="28"/>
          <w:rtl w:val="true"/>
          <w:lang w:bidi="ar-SA"/>
        </w:rPr>
        <w:t>مجرد متغيراتٍ في كيمياء الدماغ تتفاعل مع مجموعةٍ من القوانين الميكرو بيولوجية المرتبطة بتطوّر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فرضيّة الهيمنة والاستحواذ، لمَّا رأت أنّ الهدف من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يقول فرانسيس بيكون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التحكم بالعالم الخارجي واستغلال الطبيعة، والسعي الحثيث إلى جلب المنافع أنَّ وُجِدَت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أجل ذلك سيكشف مسار الحداثة الفائضة عن خرابٍ مبينٍ في اليقين الجمعي سيُعرِّفُهُ عالم الاجتماع الألماني دوركهايم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هيكل الشرك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في الواقع، ما تستجليه عقيدة الفرد وشخصانيته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فالشكل العبادي للشرك الحديث كما ألمحَ دوركهايم ليس الوثنية بل النرجسية البشرية، حيث بلغ تضخم الذات لديها منزلة الذروة في زمن العلمنة المطلقة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مقام التفكير الفلسفي جرت وقائع النقد على نحو شديد الوقع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إدانة عارمة للعقل المجرد، وكرهٍ عميقٍ لأيّ مشروعٍ يستهدف تحرير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الماركسية والعلمانية الليبرالية اللتين حملتا مشاريع بديلة للرأسمالية التقليدية لم تنجوا من سوط النقد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ذهب كثيرون من صنّاع الثقافة الغربية المعاصرة إلى النظر إليهما بوصفهما فلسفتين رجعيتين فقدتا رونقهما وعفا عليهما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ومبعث حكم كهذا من الأزمة الأخلاقية التي وَسَمت علمنة عصر التنوير ولمّا تنته إلى يومنا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صحيحاً أن العصر المشار إليه قد أتاح للإنسان تحرير ذاته من تقاليد العصور الوسطى، إلا أن إصرار علمانيِّيه على إحلال 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الذات الفردية محل المتعالي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سيقود إلى تناقضٍ ذاتيٍّ، حيث تُرك العقل مجرداً من الحقيقة الإلهية، ثم يتحول إلى مجرد أداةٍ للتصنيع وإدارة السوق ومن دون هدفٍ روحيٍّ أو أخلاقيٍّ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هذه الزاوية لم يرَ جمعٌ من فلاسفة ونقاد ما بعد الحداثة إلى أن علمانيةً بهذه الصفات، لا ترقى لتكون قيمةً أخلاقيّةً متساميةً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بيَّنه الفيلسوف الأميركي جون راولز وكان حاسماً، لمّا رأى أن العلمانية ليست قيمةً أخلاقيّةً أو مفهوماً للخير، على الرغم من أنّها شكلت في وجهٍ من وجوهها إحدى قيم العدالة لجهة دعوتها إلى حريّة الاعتقاد لدى الأفراد</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عودة سؤال الدين</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ينحصر التنظير للفكرة 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بعد علمانية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بالفلاسفة وعلماء الاجتماع، إذ إنّ ثمة بيئةً وازنةً تتضافر فيها الرؤيتان الفلسفية واللاَّهوتية، لتنتجا معاً سياقاً معرفياً ينطوي على مقدماتٍ تأسيسيّةٍ لتكاملٍ مفترضٍ بين هموم الإنسان المعاصر المادية والروحية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البيِّ أنّ أطروحة التناقض بين العقل والإيمان الديني كتعبيرٍ عن مشروع التنوير الذي افتتحته الحداثة في مقتبل عمرها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 فضاء الغرب نفسه من يُساجل أهل الأطروحة ليُبيِّ أن الإيمان لو كان نقيضاً للعقل لكان يميل إلى نزع الصفة الإنسانية عن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فالإيمان الذي يدمِّر العقل يدمر في المقابل نفسه ويدمر إنسانية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يقدر سوى كائن يمتلك بنية العقل على أن يكون لديه </w:t>
      </w:r>
    </w:p>
    <w:p>
      <w:pPr>
        <w:pStyle w:val="BookText"/>
        <w:rPr/>
      </w:pPr>
      <w:r>
        <w:rPr>
          <w:rFonts w:ascii="Amiri" w:hAnsi="Amiri" w:eastAsia="Amiri" w:cs="Amiri"/>
          <w:color w:val="111111"/>
          <w:sz w:val="28"/>
          <w:sz w:val="28"/>
          <w:szCs w:val="28"/>
          <w:rtl w:val="true"/>
          <w:lang w:bidi="ar-SA"/>
        </w:rPr>
        <w:t>هماً أقصى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يكون شغوفاً بالله والإنسان في آنٍ، وذلك إلى الدرجة التي يؤول به هذا الشغف إلى تخطي الثنائية السلبية التي تصنع القطيعة بين طرفيها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من يمتلك ملكة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العقل الخلاَّق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العقل الجامع بين الإيمان بالله والإيمان بالإنسانيّة هو الذي يفلح بفتح منفذٍ فسيحٍ يصل بين الواقع الفيزيائي للإنسان وحضور المقدس في حياته</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أن المجتمعات العلمانية لم تستأصل البعد الروحاني للإنسان، لكنها استنزلته إلى أدنى مراتب الاهتمام الأخلاقي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إلا لشغفها بليبرالية الاقتصاد والسياسة، واستغراقها في تعظيم الذات الفردية، وسعيها إلى الاستقلال المفرط عن أيّ معياريّةٍ أخلاقيّةٍ تنظم الاجتماع البشري على مبدإ الرحمانيّة والعدل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النتيجة التي أدّت إليها أفعال العلمنة، فكانت فقدان العقل دوره في تحكيم الجدالات الأخلاقية، وعدم قبول أي شيءٍ معياريٍّ خارج التحكيم الشخصي</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أيضًا أن الحداثة انتصرت على اللاّهوت، لكن رحلة الاستيقاظ بدأت وإن ببطءٍ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العودة إلى سؤال الدين والإيمان الديني سواءً على مستوى النخب أو على مستوى الوجدان العام هو تجلٍ من تجليات تلك الرحلة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ما يدل على تلك العودة سوى ما يسري اليوم من جدل مضنٍ لتظهير صيغة الوئام المأمول بين شأن العالم وشأن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يتخذ النقاش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w:t>
      </w:r>
    </w:p>
    <w:p>
      <w:pPr>
        <w:pStyle w:val="BookText"/>
        <w:rPr/>
      </w:pPr>
      <w:r>
        <w:rPr>
          <w:rFonts w:ascii="Amiri" w:hAnsi="Amiri" w:eastAsia="Amiri" w:cs="Amiri"/>
          <w:color w:val="111111"/>
          <w:sz w:val="28"/>
          <w:sz w:val="28"/>
          <w:szCs w:val="28"/>
          <w:rtl w:val="true"/>
          <w:lang w:bidi="ar-SA"/>
        </w:rPr>
        <w:t xml:space="preserve">بعد العلمانية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مساراً أكثر تحرراً من عقدة ماضويات الحداثة وأوثانها الثقافية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لتحصيل اليقين المتشظي في زمن الحداثة الفائضة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يبقى السؤال الأكثر مدعاة للنقاش المقبل، والذي لا بد من طرحه في نهاية هذه الخاتمة هو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بعد العلمانية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يكون ثمة سياقٌ تاريخيٌّ حضاريٌّ آخر تستثيره مثل هذه الأطروحة، ويستوي فيه شأن العالم مع شأن الروح على نصاب التكافؤ الخلاّق</w:t>
      </w:r>
      <w:r>
        <w:rPr>
          <w:rStyle w:val="FootnoteAnchor"/>
          <w:rtl w:val="true"/>
        </w:rPr>
        <w:footnoteReference w:id="12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هو سؤالٌ يستأهل الخوض في رحابه على الرغم من طابعه الاستباقي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بأنه يستدرج إلى منفسحٍ تنظيريٍّ لا يقتصر على الغرب الأوروبي وحسب، وإنّا أيضاً على بقية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مناص من الإشارة هنا بوجهٍ خاصٍ إلى ما يتوقع من تنظيراتٍ في مجتمعاتنا العربية والإسلاميّة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الرغم من أن الدخول إلى فكرة ما بعد العلمانيّة والسفر في عوالمها، لا يزال ينطوي على حذرٍ لافتٍ بين مفكري وفلاسفة الغرب، فلا ينفك التعامل مع هذه الفكرة وما قبلها في البلاد العربية والإسلامية بمنهج نظرٍ يشوبه التبسيط والاختزال، مثلما يحكمه الاندهاش والاستغراب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تهافت النسبية الأخلاقية في ضوء الرؤية القرآنية</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لما دأبت عليه المدرسة النقدية ممثّلة بتيار فرانكفورت في نظرتها إلى التطوّر التاريخي للمجتمع البشري فإن الرؤية الدينية الإسلامية ترى إلى المجتمع على أنه مكوّنٍ حقيقيٍّ وليس كيانًا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اعتبارياً، وهذا الأمر ثابتٌ لا يمكن التشكيك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الحقيقة يبيِّنها المفكرون المسلمون في تحقيقاتهم الفلسفية كما يؤكد عليها القرآن الكريم في آياتٍ عديدةٍ،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لِكُلِّ أُمَّةٍ أَجَلٌ إِذَا جَاءَ أَجَلُهُمْ فلََ يَسْتَأْخِرُونَ سَاعَةً وَلَ يَسْتَقْدِمُونَ </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 وهناك آياتٌ تدلّ على أنّ الله العزيز الحكيم أهلك بعض الشعوب والأمم ممّ يعني أنّ مصير المجتمعات ليس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ىسبيل المثال، عندما ينحرف قومٌ فإنّهم يتعرّضون للبلاء حتّى وإن كانت بينهم ثلّةٌ صالحةٌ قليلةٌ، والعكس صحيحٌ؛ وهذه الحالة تدلّ بوضوحٍ على أنّ المجتمع مكوّنٌ حقيقيٌّ وليس اعتبارياً</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فالمكوّنات الطبيعية والكيميائية ليست لها أجزاءٌ مستقلّةٌ، بل هي مندمجةٌ مع بعضها ومنصهرةٌ في الشخصية الكلّية؛ في حين أنّ أعضاء المجتمع البشري ليسوا كذلك لأن شخصياتهم لا تندمج على نحو الانصهار والاستحالة في مجتمعهم المنضوين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يترتّب على نظرية دوركايم هو القول بالجبر الاجتماعي، بمعنى أنّ الفرد لا يمتلك أيّة إرادةٍ أو شخصيةٍ مستقلّةٍ، لذا فهو حينما يشعر بشيءٍ فذلك يعني شعور المجتمع بنفس هذا الشيء، وعندما يمتلك رغبةً معيّنةً فهذا يعني امتلاكه رغبةً اجتماعيةً، ومن ثم فهو ليس بشيءٍ إزاء مجتمعه ولا استقلال له بتاتاً؛ إلا أنّ الأمر الواقع هو احتفاظ المجتمع باستقلاله إلى حدٍّ ما في رحاب مجتمعه الذي هو عبارةٌ عن تركيبٍ حقيقيٍّ، وعلى هذا الأساس فهو قادرٌ على الانسلاخ من مجتمعه والانخراط </w:t>
      </w:r>
    </w:p>
    <w:p>
      <w:pPr>
        <w:pStyle w:val="BookText"/>
        <w:rPr/>
      </w:pPr>
      <w:r>
        <w:rPr>
          <w:rFonts w:ascii="Amiri" w:hAnsi="Amiri" w:eastAsia="Amiri" w:cs="Amiri"/>
          <w:color w:val="111111"/>
          <w:sz w:val="28"/>
          <w:sz w:val="28"/>
          <w:szCs w:val="28"/>
          <w:rtl w:val="true"/>
          <w:lang w:bidi="ar-SA"/>
        </w:rPr>
        <w:t>في مجتمعٍ آخر؛ كما له القدرة على السير خلافاً للتيار الاجتماعي ومن ثمّ قد يتمكّن من تغيير مسيرة التأريخ بالكامل وذلك من منطلق اختياره وتحرّره، وهذا الاعتقاد على خلاف الجبر الاجتماعي إذ إنّ حرّيته واستقلاله محفوظين إلى حدٍّ كبيرٍ</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النفس الإنسانية فهي ليست كما يصفها إميل دوركايم وهو أحد أبرز رواد مدرسة فرانكفورت بكونها تستبطن ذاتين مزدوجتين إحداهما فرديةٌ والأخرى اجتماعيةٌ، بل إنّها تنشأ متأثّرةً بالبيئة الاجتماعية المحيطة بها، وتتّصف بميزاتها في عين حرّيتها واستقلالها؛ لذا لا يمكن ادّعاء أنّ الإنسان له اثنتين من الأنا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يبدو متهافتاً إلى حدٍّ بعيد وهو ما يدعو إلى طرح السؤال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تمكّن دوركايم وأتباعه من إثبات مدَّعاهم في مختبراتهم التجريبية؟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بالطبع لا، فهذا المدَّعى في الحقيقة هو مجرَّد كلامٌ استدلاليٌّ لكنّه لا يتقوّم على برهانٍ معتبرٍ</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فالإنسان يدرك في ضميره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ترتكب الأفعال السيّئة هي بذاتها ترتكب الأفعال الحسنة، لذا فالحسن والقبح في الأفعال عبارةٌ عن مراتب مشكّكة للنفس الإنسانية، وكلّ فردٍ له شخصيةٌ واحدةٌ تارةً تفعل كذا وأخرى تقوم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الطبيعي أن هناك اختلافاً بين الأمر الذي له مراتب عدة وبين الأمر المزدوج المكوّن من شيئين متلازمين مع بعضهما بحيث تكون لكلّ جزءٍ منهما ماهيته الخاصّة، فالشجرة لها جذعٌ واحدٌ لكنّ تفريعاتها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أغصانها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عديدةٌ تتجّه إلى الأعلى والى جميع الجهات ناهيك عن أنّها ذات جذورٍ تغور في باطن الأرض، لكنّ ماهيتها واحدةٌ؛ لذا فالصحيح في فرضيتنا هو وحدة الذات رغم تعدّد الميزات التي تطرأ عليها</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التأسيس الأخلاقي لمدرسة فرنكفورت مثل سائر المدارس والتيارات التي أخذت بميتافيزيقيا التنوير مذهبًا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على النسبية، الأمر الذي يؤدي تهافت البناء الأخلاقي والقيمي بسبب خضوعه لمعايير الزمان والمكان والقوانين التي تحدِّدها الحكومات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شكّ في دقّة وعمق مفاهيم القرآن الحكيم التي لا يشوبها أيّ نقصٍ ولا خللٍ، ومن جملة المباحث التي نستشفّها منه بالنسبة إلى موضوع البحث تقسيمه النفس الإنسانية إلى أمّارة ولوّامة ومطمئنّة، وهذا التصنيف يطلق عليه الفلاسفة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الوحدة في الكثرة والكثرة في الوحدة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الوصف كما قلنا لا يعني تعدّد الذوات في النفس الواحدة، فهناك وازعٌ يجعل النفس أمّارةً، ووازعٌ آخر يجعلها لوّامةً، في حين أنّ وازعاً غير ذينك الوازعين يجعلها مطمئنّةً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فإن النفس الإنسانية حينما تتنزّل إلى مرتبةٍ دنيا وتتنصّل عن أوامر العقل السليم فهي تصبح أمّارةً كما يبيّ العلماء المسلمون، ولكنّها إن ارتفعت مرتبةً فسوف تعي الواقع بشكلٍ أفضل بحيث تلوم نفسها لتكون عندئذٍ لوّامةً؛ لذا إن قيل إنّ النفس مزدوجةً في باطنها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ثنائية الأنا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لا يبقى للملامة معنى في هذه الحالة، فاللّوم يعني فعل أمرٍ من قبل فاعلٍ معيٍّ ومن ثمّ يبادر هذا الفاعل بذاته إلى ملامة نفسه على ما فعلت، فهو القاضي والمدّعي والمدّعى عليه في هذه المحاكمة النفسية، وهذا هو معنى محاسبة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العزيز الحكيم في كتابه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لَ أقُسِْمُ بِيَوْمِ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 أُقْسِمُ بِالنَّفْسِ اللوََّّامَةِ </w:t>
      </w:r>
      <w:r>
        <w:rPr>
          <w:rFonts w:ascii="Amiri" w:hAnsi="Amiri" w:eastAsia="Amiri" w:cs="Amiri"/>
          <w:color w:val="111111"/>
          <w:sz w:val="28"/>
          <w:sz w:val="28"/>
          <w:szCs w:val="28"/>
          <w:lang w:bidi="ar-SA"/>
        </w:rPr>
        <w:t></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الوحدة النفسية قد أكّد عليها الله عزّ وجلّ في الآيات القرآنية التي تطرّقت إلى الحديث عن يوم القيامة والحساب، حيث منح لكلّ إنسانٍ روحاً واحدةً سوف تحاسب في يوم القيامة، فإن فعلت خيراً يكون جزاؤها خيراً وإن شرّاً فشرّاً؛ لذا وصف النفس التي تضمن حسن العاقبة بالمطمئنّة فقال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ياَ أيَتَّهَُا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ارْجِعِي إلَِ رَبكِِّ رَاضِيةًَ مَرْضِيةًَّ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 فِ 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وَادخُْلِ جَنتَّيِ </w:t>
      </w:r>
      <w:r>
        <w:rPr>
          <w:rFonts w:eastAsia="Amiri" w:cs="Amiri" w:ascii="Amiri" w:hAnsi="Amiri"/>
          <w:color w:val="111111"/>
          <w:sz w:val="28"/>
          <w:szCs w:val="28"/>
          <w:rtl w:val="true"/>
          <w:lang w:bidi="ar-SA"/>
        </w:rPr>
        <w:t>.</w:t>
      </w:r>
      <w:r>
        <w:rPr>
          <w:rStyle w:val="FootnoteAnchor"/>
        </w:rPr>
        <w:footnoteReference w:id="127"/>
      </w:r>
      <w:r>
        <w:rPr>
          <w:rFonts w:eastAsia="Times New Roman" w:cs="Times New Roman" w:ascii="Times New Roman" w:hAnsi="Times New Roman"/>
          <w:color w:val="111111"/>
          <w:sz w:val="28"/>
          <w:szCs w:val="28"/>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الإنسان حسب الرؤية القرآنية له شخصيةٌ واحدةٌ منبثقةٌ من ذاته الواحدة، وغاية ما في الأمر أنّه يطوي مراتب عديدة في حياته، لذا فإنّ نفسه الواحدة تكون أحياناً أمّارةً وأخرى لوّامةً أو مطمئنّةً، وهذه المزايا بطبيعة الحال تعكس مراتب مختلفة تعود في الأساس إلى كون الإنسان مخيراً في أفعاله وتصرّفاته، ودرجته الإيمانية بالطبع إنّا تكون وفق مرتبة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النظرية القرآنية نقول إنّ نظرية المفكّر إميل دوركايم خاطئةً سواءً عددناها مطروحةً في نطاق علم النفس أو الاجتماع، فشخصية الإنسان ليست مزدوجةً من ذاتين مستقلّتين عن بعضهما، </w:t>
      </w:r>
    </w:p>
    <w:p>
      <w:pPr>
        <w:pStyle w:val="BookText"/>
        <w:rPr/>
      </w:pPr>
      <w:r>
        <w:rPr>
          <w:rFonts w:ascii="Amiri" w:hAnsi="Amiri" w:eastAsia="Amiri" w:cs="Amiri"/>
          <w:color w:val="111111"/>
          <w:sz w:val="28"/>
          <w:sz w:val="28"/>
          <w:szCs w:val="28"/>
          <w:rtl w:val="true"/>
          <w:lang w:bidi="ar-SA"/>
        </w:rPr>
        <w:t>بل هي واحدةٌ ترتكب أفعالاً متنوّعةً باختيارها، ولا ضير في أن تقوم بأفعالٍ متضادّةٍ مع بعضها في الحسن والقبح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من الخطأ بمكانٍ عدّ أنّ للإنسان مصداقين من الأنا بحيث ينسى إحداهما وينتسب إلى الأخرى حينما يؤدّي أفعاله بحيث تصبح الأنا المنسية ماورائيةً عندما يستجيب للأنا التي يتحرّك على وفق أوامرها؛ فلو صحّ هذا الادّعاء لأصبح المتديّنون أكثر الناس غربةً عن أنفسهم لأنهم أركنوا الأنا الأولى جانباً ولم يستجيبوا لمتطلّباتها بحيث اقتصروا على أنا واحدةٍ تحثّهم على التقوى والاستقامة، لذا لا بدّ من عدّهم أكثر الناس تجاهلاً للروح الاجتماعية الأمر الذي يعني اشتراط التديّن بتجاهل الطابع الاجتماعي للحياة في حين أنّ الحقيقة على خلاف هذا المدّعى تماماً، لأنّ المؤمنين حقّاً ينتابهم شعورٌ اجتماعيٌّ جيّاشٌ أكثر من سواهم</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على ما ذكر نستنتج أنّ الإيديولوجيات التي يتبنّاها البشر ولا سيّما الإيديولوجيات الدينية، هي من المظاهر الأساسية للحياة الاجتماعية، والذين يتصوّرون أنّها تزول تزامناً مع التطوّر العلمي هم في الحقيقة لم يفهموا واقع البُنية الاجتماعية البشرية فهماً صائباً ولم يعرفوا معنى الإيديولوجية الدينية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حاول مناهضو الدين تبرير معتقداتهم المنحرفة بأيّة وسيلةٍ كانت، لكنّنا نقول لهم إن افترضنا أنّ كلامكم صحيحٌ، فلا بدّ من أن يندثر الدين بالكامل بعد التطوّر الكبير الذي شهده علم الاجتماع بفضل جهود إميل دوركايم، فهو كان يعتقد بأنّ الجهل هو السبب في اعتناق </w:t>
      </w:r>
    </w:p>
    <w:p>
      <w:pPr>
        <w:pStyle w:val="BookText"/>
        <w:rPr/>
      </w:pPr>
      <w:r>
        <w:rPr>
          <w:rFonts w:ascii="Amiri" w:hAnsi="Amiri" w:eastAsia="Amiri" w:cs="Amiri"/>
          <w:color w:val="111111"/>
          <w:sz w:val="28"/>
          <w:sz w:val="28"/>
          <w:szCs w:val="28"/>
          <w:rtl w:val="true"/>
          <w:lang w:bidi="ar-SA"/>
        </w:rPr>
        <w:t>الأديان، وكذا قال نظيره فيورباخ الذي كان ينظر إلى الإنسان نظرةً فرديةً ويعدّه ذا فطرتين إحداهما سليمةٌ والأخرى سيّئةٌ، لذا حينما يتأثّر بالمجتمع ويبتلى بفطرته السيّئة فهو ينتزع فطرته السليمة من ذاته ويفترضها موجودةً على أرض الواقع الخارجي</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السؤال الذي لا يزال يُطرح اليوم، وبعد مرور عقود على العواصف التي ضربت مدرسة فرانكفورت هو الذي يتركّز حول ما بقي من توجّهاتها الْفِكْرِيَّة والنظريّة في علم الاجتماع الغربي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 التحوُّلاَت الكبرى التي عصفت بنظام القيم في حقبة العولمة، أدّت إلى انعطافات نوعيّة في عالم الأفكار، وأسقطت الكثير من المعايير والقيم التي قامت عليها قرون متّصلة من حضارة الغرب الحديث</w:t>
      </w:r>
      <w:r>
        <w:rPr>
          <w:rFonts w:eastAsia="Amiri" w:cs="Amiri" w:ascii="Amiri" w:hAnsi="Amiri"/>
          <w:color w:val="111111"/>
          <w:sz w:val="28"/>
          <w:szCs w:val="28"/>
          <w:rtl w:val="true"/>
          <w:lang w:bidi="ar-SA"/>
        </w:rPr>
        <w:t xml:space="preserve">. </w:t>
      </w:r>
      <w:bookmarkStart w:id="155" w:name="pg16380_210421"/>
    </w:p>
    <w:p>
      <w:pPr>
        <w:pStyle w:val="Heading2"/>
        <w:numPr>
          <w:ilvl w:val="1"/>
          <w:numId w:val="1"/>
        </w:numPr>
        <w:rPr/>
      </w:pPr>
      <w:bookmarkStart w:id="156" w:name="__RefHeading___Toc6736836_1280447820"/>
      <w:bookmarkStart w:id="157" w:name="_Toc53"/>
      <w:bookmarkEnd w:id="155"/>
      <w:bookmarkEnd w:id="156"/>
      <w:r>
        <w:rPr>
          <w:rtl w:val="true"/>
        </w:rPr>
        <w:t>قائمة المراجع</w:t>
      </w:r>
      <w:bookmarkEnd w:id="157"/>
    </w:p>
    <w:p>
      <w:pPr>
        <w:pStyle w:val="BookText"/>
        <w:rPr/>
      </w:pP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المراجع باللّغة 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أدورنو، تيودور فون، محاضرات في علم الاجتماع، 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جورج كتورة، مركز الإنماء القومي،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أفاية محمد نورالدين، الحداثة والتواصل في الفلسفة النَّقْدِيَّة المعاصرة نموذج هبرماس، أفريقيا الشرق،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بدوي عبد الرحمن، موسوعة الفلسفة، الجزء الثاني، المؤسّسة العربية للدراسات والنشر،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بوتومور، توم، مدرسة فرانكفورت، 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هجرس، دار أويا للطباعة والنشر والتوزيع، طرابلس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1998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بومنير كمال وآخرون، ثيودور أدورنو من النقد إلى الإستيطيقا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مقاربات فلسفية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الأمان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بومنير، كمال، النَّظَرِيَّة النَّقْدِيَّة لمدرسة فرَانْكِفُورْتْ من ماكس هوركهايمر إلى أكسل هونيث، الدار العربية للعلومناشرون،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الجابري، علي حسين، محنة الإنسان، دار نينوى للدراسات والنشر والتوزيع،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الخوني محسن، التنوير والنقد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منزلة كانط في مدرسة فرانكفورت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الحوار للنشر والتوزيع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طاهر، علاء، مدرسة فرانكفورت من هوركهايمر إلى هبرماز، مركز الإنماء القومي،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طرابيشي، جورج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الفلاسفة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لفلاسفة، المناطقة، المتكلمون، اللاهوتيون، المتصوفون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الطليعة، جامعة كاليفورنيا،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لوران، آسون بول، مدرسة فرانكفورت، 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سعاد حرب، المؤسسة الجامعية للدراسات والنشر والتوزيع، 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المحمداوي علي عبود؛ ومهنانة إسماعيل، مدرسة فرانكفورت النَّقْدِيَّة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جدل التحرر والتواصل والاعتراف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النديم للنشر والتوزيع، وهران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مصدق، حسن، يورغن هابرماس ومدرسة فرانكفورت، النَّظَرِيَّة النَّقْدِيَّة التواصلية، المركز الثقافي العربي، الدارالبيضاء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هوكرايمر ماكس؛ تيودرو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أدونرو، جدل التنوير، 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جورج كتورة، دار الكتاب الجديد المتحدة، 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هوركهايمر، ماكس، بدايات فلسفة التاريخ البورجوازية، 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اليوسفي، دار التنوير والنشر والتوزيع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المراجع باللّغة الأجنبية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Assoun Paul-Laurent. (1996). L’école de Francfort– Que Sais-je ? Ed. Delta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Paris</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Besnier, jean michel, Histoire de la philosophie moderne et contemporaine (figures et oeuvres)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Bernard Grasset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PARIS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 xml:space="preserve">Bien, Joseph (1999). Audi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Robert. The Cambridge Dictionary of Philosophy. Cambridge: Cambridge University Pressp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Jean Marc Durand-Gasselin. (2012). L’école de Francfort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Editions Gallimard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McLellan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David (2005), Honderich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Ted. The Oxford Companion to Philosophy. Oxford: Oxford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Theodor, Adorno. (1992). Dialectique négative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traduit par: Gérard Coffin et autres, Éd. Payot, Paris, 1992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مواقع الانترنت</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هيغل في مدرسة فرانكفورت، موقع إلكتروني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حركة مصر المدنية</w:t>
      </w:r>
      <w:r>
        <w:rPr>
          <w:rFonts w:eastAsia="Amiri" w:cs="Amiri" w:ascii="Amiri" w:hAnsi="Amiri"/>
          <w:color w:val="111111"/>
          <w:sz w:val="28"/>
          <w:szCs w:val="28"/>
          <w:rtl w:val="true"/>
          <w:lang w:bidi="ar-SA"/>
        </w:rPr>
        <w:t>( ) .)</w:t>
      </w:r>
      <w:r>
        <w:rPr>
          <w:rFonts w:eastAsia="Times New Roman" w:cs="Times New Roman" w:ascii="Times New Roman" w:hAnsi="Times New Roman"/>
          <w:color w:val="111111"/>
          <w:sz w:val="28"/>
          <w:szCs w:val="28"/>
          <w:lang w:val="en-US" w:bidi="en-US"/>
        </w:rPr>
        <w:t>Civic egypt.org</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 / /:portal.dnb.de /opac.htm?method=simpleSearch&amp;cqlMode=true&amp;query=nid3%D123138647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موسوعة ستانفورد للفلسفة نسخة محفوظة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يونيو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Times New Roman" w:cs="Times New Roman" w:ascii="Times New Roman" w:hAnsi="Times New Roman"/>
          <w:color w:val="111111"/>
          <w:sz w:val="28"/>
          <w:szCs w:val="28"/>
          <w:lang w:val="en-US" w:bidi="en-US"/>
        </w:rPr>
        <w:t>Georg Lukács: Neo-Kantian Aesthetics</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عبود المحمداوي، اس اعيل مهنانه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مدرسة فرانكفورت النَّقْدِيَّة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جدل التحرر والتواصل والإعتراف، مجموعة مؤلفين، ابن نديم للنشر والتوزيع، دار الروافد الثقافية، ناشرون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حافظ دياب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مقدمته لكتاب توم بوتومور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مدرسة فرانكفورت،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هجرس، دار نويا، طرابلس، ليبيا،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حافظ دياب، من مقدمته لكتاب توم بوتومور، مصدر سابق،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حافظ دياب، من مقدمته لكتاب توم بوتومور، مصدر سابق،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أطروحة دكتوراه، منزلة كانط في مدرسة فرانكفورت، سنة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WIGGERHAUS (ROLF): l’ecole francfort .Histoire, developpement significatif. Traduit de l’allemand par lilyane berache. Gurcel .P.U.F, Paris .1993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أدرنو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عابرالضفاف الفلسفة والسيسيولوجيا والإستيطيقا، عبد القادر بودومة، مدرسة فرانكفورت النقدية،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القادر بودومة، المرجع السابق،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ABENSNOUR(Miguel): la théorie critique : une pensée de l’exil? in archives de philosophie -Avril-Juin 1982-P180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Jaspers. Karl, Essais philosophiques (philosophie et problèmes de notre temps), Petite Bibliothèque Payot, écrits : entre 1945 et 1962. p.18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لوران، آسون 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مدرسة فرانكفورت،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سعاد حرب، المؤسّسة الجامعية للدراسات والنشر والتوزيع، بيروت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حماد،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النَّظَرِيَّة النَّقْدِيَّة لمدرسة فرانكفورت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ماركيوز نموذجًا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دار الوفاء لدنيا الطباعة والنشر، الإسكندرية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تتبّعنا سيرة هذا المفكر نجد أنّه ابن تاجرٍ ألمانيٍّ واسع الثراء، أجبرته ضرورات عمل والده على الإقامة في الأرجنتين، والمجيء إلى ألمانيا في بعض الأحيان، وعندما بلغ التاسعة من عمره بعثته العائلة إلى مدينة فرانكفورت لمواصلة دراسته الثانوية في إعدادية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غوتيه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Goethe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أكمل دراسته العليا في جامعة فرانكفورت حديثة التأسيس، ولم ينقطع عن الدراسة في هذه الجامعة إلاّ سنةً واحدةً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قضاها في جامعة توبنغن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Tubingen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حيث ارتبط أثناء دراسته فيها بعدّة فعاليّاتٍ سياسيّةٍ يساريّةٍ ساد انتشارها آنذاك في الأوساط الجامعيّة لهذه المدينة، وواصل فليكس فايل بعد ذلك دراسته في جامعة فرانكفورت حتى حصل على درجة الدكتوراه في العلوم السياسية، طاهر، علاء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مدرسة فرانكفورت من هوركهايمر إلى هبرماز، مركز الإنماء القومي، لبنان،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يُشترط فيمن سيترأس المعهد أنّ يكون أستاذا قبل أي شيءٍ في إحدى الجامعات الألمانية؛ كي يحظى بعد ذالك بموافقةٍ إداريةٍ من قِبَل وزير الثقافة تُقرّر تسلمه مهام منصبه في إحدى المؤسّسات الأكاديمية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كارل جرونبرغ هو أستاذ القانون والعلوم السياسيّة في جامعة فيينا، وكذلك المؤسس والناشر لمجلة العمل وتاريخ الاشتراكيّة من عام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عام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وكان مقام المعهد 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Victoria Allèè 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زاوية بوكنهايمر لاند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ستراس </w:t>
      </w:r>
      <w:r>
        <w:rPr>
          <w:rFonts w:eastAsia="IRNazanin" w:cs="IRNazanin"/>
          <w:b w:val="false"/>
          <w:bCs w:val="false"/>
          <w:i w:val="false"/>
          <w:iCs w:val="false"/>
          <w:color w:val="333333"/>
          <w:sz w:val="20"/>
          <w:szCs w:val="20"/>
        </w:rPr>
        <w:t>Bochenheimer Land-strass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مساكن فرانكفورت الجامعيّة، لوران آسون بول، مدرسة فرانكفورت،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 د، حسن، النظرية النَّقْدِيَّة لمدرسة فرانكفورت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ماركيوز نموذجًا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مرجع سابق، ص </w:t>
      </w:r>
      <w:r>
        <w:rPr>
          <w:rFonts w:eastAsia="IRNazanin" w:cs="IRNazanin"/>
          <w:b w:val="false"/>
          <w:bCs w:val="false"/>
          <w:i w:val="false"/>
          <w:iCs w:val="false"/>
          <w:color w:val="333333"/>
          <w:sz w:val="20"/>
          <w:szCs w:val="20"/>
        </w:rPr>
        <w:t>101</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حماد، حسن، النظرية النَّقْدِيَّة لمدرسة فرانكفورت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ماركيوز نموذجًا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حماد، حسن، النظَّرَِيةَّ النقَّْدِيةَّ لمدرسة فرانكفورت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ماركيوز نموذجًا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مرجع سابق،</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عام </w:t>
      </w:r>
      <w:r>
        <w:rPr>
          <w:rFonts w:eastAsia="IRNazanin" w:cs="IRNazanin"/>
          <w:b w:val="false"/>
          <w:bCs w:val="false"/>
          <w:i w:val="false"/>
          <w:iCs w:val="false"/>
          <w:color w:val="333333"/>
          <w:sz w:val="20"/>
          <w:szCs w:val="20"/>
        </w:rPr>
        <w:t>1894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فريبورغ الألمانية، وهو ابن رجل أعمال ثريّ كان يرغب في توجيه ابنه للعمل في التجارة والشؤون المالية؛ لذلك درس بولوك الاقتصاد ولكنه ما لبث أنّ توجه للاهتمام بالشؤون الْفِكْرِيَّة والسياسية، فدرس مع الاقتصاد العلوم السياسية في جامعات ميونيخ وفريبورغ ثم جامعة فرانكفورت التي تحصل منها على درجة الدكتوراه في الاقتصاد عام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نظرية العملة عند ماركس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علاء، طاهر، مدرسة فرانكفورت من هوركهايمر إلى هبرماز،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حماد، حسن، النَّظَرِيةَّ النَّقْدِيةَّ لمدرسة فرانكفورت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ماركيوز نموذجًا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مرجع سابق،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بومنير، 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النَّظَرِيَّة النَّقْدِيَّة لمدرسة فرانكفورت من ماكس هوركهايمر إلى أكسل هونيث،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الدار العربية للعلوم،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حماد، حسن، النَّظَرِيَّة النَّقْدِيَّة لمدرسة فرانكفورت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ماركيوز نموذجًا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مرجع سابق،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هاو، آلن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النَّظَرِيَّة النَّقْدِيَّة، مدرسة فرانكفورت، 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ثائر ديب،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القاهرة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 العين للنشر،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Durand-Gasselin jean- Marc, L’École de Francfort, Éditions Gallimard 2012, p.p.49.50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بوتومور توم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مدرسة فرانكفورت، 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هجرس،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طرابلس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ليبيا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 أويا للطباعة والنشر والتوزيع،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حماد، حسن، النَّظَرِيَّة النَّقْدِيَّة لمدرسة فرانكفورت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ماركيوز نموذجًا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لوران آسون بول، مدرسة فرانكفورت، مرجع سابق،</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الدارس لمدرسة فرانكفورت يكتشف أنّ لها تسميات متعدّدة، الأمر الذي أدّى إلى لبسٍ في معرفة أي تسمية يمكن أن تعبّ حقيقةً عن المدرسة، ولقد أشار الباحث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توم بوتمور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هذه المشكلة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ويزيد من صعوبة هذه المهمّة تلك التسميات العديدة التي أطلقت على هذه المدرسة، من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النَّظَرِيَّة النقدية </w:t>
      </w:r>
      <w:r>
        <w:rPr>
          <w:rFonts w:eastAsia="IRNazanin" w:cs="IRNazanin"/>
          <w:b w:val="false"/>
          <w:bCs w:val="false"/>
          <w:i w:val="false"/>
          <w:iCs w:val="false"/>
          <w:color w:val="333333"/>
          <w:sz w:val="20"/>
          <w:szCs w:val="20"/>
        </w:rPr>
        <w:t>Criticaltheory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مجموعة أعضائها من المثقفين الألمان الذين اتخذوا من الفلسفة النَّقْدِيَّة رؤية لهم، والماركسية الأوروبية </w:t>
      </w:r>
      <w:r>
        <w:rPr>
          <w:rFonts w:eastAsia="IRNazanin" w:cs="IRNazanin"/>
          <w:b w:val="false"/>
          <w:bCs w:val="false"/>
          <w:i w:val="false"/>
          <w:iCs w:val="false"/>
          <w:color w:val="333333"/>
          <w:sz w:val="20"/>
          <w:szCs w:val="20"/>
        </w:rPr>
        <w:t>Euro marxism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تمييزًا لفكرها عن التفسيرات التي قدمها منظرو الأممية الثانية والثالثة للماركسية، وفكر الهجرة </w:t>
      </w:r>
      <w:r>
        <w:rPr>
          <w:rFonts w:eastAsia="IRNazanin" w:cs="IRNazanin"/>
          <w:b w:val="false"/>
          <w:bCs w:val="false"/>
          <w:i w:val="false"/>
          <w:iCs w:val="false"/>
          <w:color w:val="333333"/>
          <w:sz w:val="20"/>
          <w:szCs w:val="20"/>
        </w:rPr>
        <w:t>Migration thouth</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ومدرسة فرانكفورت </w:t>
      </w:r>
      <w:r>
        <w:rPr>
          <w:rFonts w:eastAsia="IRNazanin" w:cs="IRNazanin"/>
          <w:b w:val="false"/>
          <w:bCs w:val="false"/>
          <w:i w:val="false"/>
          <w:iCs w:val="false"/>
          <w:color w:val="333333"/>
          <w:sz w:val="20"/>
          <w:szCs w:val="20"/>
        </w:rPr>
        <w:t>Frankfurt school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الاسم الذي خلعوه عليها بعد عودتها من المهجر،كما يشير الباحث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محسن الخوني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مشكلة تعدد التسميات لمدرسة فرانكفورت، واضعًا هذا الأمر تحت اسم لبس التسمية؛ حيث يرى أنّ مدرسة فرانكفورت هي اليوم، التسمية الأكثر شيوعًا والأغلب على الاستعمال؛ للدلالة على تلك المجموعة من المفكرين، أمثال هوركهايمر وأدورنو وماركيوزوهابرماس؛ الذين قدموا أعمالا نظرية مشتركة وكانوا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 هابرماس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ينتمون في الأصل، إلى ما يسمى بمركز البحوث الاجتماعية، كما نجد الباحث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مارتن جاي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يعرج بدوره على مشكلة التسمية هذه، بحيث نجده في الغالب لا يميز عند حديثه عن المدرسة بين تسمية مدرسة فرانكفورت وتسمية مركز البحوث الِجْتِمَعِيِّة بالنسبة للفترة التاريخية السابقة على سنة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حيث يقول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لكن علينا أنّ نفهمأن فكرة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مدرسة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تُصَغْ إلاّ بعد أنّ أرغم المركز على مغادرة فرانكفورت، وعبارة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مدرسة فرانكفورت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نفسها لم تستعمل إلاّ بعد عودة المركز إلى ألمانيا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وانطلاقا من هذا فقد استخدمنا نحن بدورنا هاتين التسميتين دون تمييز بينهما، حماد، حسن، النَّظَرِيَّة النَّقْدِيَّة لمدرسة فرانكفورت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ماركيوز نموذجًا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مرجع سابق،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حماد، حسن، النَّظَرِيَّة النَّقْدِيَّة لمدرسة فرانكفورت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ماركيوز نموذجًا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مرجع سابق،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بوتومور توم، مدرسة فرانكفورت، مرجع سابق،</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حماد حسن، النَّظَرِيَّة النَّقْدِيَّة لمدرسة فرانكفورت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ماركيوز نموذجا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علاء، طاهر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مدرسة فرانكفورت من هوركهايمر إلى هبرماز، مرجع سابق،</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Besnier ,jean Michel, Histoire de la philosophie moderne et contemporaine (figures et oeuvres),Bernard Grasset, PARIS. P. 604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فيلسوف ألماني من أتباع الكانطية الجديدة، ولقد كان لهذا الفيلسوف تأثير كبير على كلٍّ من هوركهايمر وبولوك، خاصةً أنّ تيودور أدورنو كان أحد طلابه، والذي كان الزميل الدائم لهوركهايمر في معهد الأبحاث الِجْتِمَعِيِّة لمدرسة فرانكفورت، والشريك له في بعض الكتب والنشاطات الثقافية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بدوي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الفلسفة،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المؤسّسة العربية للدراسات والنشر،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الجزء الثاني،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Besnier, jean Michel, Histoire de la philosophie moderne et contemporaine, op.cit, p. 605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طاهر، علاء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مدرسة فرانكفورت من هوركهايمر إلى هبرماز،ط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مركز الإنماء القومي،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بوتومور توم، مدرسة فرانكفورت، 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هجرس، دار أويا للطباعة والنشر والتوزيع، طرابلس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ليبيا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بومنير، كمال وآخرون، ثيودور أدورنو من النقد إلى الإستيطيقا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مقاربات فلسفية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دارالأمان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بوتومور، توم، مدرسة فرانكفورت، مرجع سابق،</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لوران، آسون بول، مدرسة فرانكفورت، 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سعاد حرب، المؤسسة الجامعية للدراسات والنشر والتوزيع، بيروت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هوركايمر ماكس؛ تيودور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أدورنو، جدل التنوير، 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جورج كتورة، دار الكتاب الجديد المتحدة،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لوران، آسون بول، مدرسة فرانكفورت، مرجع سابق،</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بومنير، كمال وآخرون، تيودور أدورنو من النقد إلى الإستطيقا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مقاربات فلسفية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مرجع سابق،</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علاءطاهر، مدرسة فرانكفورت من هوركهايمر إلى هبرماز، مرجع سابق،</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بوتومور، توم، مدرسة فرانكفورت، مرجع سابق، ص </w:t>
      </w:r>
      <w:r>
        <w:rPr>
          <w:rFonts w:eastAsia="IRNazanin" w:cs="IRNazanin"/>
          <w:b w:val="false"/>
          <w:bCs w:val="false"/>
          <w:i w:val="false"/>
          <w:iCs w:val="false"/>
          <w:color w:val="333333"/>
          <w:sz w:val="20"/>
          <w:szCs w:val="20"/>
        </w:rPr>
        <w:t>19</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المحمداوي، علي عبود؛ وإسماعيل، مهنانة، مدرسة فرانكفورت النقدية، مرجع سابق،</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الجابري، علي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محنة الإنسان بين العلم والفلسفة والدين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دراسة لعلاقة العلوم المعاصرة بالمعرفةالقلبية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 نينوى للدراسات والنشر والتوزيع،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بوتومور، توم، مدرسة فرانكفورت، مرجع سابق،</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أدورنو، تيودور 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علم الاجتماع، 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جورج كتورة،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مركز الإنماء القومي،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بومنير 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النَّظَرِيَّة النَّقْدِيَّة لمدرسة فرانكفورت من ماكس هوركهايمر إلى أكسل هونيث،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الدار العربية للعلوم ناشرون،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بومنير كمال، النَّظَرِيَّة النَّقْدِيَّة لمدرسة فرانكفورت من ماكس هوركهايمر إلى أكسل هونيث، مصدر سابق،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أستاذ ب واحث أكاديمي جزائري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المحمداوي علي عبود، وإسماعيل مهنانة، مدرسة فرانكفورت النقدية، مرجع سابق،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Jean Marc Durand-Gasselin, L’école de Francfort, Editions Gallimard, 2012, op.cit.p.25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المحمداوي علي عبود، وإسماعيل مهنانة، مدرسة فرانكفورت النقدية، مرجع سابق،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الخوني محسن، التنوير والنقد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منزلة كانط في مدرسة فرانكفورت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سوريا، دار الحوار للنشر والتوزيع،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أفاية، محمد نورالدين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الحداثة والتواصل في الفلسفة النَّقْدِيَّة المعاصرة نموذج هبرماس،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المغرب، أفريقيا الشرق،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الخوني محسن، التنوير والنقد، مرجع سابق،</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الخوني محسن، التنوير والنقد، مرجع سابق،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أفاية، محمد نورالدين، الحداثة والتواصل في الفلسفة النَّقْدِيَّة المعاصرة نموذج هبرماس، مرجع سابق،</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المحمداوي، علي عبود؛ وإسماعيل مهنانة، مدرسة فرانكفورت النقدية، مرجع سابق،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الخوني، محسن، هيغل في مدرسة فرانكفورت،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Civic egypt.org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الزيارة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2019</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هوركهايمر، ماكس، بدايات فلسفة التاريخ البورجوازية، 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علي اليوسفي،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 التنوير والنشر والتوزيع،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هوركهايمر، ماكس، بدايات فلسفة التاريخ البورجوازية، 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علي اليوسفي،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 التنوير والنشر والتوزيع،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Theodor, Adorno, Dialectique négative, traduit par: Gérard Coffin ET autres, Éd. Payot, Paris. 1992, p. 254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هور كهايمر ماكس، بدايات فلسفة التاريخ البورجو ازية، مصدر سابق،</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الخوني محسن، هيغل في مدرسة فرانكفورت،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Civic egypt.org</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مرجع سابق</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Horkheimer , Max, Notes Critiques, Trad. Sabine Cornille et Philippe Ivernel, Éd. Payot, Paris. 1993, p.p. : 44.45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Assoun Paul-Laurent, L’école de Francfort– Que Sais-je ? Ed. Delta, Paris, 1996, p. 65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المحمداوي، علي عبود؛ وإسماعيل مهنانة، مدرسة فرانكفورت النقدية، مرجع سابق،</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مصدق، حسن، يورغن هابرماس ومدرسة فرانكفورت، النَّظَرِيَّة النَّقْدِيَّة التواصلية،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الدار البيضاء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المركز الثقافي العربي،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المحمداوي علي عبود، وإسماعيل مهنانة، مدرسة فرانكفورت النقدية، مرجع سابق،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مصدق، حسن، يورغن هابرماس ومدرسة فرانكفورت، النَّظَرِيَّة النَّقْدِيَّة التواصلية، مرجع سابق،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بوتومور، توم، مدرسة فرانكفورت، مرجع سابق،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أفاية، محمد نورالدين، الحداثة والتواصل في الفلسفة النَّقْدِيَّة المعاصرة نموذج هبرماس، مرجع سابق،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المحمداوي، علي عبود؛ وإسماعيل مهنانة، مدرسة فرانكفورت النقدية، مرجع سابق،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أفاية، محمد نورالدين، الحداثة والتواصل في الفلسفة النَّقْدِيَّة المعاصرة نموذج هبرماس، مرجع سابق،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المحمداوي، علي عبود؛ وإسماعيل، مهنانة، مدرسة فرانكفورت النقدية، مرجع سابق،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هوركهايمر، ماكس؛ وأدورنو، تيودور، جدل التنوير، مرجع سابق،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المحمداوي، علي عبود؛ وإسماعيل مهنانة، مدرسة فرانكفورت النقدية، مرجع سابق،</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الغفار مكاوي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النَّظَرِيَّة النَّقْدِيَّة لمدرسة فرانكفورت، مهيد وتعقيب نقدي، مؤسّسة ت هنداوي سي آي سي </w:t>
      </w:r>
      <w:r>
        <w:rPr>
          <w:rFonts w:eastAsia="IRNazanin" w:cs="IRNazanin"/>
          <w:b w:val="false"/>
          <w:bCs w:val="false"/>
          <w:i w:val="false"/>
          <w:iCs w:val="false"/>
          <w:color w:val="333333"/>
          <w:sz w:val="20"/>
          <w:szCs w:val="20"/>
        </w:rPr>
        <w:t>2018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الغفار مكاوي، النَّظَرِيَّة النَّقْدِيَّة لمدرسة فرانكفورت، تمهيد وتعقيب نقدي، مرجع سابق،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الغفار مكاوي، النَّظَرِيَّة النَّقْدِيَّة لمدرسة فرانكفورت، تمهيد وتعقيب نقدي، مرجع سابق،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الغفار مكاوي، النَّظَرِيَّة النَّقْدِيَّة لمدرسة فرانكفورت، تمهيد وتعقيب نقدي، مرجع سابق،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الغفار مكاوي، النَّظَرِيَّة النَّقْدِيَّة لمدرسة فرانكفورت، تمهيد وتعقيب نقدي، مرجع سابق،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الغفار مكاوي، النَّظَرِيَّة النَّقْدِيَّة لمدرسة فرانكفورت، تمهيد وتعقيب نقدي، مرجع سابق،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 robert, dictionnaired’apprentissage de la langue française, rédactiondirigée par Alain Rey, 2006. p. 712- 713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Habermasjürgen, théorie de l’agircommunicationnel, Tome 1, Fayard, 1987 p.348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هوركهايمر، ماكس؛ أدورنو، ثيودور، جدل التنوير شذرات فلسفيّة، ترجمة الدكتور جورج كتورة، دار الكتاب الجديد المتحدة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هوركهايمر، ماكس؛ أدورنو، ثيودور، جدل التنوير شذرات فلسفيّة، ترجمة الدكتور جورج كتورة، دار الكتاب الجديد المتحدة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هاو، آلان، النَّظَرِيَّة النقديّة، مدرسة فرانكفورت، ترجمة ثائر ديب، المركز القومي للترجمة،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هوركهايمر، ماكس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النَّظَرِيَّة التقليديّة والنظريّة التقليديّة،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الناوي، الطبقة الأولى، عيون المقالات،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هاو آلان، النَّظَرِيَّة النقديّة، مدرسة فرانكفورت، مرجع سابق،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Schroyer, T. Critique de la Domination, Payot, Paris, 1979, p. 136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Bottomore, T. : The Frankfurt School , Routledge and Kegan paul, London, 1989m p. II</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Frandin, J.: Rationalité et Agir Communi-cationnel Chez Habermas in (Revue Critique)m N 464- 465, Paris, 1986, P. 519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523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حافظ دياب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مراجعة لكتاب توم بوتومور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مدرسة فرانكفورت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أسعد هجرس، لا ط، طرابلس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ليبيا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 أويا للطباعة،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Abensour, M. Theorie Critique- Une pensée de L’éxil in (Archives de pholosphie), N 45, paris, 1982, P. 134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توم بوتومور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مدرسة فرانكفورت،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أسعد هجرس،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طرابلس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ليبيا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 أويا،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حول مشكلات التحليل الماركسي لمختلف أشكال المجتمع وتحولاتها، راجع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Bottomore, T. (edd): Dictionary of Marxist Thought, Blackwell, Oxford, 1983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Hilferdingsm R. : Finance Capital, 1910, English Ttranslation, Routledge and Kegan Paulm London, 1981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على ذلك الدراسات التي قدّمها هنريك جروسمان، وفرانز نيومان، والتي سبقت الإشارة إليها، إضافة إلى دراسات أرنست مندل، وبول سويزي</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Ossowski, S. : Class Structure in the Social Consciousness, Routledge and Kegan Paul, London, 1963, p. 71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Ipid – P. 72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توم بوتو مور، مدرسة فرانكفورت، مصدر سبق ذكره،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Theorie des Kommunikativen Handelms, 2 Vols., Suhrkamp, Frankfurt, 1981, 99 15- 24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توم بوتومور، مدرسة فرانكفورت، مصدر سابق،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حيدر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بعد العلمانية – مقاربة تحليلية نقدية لمنشأ المفهوم وما آلته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المركز الاسلامي للدراسات الاستراتيجية بيروت – </w:t>
      </w:r>
      <w:r>
        <w:rPr>
          <w:rFonts w:eastAsia="IRNazanin" w:cs="IRNazanin"/>
          <w:b w:val="false"/>
          <w:bCs w:val="false"/>
          <w:i w:val="false"/>
          <w:iCs w:val="false"/>
          <w:color w:val="333333"/>
          <w:sz w:val="20"/>
          <w:szCs w:val="20"/>
        </w:rPr>
        <w:t>2019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آرمان زارعي – ما بعد العلمانية في فكر يورغن هابرماس – فصلية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الاستغراب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الثامن – صيف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Desecularization of the World</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حيدر – ما بعد العلمانية – المصدر نفسه –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Massignon B. – Les relations entre les institutions religieuses et l’Union européenne : un laboratoire de gestion de la pluralité religieuse et philosophique ?Par�- is, 2003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العلاقات بين المؤسّسات الدينيّة والاتحاد الأوروبيّ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مختبر لإدارة التعدّديّة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دانيال هيرفيو ليجيه – الكاثوليكية نهاية العالم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Catholicisme la fin D’un Monde .Bayard-Paris, 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أيضاً تعريباً لهذه المقالة في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مدارات غربية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الثالث –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جورجيت حداد – بيروت – باريس – خريف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حيدر – ما بعد العلمانية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سبق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تيليتش – بواعث الإيمان –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الغانمي – دار الجمل – بيروت –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حيدر – تدني الإلحاد – فصلية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الاستغراب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ربيع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دجاكام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الفلسفة الغربية بروية الشيخ مرتضى مطهري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أسعد مندي الكعبي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المركز الإسلامي للدراسات الاستراتيجية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دجاكام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الفلسفة الغربية بروية الشيخ مرتضى مطهري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أسعد مندي الكعبي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المركز الإسلامي للدراسات الاستراتيجية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القيامة، الآيتان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الفجر، الآيات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مرتضى مطهّري، مجموعة الآثار الكاملة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دجاكام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image" Target="media/image2.jpeg"/><Relationship Id="rId159" Type="http://schemas.openxmlformats.org/officeDocument/2006/relationships/image" Target="media/image2.jpeg"/><Relationship Id="rId160" Type="http://schemas.openxmlformats.org/officeDocument/2006/relationships/footer" Target="footer153.xml"/><Relationship Id="rId161" Type="http://schemas.openxmlformats.org/officeDocument/2006/relationships/footnotes" Target="footnotes.xml"/><Relationship Id="rId162" Type="http://schemas.openxmlformats.org/officeDocument/2006/relationships/numbering" Target="numbering.xml"/><Relationship Id="rId163" Type="http://schemas.openxmlformats.org/officeDocument/2006/relationships/fontTable" Target="fontTable.xml"/><Relationship Id="rId164" Type="http://schemas.openxmlformats.org/officeDocument/2006/relationships/settings" Target="settings.xml"/><Relationship Id="rId1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156</Pages>
  <Words>27540</Words>
  <Characters>138675</Characters>
  <CharactersWithSpaces>165625</CharactersWithSpaces>
  <Paragraphs>928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2026-08-25T12:36:56Z</dcterms:created>
  <dc:creator>ghaemiyeh.com</dc:creator>
  <dc:description/>
  <dc:language>en-US</dc:language>
  <cp:lastModifiedBy/>
  <dcterms:modified xsi:type="dcterms:W3CDTF">2026-08-25T16:07:02Z</dcterms:modified>
  <cp:revision>1</cp:revision>
  <dc:subject/>
  <dc:title>سلسلة مصطلحات معاصرة جلد 40</dc:title>
</cp:coreProperties>
</file>

<file path=docProps/custom.xml><?xml version="1.0" encoding="utf-8"?>
<Properties xmlns="http://schemas.openxmlformats.org/officeDocument/2006/custom-properties" xmlns:vt="http://schemas.openxmlformats.org/officeDocument/2006/docPropsVTypes"/>
</file>