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الکلام الإسلامی المعاصر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69565_1280447820">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5369567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69569_1280447820">
            <w:r>
              <w:rPr>
                <w:webHidden/>
                <w:rStyle w:val="IndexLink"/>
                <w:rtl w:val="true"/>
              </w:rPr>
              <w:t>الفهرس</w:t>
            </w:r>
            <w:r>
              <w:rPr>
                <w:rStyle w:val="IndexLink"/>
                <w:rtl w:val="true"/>
              </w:rPr>
              <w:tab/>
            </w:r>
            <w:r>
              <w:rPr>
                <w:rStyle w:val="IndexLink"/>
              </w:rPr>
              <w:t>13</w:t>
            </w:r>
          </w:hyperlink>
        </w:p>
        <w:p>
          <w:pPr>
            <w:pStyle w:val="Contents2"/>
            <w:tabs>
              <w:tab w:val="clear" w:pos="8743"/>
              <w:tab w:val="right" w:pos="9026" w:leader="dot"/>
            </w:tabs>
            <w:rPr/>
          </w:pPr>
          <w:hyperlink w:anchor="__RefHeading___Toc5369571_1280447820">
            <w:r>
              <w:rPr>
                <w:webHidden/>
                <w:rStyle w:val="IndexLink"/>
                <w:rtl w:val="true"/>
              </w:rPr>
              <w:t xml:space="preserve">الباب الخامس </w:t>
            </w:r>
            <w:r>
              <w:rPr>
                <w:rStyle w:val="IndexLink"/>
                <w:rtl w:val="true"/>
              </w:rPr>
              <w:t>:</w:t>
            </w:r>
            <w:r>
              <w:rPr>
                <w:rStyle w:val="IndexLink"/>
                <w:rtl w:val="true"/>
              </w:rPr>
              <w:t>الإمامة</w:t>
            </w:r>
            <w:r>
              <w:rPr>
                <w:rStyle w:val="IndexLink"/>
                <w:rtl w:val="true"/>
              </w:rPr>
              <w:tab/>
            </w:r>
            <w:r>
              <w:rPr>
                <w:rStyle w:val="IndexLink"/>
              </w:rPr>
              <w:t>18</w:t>
            </w:r>
          </w:hyperlink>
        </w:p>
        <w:p>
          <w:pPr>
            <w:pStyle w:val="Contents3"/>
            <w:tabs>
              <w:tab w:val="clear" w:pos="8459"/>
              <w:tab w:val="right" w:pos="9026" w:leader="dot"/>
            </w:tabs>
            <w:rPr/>
          </w:pPr>
          <w:hyperlink w:anchor="__RefHeading___Toc5369573_1280447820">
            <w:r>
              <w:rPr>
                <w:webHidden/>
                <w:rStyle w:val="IndexLink"/>
                <w:rtl w:val="true"/>
              </w:rPr>
              <w:t>إشارة</w:t>
            </w:r>
            <w:r>
              <w:rPr>
                <w:rStyle w:val="IndexLink"/>
                <w:rtl w:val="true"/>
              </w:rPr>
              <w:tab/>
            </w:r>
            <w:r>
              <w:rPr>
                <w:rStyle w:val="IndexLink"/>
              </w:rPr>
              <w:t>18</w:t>
            </w:r>
          </w:hyperlink>
        </w:p>
        <w:p>
          <w:pPr>
            <w:pStyle w:val="Contents3"/>
            <w:tabs>
              <w:tab w:val="clear" w:pos="8459"/>
              <w:tab w:val="right" w:pos="9026" w:leader="dot"/>
            </w:tabs>
            <w:rPr/>
          </w:pPr>
          <w:hyperlink w:anchor="__RefHeading___Toc5369575_1280447820">
            <w:r>
              <w:rPr>
                <w:webHidden/>
                <w:rStyle w:val="IndexLink"/>
              </w:rPr>
              <w:t>18</w:t>
            </w:r>
            <w:r>
              <w:rPr>
                <w:rStyle w:val="IndexLink"/>
                <w:rtl w:val="true"/>
              </w:rPr>
              <w:t>.</w:t>
            </w:r>
            <w:r>
              <w:rPr>
                <w:rStyle w:val="IndexLink"/>
                <w:rtl w:val="true"/>
              </w:rPr>
              <w:t>الإمامة العامّة</w:t>
            </w:r>
            <w:r>
              <w:rPr>
                <w:rStyle w:val="IndexLink"/>
                <w:rtl w:val="true"/>
              </w:rPr>
              <w:tab/>
            </w:r>
            <w:r>
              <w:rPr>
                <w:rStyle w:val="IndexLink"/>
              </w:rPr>
              <w:t>19</w:t>
            </w:r>
          </w:hyperlink>
        </w:p>
        <w:p>
          <w:pPr>
            <w:pStyle w:val="Contents4"/>
            <w:tabs>
              <w:tab w:val="clear" w:pos="8176"/>
              <w:tab w:val="right" w:pos="9026" w:leader="dot"/>
            </w:tabs>
            <w:rPr/>
          </w:pPr>
          <w:hyperlink w:anchor="__RefHeading___Toc5369577_1280447820">
            <w:r>
              <w:rPr>
                <w:webHidden/>
                <w:rStyle w:val="IndexLink"/>
              </w:rPr>
              <w:t>18</w:t>
            </w:r>
            <w:r>
              <w:rPr>
                <w:rStyle w:val="IndexLink"/>
                <w:rtl w:val="true"/>
              </w:rPr>
              <w:t xml:space="preserve">/ </w:t>
            </w:r>
            <w:r>
              <w:rPr>
                <w:rStyle w:val="IndexLink"/>
              </w:rPr>
              <w:t>1</w:t>
            </w:r>
            <w:r>
              <w:rPr>
                <w:rStyle w:val="IndexLink"/>
                <w:rtl w:val="true"/>
              </w:rPr>
              <w:t>.</w:t>
            </w:r>
            <w:r>
              <w:rPr>
                <w:rStyle w:val="IndexLink"/>
                <w:rtl w:val="true"/>
              </w:rPr>
              <w:t>تمهید</w:t>
            </w:r>
            <w:r>
              <w:rPr>
                <w:rStyle w:val="IndexLink"/>
                <w:rtl w:val="true"/>
              </w:rPr>
              <w:tab/>
            </w:r>
            <w:r>
              <w:rPr>
                <w:rStyle w:val="IndexLink"/>
              </w:rPr>
              <w:t>19</w:t>
            </w:r>
          </w:hyperlink>
        </w:p>
        <w:p>
          <w:pPr>
            <w:pStyle w:val="Contents5"/>
            <w:tabs>
              <w:tab w:val="clear" w:pos="7892"/>
              <w:tab w:val="right" w:pos="9026" w:leader="dot"/>
            </w:tabs>
            <w:rPr/>
          </w:pPr>
          <w:hyperlink w:anchor="__RefHeading___Toc5369579_1280447820">
            <w:r>
              <w:rPr>
                <w:webHidden/>
                <w:rStyle w:val="IndexLink"/>
                <w:rtl w:val="true"/>
              </w:rPr>
              <w:t>إشارة</w:t>
            </w:r>
            <w:r>
              <w:rPr>
                <w:rStyle w:val="IndexLink"/>
                <w:rtl w:val="true"/>
              </w:rPr>
              <w:tab/>
            </w:r>
            <w:r>
              <w:rPr>
                <w:rStyle w:val="IndexLink"/>
              </w:rPr>
              <w:t>19</w:t>
            </w:r>
          </w:hyperlink>
        </w:p>
        <w:p>
          <w:pPr>
            <w:pStyle w:val="Contents5"/>
            <w:tabs>
              <w:tab w:val="clear" w:pos="7892"/>
              <w:tab w:val="right" w:pos="9026" w:leader="dot"/>
            </w:tabs>
            <w:rPr/>
          </w:pPr>
          <w:hyperlink w:anchor="__RefHeading___Toc5369581_1280447820">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w:t>
            </w:r>
            <w:r>
              <w:rPr>
                <w:rStyle w:val="IndexLink"/>
                <w:rtl w:val="true"/>
              </w:rPr>
              <w:t>المقدّمة الأولى</w:t>
            </w:r>
            <w:r>
              <w:rPr>
                <w:rStyle w:val="IndexLink"/>
                <w:rtl w:val="true"/>
              </w:rPr>
              <w:t>:</w:t>
              <w:tab/>
            </w:r>
            <w:r>
              <w:rPr>
                <w:rStyle w:val="IndexLink"/>
              </w:rPr>
              <w:t>19</w:t>
            </w:r>
          </w:hyperlink>
        </w:p>
        <w:p>
          <w:pPr>
            <w:pStyle w:val="Contents5"/>
            <w:tabs>
              <w:tab w:val="clear" w:pos="7892"/>
              <w:tab w:val="right" w:pos="9026" w:leader="dot"/>
            </w:tabs>
            <w:rPr/>
          </w:pPr>
          <w:hyperlink w:anchor="__RefHeading___Toc5369583_1280447820">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w:t>
            </w:r>
            <w:r>
              <w:rPr>
                <w:rStyle w:val="IndexLink"/>
                <w:rtl w:val="true"/>
              </w:rPr>
              <w:t>المقدّمة الثانية</w:t>
            </w:r>
            <w:r>
              <w:rPr>
                <w:rStyle w:val="IndexLink"/>
                <w:rtl w:val="true"/>
              </w:rPr>
              <w:t>:</w:t>
              <w:tab/>
            </w:r>
            <w:r>
              <w:rPr>
                <w:rStyle w:val="IndexLink"/>
              </w:rPr>
              <w:t>21</w:t>
            </w:r>
          </w:hyperlink>
        </w:p>
        <w:p>
          <w:pPr>
            <w:pStyle w:val="Contents5"/>
            <w:tabs>
              <w:tab w:val="clear" w:pos="7892"/>
              <w:tab w:val="right" w:pos="9026" w:leader="dot"/>
            </w:tabs>
            <w:rPr/>
          </w:pPr>
          <w:hyperlink w:anchor="__RefHeading___Toc5369585_1280447820">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w:t>
            </w:r>
            <w:r>
              <w:rPr>
                <w:rStyle w:val="IndexLink"/>
                <w:rtl w:val="true"/>
              </w:rPr>
              <w:t>المقدّمة الثالثة</w:t>
            </w:r>
            <w:r>
              <w:rPr>
                <w:rStyle w:val="IndexLink"/>
                <w:rtl w:val="true"/>
              </w:rPr>
              <w:t>:</w:t>
              <w:tab/>
            </w:r>
            <w:r>
              <w:rPr>
                <w:rStyle w:val="IndexLink"/>
              </w:rPr>
              <w:t>22</w:t>
            </w:r>
          </w:hyperlink>
        </w:p>
        <w:p>
          <w:pPr>
            <w:pStyle w:val="Contents4"/>
            <w:tabs>
              <w:tab w:val="clear" w:pos="8176"/>
              <w:tab w:val="right" w:pos="9026" w:leader="dot"/>
            </w:tabs>
            <w:rPr/>
          </w:pPr>
          <w:hyperlink w:anchor="__RefHeading___Toc5369587_1280447820">
            <w:r>
              <w:rPr>
                <w:webHidden/>
                <w:rStyle w:val="IndexLink"/>
              </w:rPr>
              <w:t>18</w:t>
            </w:r>
            <w:r>
              <w:rPr>
                <w:rStyle w:val="IndexLink"/>
                <w:rtl w:val="true"/>
              </w:rPr>
              <w:t xml:space="preserve">/ </w:t>
            </w:r>
            <w:r>
              <w:rPr>
                <w:rStyle w:val="IndexLink"/>
              </w:rPr>
              <w:t>2</w:t>
            </w:r>
            <w:r>
              <w:rPr>
                <w:rStyle w:val="IndexLink"/>
                <w:rtl w:val="true"/>
              </w:rPr>
              <w:t>.</w:t>
            </w:r>
            <w:r>
              <w:rPr>
                <w:rStyle w:val="IndexLink"/>
                <w:rtl w:val="true"/>
              </w:rPr>
              <w:t>حقيقة الإمامة</w:t>
            </w:r>
            <w:r>
              <w:rPr>
                <w:rStyle w:val="IndexLink"/>
                <w:rtl w:val="true"/>
              </w:rPr>
              <w:t>:</w:t>
              <w:tab/>
            </w:r>
            <w:r>
              <w:rPr>
                <w:rStyle w:val="IndexLink"/>
              </w:rPr>
              <w:t>25</w:t>
            </w:r>
          </w:hyperlink>
        </w:p>
        <w:p>
          <w:pPr>
            <w:pStyle w:val="Contents5"/>
            <w:tabs>
              <w:tab w:val="clear" w:pos="7892"/>
              <w:tab w:val="right" w:pos="9026" w:leader="dot"/>
            </w:tabs>
            <w:rPr/>
          </w:pPr>
          <w:hyperlink w:anchor="__RefHeading___Toc5369589_1280447820">
            <w:r>
              <w:rPr>
                <w:webHidden/>
                <w:rStyle w:val="IndexLink"/>
                <w:rtl w:val="true"/>
              </w:rPr>
              <w:t>إشارة</w:t>
            </w:r>
            <w:r>
              <w:rPr>
                <w:rStyle w:val="IndexLink"/>
                <w:rtl w:val="true"/>
              </w:rPr>
              <w:tab/>
            </w:r>
            <w:r>
              <w:rPr>
                <w:rStyle w:val="IndexLink"/>
              </w:rPr>
              <w:t>25</w:t>
            </w:r>
          </w:hyperlink>
        </w:p>
        <w:p>
          <w:pPr>
            <w:pStyle w:val="Contents5"/>
            <w:tabs>
              <w:tab w:val="clear" w:pos="7892"/>
              <w:tab w:val="right" w:pos="9026" w:leader="dot"/>
            </w:tabs>
            <w:rPr/>
          </w:pPr>
          <w:hyperlink w:anchor="__RefHeading___Toc5369591_1280447820">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w:t>
            </w:r>
            <w:r>
              <w:rPr>
                <w:rStyle w:val="IndexLink"/>
                <w:rtl w:val="true"/>
              </w:rPr>
              <w:t>تعريف الإمامة</w:t>
            </w:r>
            <w:r>
              <w:rPr>
                <w:rStyle w:val="IndexLink"/>
                <w:rtl w:val="true"/>
              </w:rPr>
              <w:t>:</w:t>
              <w:tab/>
            </w:r>
            <w:r>
              <w:rPr>
                <w:rStyle w:val="IndexLink"/>
              </w:rPr>
              <w:t>25</w:t>
            </w:r>
          </w:hyperlink>
        </w:p>
        <w:p>
          <w:pPr>
            <w:pStyle w:val="Contents4"/>
            <w:tabs>
              <w:tab w:val="clear" w:pos="8176"/>
              <w:tab w:val="right" w:pos="9026" w:leader="dot"/>
            </w:tabs>
            <w:rPr/>
          </w:pPr>
          <w:hyperlink w:anchor="__RefHeading___Toc5369593_1280447820">
            <w:r>
              <w:rPr>
                <w:webHidden/>
                <w:rStyle w:val="IndexLink"/>
              </w:rPr>
              <w:t>18</w:t>
            </w:r>
            <w:r>
              <w:rPr>
                <w:rStyle w:val="IndexLink"/>
                <w:rtl w:val="true"/>
              </w:rPr>
              <w:t xml:space="preserve">/ </w:t>
            </w:r>
            <w:r>
              <w:rPr>
                <w:rStyle w:val="IndexLink"/>
              </w:rPr>
              <w:t>3</w:t>
            </w:r>
            <w:r>
              <w:rPr>
                <w:rStyle w:val="IndexLink"/>
                <w:rtl w:val="true"/>
              </w:rPr>
              <w:t>.</w:t>
            </w:r>
            <w:r>
              <w:rPr>
                <w:rStyle w:val="IndexLink"/>
                <w:rtl w:val="true"/>
              </w:rPr>
              <w:t>العناصر المشتركة في الإمامة</w:t>
            </w:r>
            <w:r>
              <w:rPr>
                <w:rStyle w:val="IndexLink"/>
                <w:rtl w:val="true"/>
              </w:rPr>
              <w:tab/>
            </w:r>
            <w:r>
              <w:rPr>
                <w:rStyle w:val="IndexLink"/>
              </w:rPr>
              <w:t>27</w:t>
            </w:r>
          </w:hyperlink>
        </w:p>
        <w:p>
          <w:pPr>
            <w:pStyle w:val="Contents4"/>
            <w:tabs>
              <w:tab w:val="clear" w:pos="8176"/>
              <w:tab w:val="right" w:pos="9026" w:leader="dot"/>
            </w:tabs>
            <w:rPr/>
          </w:pPr>
          <w:hyperlink w:anchor="__RefHeading___Toc5369595_1280447820">
            <w:r>
              <w:rPr>
                <w:webHidden/>
                <w:rStyle w:val="IndexLink"/>
              </w:rPr>
              <w:t>18</w:t>
            </w:r>
            <w:r>
              <w:rPr>
                <w:rStyle w:val="IndexLink"/>
                <w:rtl w:val="true"/>
              </w:rPr>
              <w:t xml:space="preserve">/ </w:t>
            </w:r>
            <w:r>
              <w:rPr>
                <w:rStyle w:val="IndexLink"/>
              </w:rPr>
              <w:t>4</w:t>
            </w:r>
            <w:r>
              <w:rPr>
                <w:rStyle w:val="IndexLink"/>
                <w:rtl w:val="true"/>
              </w:rPr>
              <w:t>.</w:t>
            </w:r>
            <w:r>
              <w:rPr>
                <w:rStyle w:val="IndexLink"/>
                <w:rtl w:val="true"/>
              </w:rPr>
              <w:t>عناصر الإمامة التي انفردت بها الإماميّة</w:t>
            </w:r>
            <w:r>
              <w:rPr>
                <w:rStyle w:val="IndexLink"/>
                <w:rtl w:val="true"/>
              </w:rPr>
              <w:tab/>
            </w:r>
            <w:r>
              <w:rPr>
                <w:rStyle w:val="IndexLink"/>
              </w:rPr>
              <w:t>29</w:t>
            </w:r>
          </w:hyperlink>
        </w:p>
        <w:p>
          <w:pPr>
            <w:pStyle w:val="Contents5"/>
            <w:tabs>
              <w:tab w:val="clear" w:pos="7892"/>
              <w:tab w:val="right" w:pos="9026" w:leader="dot"/>
            </w:tabs>
            <w:rPr/>
          </w:pPr>
          <w:hyperlink w:anchor="__RefHeading___Toc5369597_1280447820">
            <w:r>
              <w:rPr>
                <w:webHidden/>
                <w:rStyle w:val="IndexLink"/>
                <w:rtl w:val="true"/>
              </w:rPr>
              <w:t>إشارة</w:t>
            </w:r>
            <w:r>
              <w:rPr>
                <w:rStyle w:val="IndexLink"/>
                <w:rtl w:val="true"/>
              </w:rPr>
              <w:tab/>
            </w:r>
            <w:r>
              <w:rPr>
                <w:rStyle w:val="IndexLink"/>
              </w:rPr>
              <w:t>29</w:t>
            </w:r>
          </w:hyperlink>
        </w:p>
        <w:p>
          <w:pPr>
            <w:pStyle w:val="Contents5"/>
            <w:tabs>
              <w:tab w:val="clear" w:pos="7892"/>
              <w:tab w:val="right" w:pos="9026" w:leader="dot"/>
            </w:tabs>
            <w:rPr/>
          </w:pPr>
          <w:hyperlink w:anchor="__RefHeading___Toc5369599_1280447820">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w:t>
            </w:r>
            <w:r>
              <w:rPr>
                <w:rStyle w:val="IndexLink"/>
                <w:rtl w:val="true"/>
              </w:rPr>
              <w:t xml:space="preserve">عنصران آخران </w:t>
            </w:r>
            <w:r>
              <w:rPr>
                <w:rStyle w:val="IndexLink"/>
                <w:rtl w:val="true"/>
              </w:rPr>
              <w:t>:</w:t>
              <w:tab/>
            </w:r>
            <w:r>
              <w:rPr>
                <w:rStyle w:val="IndexLink"/>
              </w:rPr>
              <w:t>29</w:t>
            </w:r>
          </w:hyperlink>
        </w:p>
        <w:p>
          <w:pPr>
            <w:pStyle w:val="Contents5"/>
            <w:tabs>
              <w:tab w:val="clear" w:pos="7892"/>
              <w:tab w:val="right" w:pos="9026" w:leader="dot"/>
            </w:tabs>
            <w:rPr/>
          </w:pPr>
          <w:hyperlink w:anchor="__RefHeading___Toc5369601_1280447820">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w:t>
            </w:r>
            <w:r>
              <w:rPr>
                <w:rStyle w:val="IndexLink"/>
                <w:rtl w:val="true"/>
              </w:rPr>
              <w:t xml:space="preserve">محصّلة القول </w:t>
            </w:r>
            <w:r>
              <w:rPr>
                <w:rStyle w:val="IndexLink"/>
                <w:rtl w:val="true"/>
              </w:rPr>
              <w:t>:</w:t>
              <w:tab/>
            </w:r>
            <w:r>
              <w:rPr>
                <w:rStyle w:val="IndexLink"/>
              </w:rPr>
              <w:t>31</w:t>
            </w:r>
          </w:hyperlink>
        </w:p>
        <w:p>
          <w:pPr>
            <w:pStyle w:val="Contents4"/>
            <w:tabs>
              <w:tab w:val="clear" w:pos="8176"/>
              <w:tab w:val="right" w:pos="9026" w:leader="dot"/>
            </w:tabs>
            <w:rPr/>
          </w:pPr>
          <w:hyperlink w:anchor="__RefHeading___Toc5369603_1280447820">
            <w:r>
              <w:rPr>
                <w:webHidden/>
                <w:rStyle w:val="IndexLink"/>
              </w:rPr>
              <w:t>18</w:t>
            </w:r>
            <w:r>
              <w:rPr>
                <w:rStyle w:val="IndexLink"/>
                <w:rtl w:val="true"/>
              </w:rPr>
              <w:t xml:space="preserve"> /</w:t>
            </w:r>
            <w:r>
              <w:rPr>
                <w:rStyle w:val="IndexLink"/>
              </w:rPr>
              <w:t>5</w:t>
            </w:r>
            <w:r>
              <w:rPr>
                <w:rStyle w:val="IndexLink"/>
                <w:rtl w:val="true"/>
              </w:rPr>
              <w:t>.</w:t>
            </w:r>
            <w:r>
              <w:rPr>
                <w:rStyle w:val="IndexLink"/>
                <w:rtl w:val="true"/>
              </w:rPr>
              <w:t xml:space="preserve">ثلاثة تساؤلات رئيسيّة </w:t>
            </w:r>
            <w:r>
              <w:rPr>
                <w:rStyle w:val="IndexLink"/>
                <w:rtl w:val="true"/>
              </w:rPr>
              <w:t>:</w:t>
              <w:tab/>
            </w:r>
            <w:r>
              <w:rPr>
                <w:rStyle w:val="IndexLink"/>
              </w:rPr>
              <w:t>33</w:t>
            </w:r>
          </w:hyperlink>
        </w:p>
        <w:p>
          <w:pPr>
            <w:pStyle w:val="Contents5"/>
            <w:tabs>
              <w:tab w:val="clear" w:pos="7892"/>
              <w:tab w:val="right" w:pos="9026" w:leader="dot"/>
            </w:tabs>
            <w:rPr/>
          </w:pPr>
          <w:hyperlink w:anchor="__RefHeading___Toc5369605_1280447820">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w:t>
            </w:r>
            <w:r>
              <w:rPr>
                <w:rStyle w:val="IndexLink"/>
                <w:rtl w:val="true"/>
              </w:rPr>
              <w:t>السؤال الأوّل</w:t>
            </w:r>
            <w:r>
              <w:rPr>
                <w:rStyle w:val="IndexLink"/>
                <w:rtl w:val="true"/>
              </w:rPr>
              <w:t>:</w:t>
              <w:tab/>
            </w:r>
            <w:r>
              <w:rPr>
                <w:rStyle w:val="IndexLink"/>
              </w:rPr>
              <w:t>33</w:t>
            </w:r>
          </w:hyperlink>
        </w:p>
        <w:p>
          <w:pPr>
            <w:pStyle w:val="Contents5"/>
            <w:tabs>
              <w:tab w:val="clear" w:pos="7892"/>
              <w:tab w:val="right" w:pos="9026" w:leader="dot"/>
            </w:tabs>
            <w:rPr/>
          </w:pPr>
          <w:hyperlink w:anchor="__RefHeading___Toc5369607_1280447820">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w:t>
            </w:r>
            <w:r>
              <w:rPr>
                <w:rStyle w:val="IndexLink"/>
                <w:rtl w:val="true"/>
              </w:rPr>
              <w:t>السؤال الثاني</w:t>
            </w:r>
            <w:r>
              <w:rPr>
                <w:rStyle w:val="IndexLink"/>
                <w:rtl w:val="true"/>
              </w:rPr>
              <w:t>:</w:t>
              <w:tab/>
            </w:r>
            <w:r>
              <w:rPr>
                <w:rStyle w:val="IndexLink"/>
              </w:rPr>
              <w:t>35</w:t>
            </w:r>
          </w:hyperlink>
        </w:p>
        <w:p>
          <w:pPr>
            <w:pStyle w:val="Contents5"/>
            <w:tabs>
              <w:tab w:val="clear" w:pos="7892"/>
              <w:tab w:val="right" w:pos="9026" w:leader="dot"/>
            </w:tabs>
            <w:rPr/>
          </w:pPr>
          <w:hyperlink w:anchor="__RefHeading___Toc5369609_1280447820">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w:t>
            </w:r>
            <w:r>
              <w:rPr>
                <w:rStyle w:val="IndexLink"/>
                <w:rtl w:val="true"/>
              </w:rPr>
              <w:t xml:space="preserve">السؤال الثالث </w:t>
            </w:r>
            <w:r>
              <w:rPr>
                <w:rStyle w:val="IndexLink"/>
                <w:rtl w:val="true"/>
              </w:rPr>
              <w:t>:</w:t>
              <w:tab/>
            </w:r>
            <w:r>
              <w:rPr>
                <w:rStyle w:val="IndexLink"/>
              </w:rPr>
              <w:t>38</w:t>
            </w:r>
          </w:hyperlink>
        </w:p>
        <w:p>
          <w:pPr>
            <w:pStyle w:val="Contents3"/>
            <w:tabs>
              <w:tab w:val="clear" w:pos="8459"/>
              <w:tab w:val="right" w:pos="9026" w:leader="dot"/>
            </w:tabs>
            <w:rPr/>
          </w:pPr>
          <w:hyperlink w:anchor="__RefHeading___Toc5369611_1280447820">
            <w:r>
              <w:rPr>
                <w:webHidden/>
                <w:rStyle w:val="IndexLink"/>
              </w:rPr>
              <w:t>19</w:t>
            </w:r>
            <w:r>
              <w:rPr>
                <w:rStyle w:val="IndexLink"/>
                <w:rtl w:val="true"/>
              </w:rPr>
              <w:t>.</w:t>
            </w:r>
            <w:r>
              <w:rPr>
                <w:rStyle w:val="IndexLink"/>
                <w:rtl w:val="true"/>
              </w:rPr>
              <w:t>شرعيّة الإمامة</w:t>
            </w:r>
            <w:r>
              <w:rPr>
                <w:rStyle w:val="IndexLink"/>
                <w:rtl w:val="true"/>
              </w:rPr>
              <w:tab/>
            </w:r>
            <w:r>
              <w:rPr>
                <w:rStyle w:val="IndexLink"/>
              </w:rPr>
              <w:t>41</w:t>
            </w:r>
          </w:hyperlink>
        </w:p>
        <w:p>
          <w:pPr>
            <w:pStyle w:val="Contents4"/>
            <w:tabs>
              <w:tab w:val="clear" w:pos="8176"/>
              <w:tab w:val="right" w:pos="9026" w:leader="dot"/>
            </w:tabs>
            <w:rPr/>
          </w:pPr>
          <w:hyperlink w:anchor="__RefHeading___Toc5369613_1280447820">
            <w:r>
              <w:rPr>
                <w:webHidden/>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تقرير عبد الجبار المعتزليّ</w:t>
            </w:r>
            <w:r>
              <w:rPr>
                <w:rStyle w:val="IndexLink"/>
                <w:rtl w:val="true"/>
              </w:rPr>
              <w:t>:</w:t>
              <w:tab/>
            </w:r>
            <w:r>
              <w:rPr>
                <w:rStyle w:val="IndexLink"/>
              </w:rPr>
              <w:t>41</w:t>
            </w:r>
          </w:hyperlink>
        </w:p>
        <w:p>
          <w:pPr>
            <w:pStyle w:val="Contents4"/>
            <w:tabs>
              <w:tab w:val="clear" w:pos="8176"/>
              <w:tab w:val="right" w:pos="9026" w:leader="dot"/>
            </w:tabs>
            <w:rPr/>
          </w:pPr>
          <w:hyperlink w:anchor="__RefHeading___Toc5369615_1280447820">
            <w:r>
              <w:rPr>
                <w:webHidden/>
                <w:rStyle w:val="IndexLink"/>
              </w:rPr>
              <w:t>19</w:t>
            </w:r>
            <w:r>
              <w:rPr>
                <w:rStyle w:val="IndexLink"/>
                <w:rtl w:val="true"/>
              </w:rPr>
              <w:t xml:space="preserve">/ </w:t>
            </w:r>
            <w:r>
              <w:rPr>
                <w:rStyle w:val="IndexLink"/>
              </w:rPr>
              <w:t>2</w:t>
            </w:r>
            <w:r>
              <w:rPr>
                <w:rStyle w:val="IndexLink"/>
                <w:rtl w:val="true"/>
              </w:rPr>
              <w:t>.</w:t>
            </w:r>
            <w:r>
              <w:rPr>
                <w:rStyle w:val="IndexLink"/>
                <w:rtl w:val="true"/>
              </w:rPr>
              <w:t>تقرير العلّامة الحلّي</w:t>
            </w:r>
            <w:r>
              <w:rPr>
                <w:rStyle w:val="IndexLink"/>
                <w:rtl w:val="true"/>
              </w:rPr>
              <w:t>:</w:t>
              <w:tab/>
            </w:r>
            <w:r>
              <w:rPr>
                <w:rStyle w:val="IndexLink"/>
              </w:rPr>
              <w:t>42</w:t>
            </w:r>
          </w:hyperlink>
        </w:p>
        <w:p>
          <w:pPr>
            <w:pStyle w:val="Contents4"/>
            <w:tabs>
              <w:tab w:val="clear" w:pos="8176"/>
              <w:tab w:val="right" w:pos="9026" w:leader="dot"/>
            </w:tabs>
            <w:rPr/>
          </w:pPr>
          <w:hyperlink w:anchor="__RefHeading___Toc5369617_1280447820">
            <w:r>
              <w:rPr>
                <w:webHidden/>
                <w:rStyle w:val="IndexLink"/>
              </w:rPr>
              <w:t>19</w:t>
            </w:r>
            <w:r>
              <w:rPr>
                <w:rStyle w:val="IndexLink"/>
                <w:rtl w:val="true"/>
              </w:rPr>
              <w:t xml:space="preserve">/ </w:t>
            </w:r>
            <w:r>
              <w:rPr>
                <w:rStyle w:val="IndexLink"/>
              </w:rPr>
              <w:t>3</w:t>
            </w:r>
            <w:r>
              <w:rPr>
                <w:rStyle w:val="IndexLink"/>
                <w:rtl w:val="true"/>
              </w:rPr>
              <w:t>.</w:t>
            </w:r>
            <w:r>
              <w:rPr>
                <w:rStyle w:val="IndexLink"/>
                <w:rtl w:val="true"/>
              </w:rPr>
              <w:t>وجوب الإمامة على الله أو على الأمّة</w:t>
            </w:r>
            <w:r>
              <w:rPr>
                <w:rStyle w:val="IndexLink"/>
                <w:rtl w:val="true"/>
              </w:rPr>
              <w:t>:</w:t>
              <w:tab/>
            </w:r>
            <w:r>
              <w:rPr>
                <w:rStyle w:val="IndexLink"/>
              </w:rPr>
              <w:t>43</w:t>
            </w:r>
          </w:hyperlink>
        </w:p>
        <w:p>
          <w:pPr>
            <w:pStyle w:val="Contents4"/>
            <w:tabs>
              <w:tab w:val="clear" w:pos="8176"/>
              <w:tab w:val="right" w:pos="9026" w:leader="dot"/>
            </w:tabs>
            <w:rPr/>
          </w:pPr>
          <w:hyperlink w:anchor="__RefHeading___Toc5369619_1280447820">
            <w:r>
              <w:rPr>
                <w:webHidden/>
                <w:rStyle w:val="IndexLink"/>
              </w:rPr>
              <w:t>19</w:t>
            </w:r>
            <w:r>
              <w:rPr>
                <w:rStyle w:val="IndexLink"/>
                <w:rtl w:val="true"/>
              </w:rPr>
              <w:t xml:space="preserve"> /</w:t>
            </w:r>
            <w:r>
              <w:rPr>
                <w:rStyle w:val="IndexLink"/>
              </w:rPr>
              <w:t>4</w:t>
            </w:r>
            <w:r>
              <w:rPr>
                <w:rStyle w:val="IndexLink"/>
                <w:rtl w:val="true"/>
              </w:rPr>
              <w:t>.</w:t>
            </w:r>
            <w:r>
              <w:rPr>
                <w:rStyle w:val="IndexLink"/>
                <w:rtl w:val="true"/>
              </w:rPr>
              <w:t xml:space="preserve">استدلال أهل الحديث </w:t>
            </w:r>
            <w:r>
              <w:rPr>
                <w:rStyle w:val="IndexLink"/>
                <w:rtl w:val="true"/>
              </w:rPr>
              <w:t>:</w:t>
              <w:tab/>
            </w:r>
            <w:r>
              <w:rPr>
                <w:rStyle w:val="IndexLink"/>
              </w:rPr>
              <w:t>45</w:t>
            </w:r>
          </w:hyperlink>
        </w:p>
        <w:p>
          <w:pPr>
            <w:pStyle w:val="Contents4"/>
            <w:tabs>
              <w:tab w:val="clear" w:pos="8176"/>
              <w:tab w:val="right" w:pos="9026" w:leader="dot"/>
            </w:tabs>
            <w:rPr/>
          </w:pPr>
          <w:hyperlink w:anchor="__RefHeading___Toc5369621_1280447820">
            <w:r>
              <w:rPr>
                <w:webHidden/>
                <w:rStyle w:val="IndexLink"/>
              </w:rPr>
              <w:t>19</w:t>
            </w:r>
            <w:r>
              <w:rPr>
                <w:rStyle w:val="IndexLink"/>
                <w:rtl w:val="true"/>
              </w:rPr>
              <w:t xml:space="preserve"> /</w:t>
            </w:r>
            <w:r>
              <w:rPr>
                <w:rStyle w:val="IndexLink"/>
              </w:rPr>
              <w:t>5</w:t>
            </w:r>
            <w:r>
              <w:rPr>
                <w:rStyle w:val="IndexLink"/>
                <w:rtl w:val="true"/>
              </w:rPr>
              <w:t>.</w:t>
            </w:r>
            <w:r>
              <w:rPr>
                <w:rStyle w:val="IndexLink"/>
                <w:rtl w:val="true"/>
              </w:rPr>
              <w:t xml:space="preserve">استدلال المعتزلة </w:t>
            </w:r>
            <w:r>
              <w:rPr>
                <w:rStyle w:val="IndexLink"/>
                <w:rtl w:val="true"/>
              </w:rPr>
              <w:t>:</w:t>
              <w:tab/>
            </w:r>
            <w:r>
              <w:rPr>
                <w:rStyle w:val="IndexLink"/>
              </w:rPr>
              <w:t>46</w:t>
            </w:r>
          </w:hyperlink>
        </w:p>
        <w:p>
          <w:pPr>
            <w:pStyle w:val="Contents4"/>
            <w:tabs>
              <w:tab w:val="clear" w:pos="8176"/>
              <w:tab w:val="right" w:pos="9026" w:leader="dot"/>
            </w:tabs>
            <w:rPr/>
          </w:pPr>
          <w:hyperlink w:anchor="__RefHeading___Toc5369623_1280447820">
            <w:r>
              <w:rPr>
                <w:webHidden/>
                <w:rStyle w:val="IndexLink"/>
              </w:rPr>
              <w:t>19</w:t>
            </w:r>
            <w:r>
              <w:rPr>
                <w:rStyle w:val="IndexLink"/>
                <w:rtl w:val="true"/>
              </w:rPr>
              <w:t xml:space="preserve"> /</w:t>
            </w:r>
            <w:r>
              <w:rPr>
                <w:rStyle w:val="IndexLink"/>
              </w:rPr>
              <w:t>6</w:t>
            </w:r>
            <w:r>
              <w:rPr>
                <w:rStyle w:val="IndexLink"/>
                <w:rtl w:val="true"/>
              </w:rPr>
              <w:t>.</w:t>
            </w:r>
            <w:r>
              <w:rPr>
                <w:rStyle w:val="IndexLink"/>
                <w:rtl w:val="true"/>
              </w:rPr>
              <w:t>أدلّة الأشاعرة</w:t>
            </w:r>
            <w:r>
              <w:rPr>
                <w:rStyle w:val="IndexLink"/>
                <w:rtl w:val="true"/>
              </w:rPr>
              <w:t>:</w:t>
              <w:tab/>
            </w:r>
            <w:r>
              <w:rPr>
                <w:rStyle w:val="IndexLink"/>
              </w:rPr>
              <w:t>47</w:t>
            </w:r>
          </w:hyperlink>
        </w:p>
        <w:p>
          <w:pPr>
            <w:pStyle w:val="Contents5"/>
            <w:tabs>
              <w:tab w:val="clear" w:pos="7892"/>
              <w:tab w:val="right" w:pos="9026" w:leader="dot"/>
            </w:tabs>
            <w:rPr/>
          </w:pPr>
          <w:hyperlink w:anchor="__RefHeading___Toc5369625_1280447820">
            <w:r>
              <w:rPr>
                <w:webHidden/>
                <w:rStyle w:val="IndexLink"/>
                <w:rtl w:val="true"/>
              </w:rPr>
              <w:t>إشارة</w:t>
            </w:r>
            <w:r>
              <w:rPr>
                <w:rStyle w:val="IndexLink"/>
                <w:rtl w:val="true"/>
              </w:rPr>
              <w:t>:</w:t>
              <w:tab/>
            </w:r>
            <w:r>
              <w:rPr>
                <w:rStyle w:val="IndexLink"/>
              </w:rPr>
              <w:t>47</w:t>
            </w:r>
          </w:hyperlink>
        </w:p>
        <w:p>
          <w:pPr>
            <w:pStyle w:val="Contents5"/>
            <w:tabs>
              <w:tab w:val="clear" w:pos="7892"/>
              <w:tab w:val="right" w:pos="9026" w:leader="dot"/>
            </w:tabs>
            <w:rPr/>
          </w:pPr>
          <w:hyperlink w:anchor="__RefHeading___Toc5369627_1280447820">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w:t>
            </w:r>
            <w:r>
              <w:rPr>
                <w:rStyle w:val="IndexLink"/>
                <w:rtl w:val="true"/>
              </w:rPr>
              <w:t>أوّلاً</w:t>
            </w:r>
            <w:r>
              <w:rPr>
                <w:rStyle w:val="IndexLink"/>
                <w:rtl w:val="true"/>
              </w:rPr>
              <w:t xml:space="preserve">: </w:t>
            </w:r>
            <w:r>
              <w:rPr>
                <w:rStyle w:val="IndexLink"/>
                <w:rtl w:val="true"/>
              </w:rPr>
              <w:t xml:space="preserve">دليل مقدّمة الواجب </w:t>
            </w:r>
            <w:r>
              <w:rPr>
                <w:rStyle w:val="IndexLink"/>
                <w:rtl w:val="true"/>
              </w:rPr>
              <w:t>:</w:t>
              <w:tab/>
            </w:r>
            <w:r>
              <w:rPr>
                <w:rStyle w:val="IndexLink"/>
              </w:rPr>
              <w:t>47</w:t>
            </w:r>
          </w:hyperlink>
        </w:p>
        <w:p>
          <w:pPr>
            <w:pStyle w:val="Contents5"/>
            <w:tabs>
              <w:tab w:val="clear" w:pos="7892"/>
              <w:tab w:val="right" w:pos="9026" w:leader="dot"/>
            </w:tabs>
            <w:rPr/>
          </w:pPr>
          <w:hyperlink w:anchor="__RefHeading___Toc5369629_1280447820">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w:t>
            </w:r>
            <w:r>
              <w:rPr>
                <w:rStyle w:val="IndexLink"/>
                <w:rtl w:val="true"/>
              </w:rPr>
              <w:t>ثانياً</w:t>
            </w:r>
            <w:r>
              <w:rPr>
                <w:rStyle w:val="IndexLink"/>
                <w:rtl w:val="true"/>
              </w:rPr>
              <w:t xml:space="preserve">: </w:t>
            </w:r>
            <w:r>
              <w:rPr>
                <w:rStyle w:val="IndexLink"/>
                <w:rtl w:val="true"/>
              </w:rPr>
              <w:t>دليل ضرورة دفع الضرر</w:t>
            </w:r>
            <w:r>
              <w:rPr>
                <w:rStyle w:val="IndexLink"/>
                <w:rtl w:val="true"/>
              </w:rPr>
              <w:t>:</w:t>
              <w:tab/>
            </w:r>
            <w:r>
              <w:rPr>
                <w:rStyle w:val="IndexLink"/>
              </w:rPr>
              <w:t>48</w:t>
            </w:r>
          </w:hyperlink>
        </w:p>
        <w:p>
          <w:pPr>
            <w:pStyle w:val="Contents5"/>
            <w:tabs>
              <w:tab w:val="clear" w:pos="7892"/>
              <w:tab w:val="right" w:pos="9026" w:leader="dot"/>
            </w:tabs>
            <w:rPr/>
          </w:pPr>
          <w:hyperlink w:anchor="__RefHeading___Toc5369631_1280447820">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w:t>
            </w:r>
            <w:r>
              <w:rPr>
                <w:rStyle w:val="IndexLink"/>
                <w:rtl w:val="true"/>
              </w:rPr>
              <w:t>ثالثاً</w:t>
            </w:r>
            <w:r>
              <w:rPr>
                <w:rStyle w:val="IndexLink"/>
                <w:rtl w:val="true"/>
              </w:rPr>
              <w:t xml:space="preserve">: </w:t>
            </w:r>
            <w:r>
              <w:rPr>
                <w:rStyle w:val="IndexLink"/>
                <w:rtl w:val="true"/>
              </w:rPr>
              <w:t xml:space="preserve">الأدلّة النقليّة </w:t>
            </w:r>
            <w:r>
              <w:rPr>
                <w:rStyle w:val="IndexLink"/>
                <w:rtl w:val="true"/>
              </w:rPr>
              <w:t>:</w:t>
              <w:tab/>
            </w:r>
            <w:r>
              <w:rPr>
                <w:rStyle w:val="IndexLink"/>
              </w:rPr>
              <w:t>50</w:t>
            </w:r>
          </w:hyperlink>
        </w:p>
        <w:p>
          <w:pPr>
            <w:pStyle w:val="Contents5"/>
            <w:tabs>
              <w:tab w:val="clear" w:pos="7892"/>
              <w:tab w:val="right" w:pos="9026" w:leader="dot"/>
            </w:tabs>
            <w:rPr/>
          </w:pPr>
          <w:hyperlink w:anchor="__RefHeading___Toc5369633_1280447820">
            <w:r>
              <w:rPr>
                <w:webHidden/>
                <w:rStyle w:val="IndexLink"/>
              </w:rPr>
              <w:t>19</w:t>
            </w:r>
            <w:r>
              <w:rPr>
                <w:rStyle w:val="IndexLink"/>
                <w:rtl w:val="true"/>
              </w:rPr>
              <w:t xml:space="preserve"> /</w:t>
            </w:r>
            <w:r>
              <w:rPr>
                <w:rStyle w:val="IndexLink"/>
              </w:rPr>
              <w:t>6</w:t>
            </w:r>
            <w:r>
              <w:rPr>
                <w:rStyle w:val="IndexLink"/>
                <w:rtl w:val="true"/>
              </w:rPr>
              <w:t xml:space="preserve"> /</w:t>
            </w:r>
            <w:r>
              <w:rPr>
                <w:rStyle w:val="IndexLink"/>
              </w:rPr>
              <w:t>4</w:t>
            </w:r>
            <w:r>
              <w:rPr>
                <w:rStyle w:val="IndexLink"/>
                <w:rtl w:val="true"/>
              </w:rPr>
              <w:t>.</w:t>
            </w:r>
            <w:r>
              <w:rPr>
                <w:rStyle w:val="IndexLink"/>
                <w:rtl w:val="true"/>
              </w:rPr>
              <w:t xml:space="preserve">رابعاً دليل الإجماع وسيرة المتشرّعين </w:t>
            </w:r>
            <w:r>
              <w:rPr>
                <w:rStyle w:val="IndexLink"/>
                <w:rtl w:val="true"/>
              </w:rPr>
              <w:t>:</w:t>
              <w:tab/>
            </w:r>
            <w:r>
              <w:rPr>
                <w:rStyle w:val="IndexLink"/>
              </w:rPr>
              <w:t>51</w:t>
            </w:r>
          </w:hyperlink>
        </w:p>
        <w:p>
          <w:pPr>
            <w:pStyle w:val="Contents4"/>
            <w:tabs>
              <w:tab w:val="clear" w:pos="8176"/>
              <w:tab w:val="right" w:pos="9026" w:leader="dot"/>
            </w:tabs>
            <w:rPr/>
          </w:pPr>
          <w:hyperlink w:anchor="__RefHeading___Toc5369635_1280447820">
            <w:r>
              <w:rPr>
                <w:webHidden/>
                <w:rStyle w:val="IndexLink"/>
              </w:rPr>
              <w:t>19</w:t>
            </w:r>
            <w:r>
              <w:rPr>
                <w:rStyle w:val="IndexLink"/>
                <w:rtl w:val="true"/>
              </w:rPr>
              <w:t xml:space="preserve"> /</w:t>
            </w:r>
            <w:r>
              <w:rPr>
                <w:rStyle w:val="IndexLink"/>
              </w:rPr>
              <w:t>7</w:t>
            </w:r>
            <w:r>
              <w:rPr>
                <w:rStyle w:val="IndexLink"/>
                <w:rtl w:val="true"/>
              </w:rPr>
              <w:t>.</w:t>
            </w:r>
            <w:r>
              <w:rPr>
                <w:rStyle w:val="IndexLink"/>
                <w:rtl w:val="true"/>
              </w:rPr>
              <w:t>أدلّة الإمامية</w:t>
            </w:r>
            <w:r>
              <w:rPr>
                <w:rStyle w:val="IndexLink"/>
                <w:rtl w:val="true"/>
              </w:rPr>
              <w:t>:</w:t>
              <w:tab/>
            </w:r>
            <w:r>
              <w:rPr>
                <w:rStyle w:val="IndexLink"/>
              </w:rPr>
              <w:t>54</w:t>
            </w:r>
          </w:hyperlink>
        </w:p>
        <w:p>
          <w:pPr>
            <w:pStyle w:val="Contents5"/>
            <w:tabs>
              <w:tab w:val="clear" w:pos="7892"/>
              <w:tab w:val="right" w:pos="9026" w:leader="dot"/>
            </w:tabs>
            <w:rPr/>
          </w:pPr>
          <w:hyperlink w:anchor="__RefHeading___Toc5369637_1280447820">
            <w:r>
              <w:rPr>
                <w:webHidden/>
                <w:rStyle w:val="IndexLink"/>
                <w:rtl w:val="true"/>
              </w:rPr>
              <w:t>إشارة</w:t>
            </w:r>
            <w:r>
              <w:rPr>
                <w:rStyle w:val="IndexLink"/>
                <w:rtl w:val="true"/>
              </w:rPr>
              <w:tab/>
            </w:r>
            <w:r>
              <w:rPr>
                <w:rStyle w:val="IndexLink"/>
              </w:rPr>
              <w:t>54</w:t>
            </w:r>
          </w:hyperlink>
        </w:p>
        <w:p>
          <w:pPr>
            <w:pStyle w:val="Contents5"/>
            <w:tabs>
              <w:tab w:val="clear" w:pos="7892"/>
              <w:tab w:val="right" w:pos="9026" w:leader="dot"/>
            </w:tabs>
            <w:rPr/>
          </w:pPr>
          <w:hyperlink w:anchor="__RefHeading___Toc5369639_1280447820">
            <w:r>
              <w:rPr>
                <w:webHidden/>
                <w:rStyle w:val="IndexLink"/>
              </w:rPr>
              <w:t>19</w:t>
            </w:r>
            <w:r>
              <w:rPr>
                <w:rStyle w:val="IndexLink"/>
                <w:rtl w:val="true"/>
              </w:rPr>
              <w:t xml:space="preserve"> /</w:t>
            </w:r>
            <w:r>
              <w:rPr>
                <w:rStyle w:val="IndexLink"/>
              </w:rPr>
              <w:t>7</w:t>
            </w:r>
            <w:r>
              <w:rPr>
                <w:rStyle w:val="IndexLink"/>
                <w:rtl w:val="true"/>
              </w:rPr>
              <w:t xml:space="preserve"> /</w:t>
            </w:r>
            <w:r>
              <w:rPr>
                <w:rStyle w:val="IndexLink"/>
              </w:rPr>
              <w:t>1</w:t>
            </w:r>
            <w:r>
              <w:rPr>
                <w:rStyle w:val="IndexLink"/>
                <w:rtl w:val="true"/>
              </w:rPr>
              <w:t>.</w:t>
            </w:r>
            <w:r>
              <w:rPr>
                <w:rStyle w:val="IndexLink"/>
                <w:rtl w:val="true"/>
              </w:rPr>
              <w:t>الدليل الأوّل</w:t>
            </w:r>
            <w:r>
              <w:rPr>
                <w:rStyle w:val="IndexLink"/>
                <w:rtl w:val="true"/>
              </w:rPr>
              <w:t xml:space="preserve">: </w:t>
            </w:r>
            <w:r>
              <w:rPr>
                <w:rStyle w:val="IndexLink"/>
                <w:rtl w:val="true"/>
              </w:rPr>
              <w:t xml:space="preserve">قاعدة اللطف </w:t>
            </w:r>
            <w:r>
              <w:rPr>
                <w:rStyle w:val="IndexLink"/>
                <w:rtl w:val="true"/>
              </w:rPr>
              <w:t>:</w:t>
              <w:tab/>
            </w:r>
            <w:r>
              <w:rPr>
                <w:rStyle w:val="IndexLink"/>
              </w:rPr>
              <w:t>54</w:t>
            </w:r>
          </w:hyperlink>
        </w:p>
        <w:p>
          <w:pPr>
            <w:pStyle w:val="Contents5"/>
            <w:tabs>
              <w:tab w:val="clear" w:pos="7892"/>
              <w:tab w:val="right" w:pos="9026" w:leader="dot"/>
            </w:tabs>
            <w:rPr/>
          </w:pPr>
          <w:hyperlink w:anchor="__RefHeading___Toc5369641_1280447820">
            <w:r>
              <w:rPr>
                <w:webHidden/>
                <w:rStyle w:val="IndexLink"/>
              </w:rPr>
              <w:t>19</w:t>
            </w:r>
            <w:r>
              <w:rPr>
                <w:rStyle w:val="IndexLink"/>
                <w:rtl w:val="true"/>
              </w:rPr>
              <w:t xml:space="preserve"> /</w:t>
            </w:r>
            <w:r>
              <w:rPr>
                <w:rStyle w:val="IndexLink"/>
              </w:rPr>
              <w:t>7</w:t>
            </w:r>
            <w:r>
              <w:rPr>
                <w:rStyle w:val="IndexLink"/>
                <w:rtl w:val="true"/>
              </w:rPr>
              <w:t xml:space="preserve"> /</w:t>
            </w:r>
            <w:r>
              <w:rPr>
                <w:rStyle w:val="IndexLink"/>
              </w:rPr>
              <w:t>2</w:t>
            </w:r>
            <w:r>
              <w:rPr>
                <w:rStyle w:val="IndexLink"/>
                <w:rtl w:val="true"/>
              </w:rPr>
              <w:t>.</w:t>
            </w:r>
            <w:r>
              <w:rPr>
                <w:rStyle w:val="IndexLink"/>
                <w:rtl w:val="true"/>
              </w:rPr>
              <w:t>الدليل الثاني</w:t>
            </w:r>
            <w:r>
              <w:rPr>
                <w:rStyle w:val="IndexLink"/>
                <w:rtl w:val="true"/>
              </w:rPr>
              <w:t xml:space="preserve">: </w:t>
            </w:r>
            <w:r>
              <w:rPr>
                <w:rStyle w:val="IndexLink"/>
                <w:rtl w:val="true"/>
              </w:rPr>
              <w:t xml:space="preserve">ضرورة البيان المعصوم للشريعة ووجوب صيانتها </w:t>
            </w:r>
            <w:r>
              <w:rPr>
                <w:rStyle w:val="IndexLink"/>
                <w:rtl w:val="true"/>
              </w:rPr>
              <w:t>:</w:t>
              <w:tab/>
            </w:r>
            <w:r>
              <w:rPr>
                <w:rStyle w:val="IndexLink"/>
              </w:rPr>
              <w:t>60</w:t>
            </w:r>
          </w:hyperlink>
        </w:p>
        <w:p>
          <w:pPr>
            <w:pStyle w:val="Contents3"/>
            <w:tabs>
              <w:tab w:val="clear" w:pos="8459"/>
              <w:tab w:val="right" w:pos="9026" w:leader="dot"/>
            </w:tabs>
            <w:rPr/>
          </w:pPr>
          <w:hyperlink w:anchor="__RefHeading___Toc5369643_1280447820">
            <w:r>
              <w:rPr>
                <w:webHidden/>
                <w:rStyle w:val="IndexLink"/>
              </w:rPr>
              <w:t>20</w:t>
            </w:r>
            <w:r>
              <w:rPr>
                <w:rStyle w:val="IndexLink"/>
                <w:rtl w:val="true"/>
              </w:rPr>
              <w:t>.</w:t>
            </w:r>
            <w:r>
              <w:rPr>
                <w:rStyle w:val="IndexLink"/>
                <w:rtl w:val="true"/>
              </w:rPr>
              <w:t>عصمة الإمام</w:t>
            </w:r>
            <w:r>
              <w:rPr>
                <w:rStyle w:val="IndexLink"/>
                <w:rtl w:val="true"/>
              </w:rPr>
              <w:tab/>
            </w:r>
            <w:r>
              <w:rPr>
                <w:rStyle w:val="IndexLink"/>
              </w:rPr>
              <w:t>63</w:t>
            </w:r>
          </w:hyperlink>
        </w:p>
        <w:p>
          <w:pPr>
            <w:pStyle w:val="Contents4"/>
            <w:tabs>
              <w:tab w:val="clear" w:pos="8176"/>
              <w:tab w:val="right" w:pos="9026" w:leader="dot"/>
            </w:tabs>
            <w:rPr/>
          </w:pPr>
          <w:hyperlink w:anchor="__RefHeading___Toc5369645_1280447820">
            <w:r>
              <w:rPr>
                <w:webHidden/>
                <w:rStyle w:val="IndexLink"/>
              </w:rPr>
              <w:t>20</w:t>
            </w:r>
            <w:r>
              <w:rPr>
                <w:rStyle w:val="IndexLink"/>
                <w:rtl w:val="true"/>
              </w:rPr>
              <w:t xml:space="preserve">/ </w:t>
            </w:r>
            <w:r>
              <w:rPr>
                <w:rStyle w:val="IndexLink"/>
              </w:rPr>
              <w:t>1</w:t>
            </w:r>
            <w:r>
              <w:rPr>
                <w:rStyle w:val="IndexLink"/>
                <w:rtl w:val="true"/>
              </w:rPr>
              <w:t>.</w:t>
            </w:r>
            <w:r>
              <w:rPr>
                <w:rStyle w:val="IndexLink"/>
                <w:rtl w:val="true"/>
              </w:rPr>
              <w:t>تمهيد</w:t>
            </w:r>
            <w:r>
              <w:rPr>
                <w:rStyle w:val="IndexLink"/>
                <w:rtl w:val="true"/>
              </w:rPr>
              <w:tab/>
            </w:r>
            <w:r>
              <w:rPr>
                <w:rStyle w:val="IndexLink"/>
              </w:rPr>
              <w:t>63</w:t>
            </w:r>
          </w:hyperlink>
        </w:p>
        <w:p>
          <w:pPr>
            <w:pStyle w:val="Contents4"/>
            <w:tabs>
              <w:tab w:val="clear" w:pos="8176"/>
              <w:tab w:val="right" w:pos="9026" w:leader="dot"/>
            </w:tabs>
            <w:rPr/>
          </w:pPr>
          <w:hyperlink w:anchor="__RefHeading___Toc5369647_1280447820">
            <w:r>
              <w:rPr>
                <w:webHidden/>
                <w:rStyle w:val="IndexLink"/>
              </w:rPr>
              <w:t>20</w:t>
            </w:r>
            <w:r>
              <w:rPr>
                <w:rStyle w:val="IndexLink"/>
                <w:rtl w:val="true"/>
              </w:rPr>
              <w:t xml:space="preserve"> /</w:t>
            </w:r>
            <w:r>
              <w:rPr>
                <w:rStyle w:val="IndexLink"/>
              </w:rPr>
              <w:t>2</w:t>
            </w:r>
            <w:r>
              <w:rPr>
                <w:rStyle w:val="IndexLink"/>
                <w:rtl w:val="true"/>
              </w:rPr>
              <w:t>.</w:t>
            </w:r>
            <w:r>
              <w:rPr>
                <w:rStyle w:val="IndexLink"/>
                <w:rtl w:val="true"/>
              </w:rPr>
              <w:t>تحليل العصمة</w:t>
            </w:r>
            <w:r>
              <w:rPr>
                <w:rStyle w:val="IndexLink"/>
                <w:rtl w:val="true"/>
              </w:rPr>
              <w:tab/>
            </w:r>
            <w:r>
              <w:rPr>
                <w:rStyle w:val="IndexLink"/>
              </w:rPr>
              <w:t>64</w:t>
            </w:r>
          </w:hyperlink>
        </w:p>
        <w:p>
          <w:pPr>
            <w:pStyle w:val="Contents5"/>
            <w:tabs>
              <w:tab w:val="clear" w:pos="7892"/>
              <w:tab w:val="right" w:pos="9026" w:leader="dot"/>
            </w:tabs>
            <w:rPr/>
          </w:pPr>
          <w:hyperlink w:anchor="__RefHeading___Toc5369649_1280447820">
            <w:r>
              <w:rPr>
                <w:webHidden/>
                <w:rStyle w:val="IndexLink"/>
                <w:rtl w:val="true"/>
              </w:rPr>
              <w:t>إشارة</w:t>
            </w:r>
            <w:r>
              <w:rPr>
                <w:rStyle w:val="IndexLink"/>
                <w:rtl w:val="true"/>
              </w:rPr>
              <w:tab/>
            </w:r>
            <w:r>
              <w:rPr>
                <w:rStyle w:val="IndexLink"/>
              </w:rPr>
              <w:t>64</w:t>
            </w:r>
          </w:hyperlink>
        </w:p>
        <w:p>
          <w:pPr>
            <w:pStyle w:val="Contents5"/>
            <w:tabs>
              <w:tab w:val="clear" w:pos="7892"/>
              <w:tab w:val="right" w:pos="9026" w:leader="dot"/>
            </w:tabs>
            <w:rPr/>
          </w:pPr>
          <w:hyperlink w:anchor="__RefHeading___Toc5369651_1280447820">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w:t>
            </w:r>
            <w:r>
              <w:rPr>
                <w:rStyle w:val="IndexLink"/>
                <w:rtl w:val="true"/>
              </w:rPr>
              <w:t xml:space="preserve">تفسير العصمة باللطف </w:t>
            </w:r>
            <w:r>
              <w:rPr>
                <w:rStyle w:val="IndexLink"/>
                <w:rtl w:val="true"/>
              </w:rPr>
              <w:t>:</w:t>
              <w:tab/>
            </w:r>
            <w:r>
              <w:rPr>
                <w:rStyle w:val="IndexLink"/>
              </w:rPr>
              <w:t>65</w:t>
            </w:r>
          </w:hyperlink>
        </w:p>
        <w:p>
          <w:pPr>
            <w:pStyle w:val="Contents5"/>
            <w:tabs>
              <w:tab w:val="clear" w:pos="7892"/>
              <w:tab w:val="right" w:pos="9026" w:leader="dot"/>
            </w:tabs>
            <w:rPr/>
          </w:pPr>
          <w:hyperlink w:anchor="__RefHeading___Toc5369653_1280447820">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w:t>
            </w:r>
            <w:r>
              <w:rPr>
                <w:rStyle w:val="IndexLink"/>
                <w:rtl w:val="true"/>
              </w:rPr>
              <w:t xml:space="preserve">تفسير العصمة بكمال القوة العقليّة </w:t>
            </w:r>
            <w:r>
              <w:rPr>
                <w:rStyle w:val="IndexLink"/>
                <w:rtl w:val="true"/>
              </w:rPr>
              <w:t>:</w:t>
              <w:tab/>
            </w:r>
            <w:r>
              <w:rPr>
                <w:rStyle w:val="IndexLink"/>
              </w:rPr>
              <w:t>65</w:t>
            </w:r>
          </w:hyperlink>
        </w:p>
        <w:p>
          <w:pPr>
            <w:pStyle w:val="Contents5"/>
            <w:tabs>
              <w:tab w:val="clear" w:pos="7892"/>
              <w:tab w:val="right" w:pos="9026" w:leader="dot"/>
            </w:tabs>
            <w:rPr/>
          </w:pPr>
          <w:hyperlink w:anchor="__RefHeading___Toc5369655_1280447820">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w:t>
            </w:r>
            <w:r>
              <w:rPr>
                <w:rStyle w:val="IndexLink"/>
                <w:rtl w:val="true"/>
              </w:rPr>
              <w:t xml:space="preserve">تفسير العصمة بالملكة الإنسانيّة </w:t>
            </w:r>
            <w:r>
              <w:rPr>
                <w:rStyle w:val="IndexLink"/>
                <w:rtl w:val="true"/>
              </w:rPr>
              <w:t>:</w:t>
              <w:tab/>
            </w:r>
            <w:r>
              <w:rPr>
                <w:rStyle w:val="IndexLink"/>
              </w:rPr>
              <w:t>66</w:t>
            </w:r>
          </w:hyperlink>
        </w:p>
        <w:p>
          <w:pPr>
            <w:pStyle w:val="Contents5"/>
            <w:tabs>
              <w:tab w:val="clear" w:pos="7892"/>
              <w:tab w:val="right" w:pos="9026" w:leader="dot"/>
            </w:tabs>
            <w:rPr/>
          </w:pPr>
          <w:hyperlink w:anchor="__RefHeading___Toc5369657_1280447820">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w:t>
            </w:r>
            <w:r>
              <w:rPr>
                <w:rStyle w:val="IndexLink"/>
                <w:rtl w:val="true"/>
              </w:rPr>
              <w:t xml:space="preserve">المختار في تفسير العصمة </w:t>
            </w:r>
            <w:r>
              <w:rPr>
                <w:rStyle w:val="IndexLink"/>
                <w:rtl w:val="true"/>
              </w:rPr>
              <w:t>:</w:t>
              <w:tab/>
            </w:r>
            <w:r>
              <w:rPr>
                <w:rStyle w:val="IndexLink"/>
              </w:rPr>
              <w:t>66</w:t>
            </w:r>
          </w:hyperlink>
        </w:p>
        <w:p>
          <w:pPr>
            <w:pStyle w:val="Contents4"/>
            <w:tabs>
              <w:tab w:val="clear" w:pos="8176"/>
              <w:tab w:val="right" w:pos="9026" w:leader="dot"/>
            </w:tabs>
            <w:rPr/>
          </w:pPr>
          <w:hyperlink w:anchor="__RefHeading___Toc5369659_1280447820">
            <w:r>
              <w:rPr>
                <w:webHidden/>
                <w:rStyle w:val="IndexLink"/>
              </w:rPr>
              <w:t>20</w:t>
            </w:r>
            <w:r>
              <w:rPr>
                <w:rStyle w:val="IndexLink"/>
                <w:rtl w:val="true"/>
              </w:rPr>
              <w:t xml:space="preserve"> /</w:t>
            </w:r>
            <w:r>
              <w:rPr>
                <w:rStyle w:val="IndexLink"/>
              </w:rPr>
              <w:t>3</w:t>
            </w:r>
            <w:r>
              <w:rPr>
                <w:rStyle w:val="IndexLink"/>
                <w:rtl w:val="true"/>
              </w:rPr>
              <w:t>.</w:t>
            </w:r>
            <w:r>
              <w:rPr>
                <w:rStyle w:val="IndexLink"/>
                <w:rtl w:val="true"/>
              </w:rPr>
              <w:t xml:space="preserve">مجال العصمة وسعة مفهومها </w:t>
            </w:r>
            <w:r>
              <w:rPr>
                <w:rStyle w:val="IndexLink"/>
                <w:rtl w:val="true"/>
              </w:rPr>
              <w:t>:</w:t>
              <w:tab/>
            </w:r>
            <w:r>
              <w:rPr>
                <w:rStyle w:val="IndexLink"/>
              </w:rPr>
              <w:t>67</w:t>
            </w:r>
          </w:hyperlink>
        </w:p>
        <w:p>
          <w:pPr>
            <w:pStyle w:val="Contents4"/>
            <w:tabs>
              <w:tab w:val="clear" w:pos="8176"/>
              <w:tab w:val="right" w:pos="9026" w:leader="dot"/>
            </w:tabs>
            <w:rPr/>
          </w:pPr>
          <w:hyperlink w:anchor="__RefHeading___Toc5369661_1280447820">
            <w:r>
              <w:rPr>
                <w:webHidden/>
                <w:rStyle w:val="IndexLink"/>
              </w:rPr>
              <w:t>20</w:t>
            </w:r>
            <w:r>
              <w:rPr>
                <w:rStyle w:val="IndexLink"/>
                <w:rtl w:val="true"/>
              </w:rPr>
              <w:t xml:space="preserve"> /</w:t>
            </w:r>
            <w:r>
              <w:rPr>
                <w:rStyle w:val="IndexLink"/>
              </w:rPr>
              <w:t>4</w:t>
            </w:r>
            <w:r>
              <w:rPr>
                <w:rStyle w:val="IndexLink"/>
                <w:rtl w:val="true"/>
              </w:rPr>
              <w:t>.</w:t>
            </w:r>
            <w:r>
              <w:rPr>
                <w:rStyle w:val="IndexLink"/>
                <w:rtl w:val="true"/>
              </w:rPr>
              <w:t xml:space="preserve">الأدلّة على عصمة الأئمة </w:t>
            </w:r>
            <w:r>
              <w:rPr>
                <w:rStyle w:val="IndexLink"/>
                <w:rtl w:val="true"/>
              </w:rPr>
              <w:t>(</w:t>
            </w:r>
            <w:r>
              <w:rPr>
                <w:rStyle w:val="IndexLink"/>
                <w:rtl w:val="true"/>
              </w:rPr>
              <w:t>علیهم السلام</w:t>
            </w:r>
            <w:r>
              <w:rPr>
                <w:rStyle w:val="IndexLink"/>
                <w:rtl w:val="true"/>
              </w:rPr>
              <w:t>):</w:t>
              <w:tab/>
            </w:r>
            <w:r>
              <w:rPr>
                <w:rStyle w:val="IndexLink"/>
              </w:rPr>
              <w:t>69</w:t>
            </w:r>
          </w:hyperlink>
        </w:p>
        <w:p>
          <w:pPr>
            <w:pStyle w:val="Contents5"/>
            <w:tabs>
              <w:tab w:val="clear" w:pos="7892"/>
              <w:tab w:val="right" w:pos="9026" w:leader="dot"/>
            </w:tabs>
            <w:rPr/>
          </w:pPr>
          <w:hyperlink w:anchor="__RefHeading___Toc5369663_1280447820">
            <w:r>
              <w:rPr>
                <w:webHidden/>
                <w:rStyle w:val="IndexLink"/>
                <w:rtl w:val="true"/>
              </w:rPr>
              <w:t>إشارة</w:t>
            </w:r>
            <w:r>
              <w:rPr>
                <w:rStyle w:val="IndexLink"/>
                <w:rtl w:val="true"/>
              </w:rPr>
              <w:tab/>
            </w:r>
            <w:r>
              <w:rPr>
                <w:rStyle w:val="IndexLink"/>
              </w:rPr>
              <w:t>69</w:t>
            </w:r>
          </w:hyperlink>
        </w:p>
        <w:p>
          <w:pPr>
            <w:pStyle w:val="Contents5"/>
            <w:tabs>
              <w:tab w:val="clear" w:pos="7892"/>
              <w:tab w:val="right" w:pos="9026" w:leader="dot"/>
            </w:tabs>
            <w:rPr/>
          </w:pPr>
          <w:hyperlink w:anchor="__RefHeading___Toc5369665_1280447820">
            <w:r>
              <w:rPr>
                <w:webHidden/>
                <w:rStyle w:val="IndexLink"/>
              </w:rPr>
              <w:t>20</w:t>
            </w:r>
            <w:r>
              <w:rPr>
                <w:rStyle w:val="IndexLink"/>
                <w:rtl w:val="true"/>
              </w:rPr>
              <w:t xml:space="preserve"> / </w:t>
            </w:r>
            <w:r>
              <w:rPr>
                <w:rStyle w:val="IndexLink"/>
              </w:rPr>
              <w:t>4</w:t>
            </w:r>
            <w:r>
              <w:rPr>
                <w:rStyle w:val="IndexLink"/>
                <w:rtl w:val="true"/>
              </w:rPr>
              <w:t xml:space="preserve"> /</w:t>
            </w:r>
            <w:r>
              <w:rPr>
                <w:rStyle w:val="IndexLink"/>
              </w:rPr>
              <w:t>1</w:t>
            </w:r>
            <w:r>
              <w:rPr>
                <w:rStyle w:val="IndexLink"/>
                <w:rtl w:val="true"/>
              </w:rPr>
              <w:t>.</w:t>
            </w:r>
            <w:r>
              <w:rPr>
                <w:rStyle w:val="IndexLink"/>
                <w:rtl w:val="true"/>
              </w:rPr>
              <w:t xml:space="preserve">برهان التسلسل </w:t>
            </w:r>
            <w:r>
              <w:rPr>
                <w:rStyle w:val="IndexLink"/>
                <w:rtl w:val="true"/>
              </w:rPr>
              <w:t>:</w:t>
              <w:tab/>
            </w:r>
            <w:r>
              <w:rPr>
                <w:rStyle w:val="IndexLink"/>
              </w:rPr>
              <w:t>69</w:t>
            </w:r>
          </w:hyperlink>
        </w:p>
        <w:p>
          <w:pPr>
            <w:pStyle w:val="Contents5"/>
            <w:tabs>
              <w:tab w:val="clear" w:pos="7892"/>
              <w:tab w:val="right" w:pos="9026" w:leader="dot"/>
            </w:tabs>
            <w:rPr/>
          </w:pPr>
          <w:hyperlink w:anchor="__RefHeading___Toc5369667_1280447820">
            <w:r>
              <w:rPr>
                <w:webHidden/>
                <w:rStyle w:val="IndexLink"/>
              </w:rPr>
              <w:t>20</w:t>
            </w:r>
            <w:r>
              <w:rPr>
                <w:rStyle w:val="IndexLink"/>
                <w:rtl w:val="true"/>
              </w:rPr>
              <w:t xml:space="preserve"> / </w:t>
            </w:r>
            <w:r>
              <w:rPr>
                <w:rStyle w:val="IndexLink"/>
              </w:rPr>
              <w:t>4</w:t>
            </w:r>
            <w:r>
              <w:rPr>
                <w:rStyle w:val="IndexLink"/>
                <w:rtl w:val="true"/>
              </w:rPr>
              <w:t xml:space="preserve">/ </w:t>
            </w:r>
            <w:r>
              <w:rPr>
                <w:rStyle w:val="IndexLink"/>
              </w:rPr>
              <w:t>2</w:t>
            </w:r>
            <w:r>
              <w:rPr>
                <w:rStyle w:val="IndexLink"/>
                <w:rtl w:val="true"/>
              </w:rPr>
              <w:t>.</w:t>
            </w:r>
            <w:r>
              <w:rPr>
                <w:rStyle w:val="IndexLink"/>
                <w:rtl w:val="true"/>
              </w:rPr>
              <w:t xml:space="preserve">برهان حافظ الدين والشريعة </w:t>
            </w:r>
            <w:r>
              <w:rPr>
                <w:rStyle w:val="IndexLink"/>
                <w:rtl w:val="true"/>
              </w:rPr>
              <w:t>:</w:t>
              <w:tab/>
            </w:r>
            <w:r>
              <w:rPr>
                <w:rStyle w:val="IndexLink"/>
              </w:rPr>
              <w:t>73</w:t>
            </w:r>
          </w:hyperlink>
        </w:p>
        <w:p>
          <w:pPr>
            <w:pStyle w:val="Contents3"/>
            <w:tabs>
              <w:tab w:val="clear" w:pos="8459"/>
              <w:tab w:val="right" w:pos="9026" w:leader="dot"/>
            </w:tabs>
            <w:rPr/>
          </w:pPr>
          <w:hyperlink w:anchor="__RefHeading___Toc5369669_1280447820">
            <w:r>
              <w:rPr>
                <w:webHidden/>
                <w:rStyle w:val="IndexLink"/>
              </w:rPr>
              <w:t>21</w:t>
            </w:r>
            <w:r>
              <w:rPr>
                <w:rStyle w:val="IndexLink"/>
                <w:rtl w:val="true"/>
              </w:rPr>
              <w:t>.</w:t>
            </w:r>
            <w:r>
              <w:rPr>
                <w:rStyle w:val="IndexLink"/>
                <w:rtl w:val="true"/>
              </w:rPr>
              <w:t>علم الإمام</w:t>
            </w:r>
            <w:r>
              <w:rPr>
                <w:rStyle w:val="IndexLink"/>
                <w:rtl w:val="true"/>
              </w:rPr>
              <w:tab/>
            </w:r>
            <w:r>
              <w:rPr>
                <w:rStyle w:val="IndexLink"/>
              </w:rPr>
              <w:t>78</w:t>
            </w:r>
          </w:hyperlink>
        </w:p>
        <w:p>
          <w:pPr>
            <w:pStyle w:val="Contents4"/>
            <w:tabs>
              <w:tab w:val="clear" w:pos="8176"/>
              <w:tab w:val="right" w:pos="9026" w:leader="dot"/>
            </w:tabs>
            <w:rPr/>
          </w:pPr>
          <w:hyperlink w:anchor="__RefHeading___Toc5369671_1280447820">
            <w:r>
              <w:rPr>
                <w:webHidden/>
                <w:rStyle w:val="IndexLink"/>
              </w:rPr>
              <w:t>21</w:t>
            </w:r>
            <w:r>
              <w:rPr>
                <w:rStyle w:val="IndexLink"/>
                <w:rtl w:val="true"/>
              </w:rPr>
              <w:t xml:space="preserve"> /</w:t>
            </w:r>
            <w:r>
              <w:rPr>
                <w:rStyle w:val="IndexLink"/>
              </w:rPr>
              <w:t>1</w:t>
            </w:r>
            <w:r>
              <w:rPr>
                <w:rStyle w:val="IndexLink"/>
                <w:rtl w:val="true"/>
              </w:rPr>
              <w:t>.</w:t>
            </w:r>
            <w:r>
              <w:rPr>
                <w:rStyle w:val="IndexLink"/>
                <w:rtl w:val="true"/>
              </w:rPr>
              <w:t>تمهید</w:t>
            </w:r>
            <w:r>
              <w:rPr>
                <w:rStyle w:val="IndexLink"/>
                <w:rtl w:val="true"/>
              </w:rPr>
              <w:t>:</w:t>
              <w:tab/>
            </w:r>
            <w:r>
              <w:rPr>
                <w:rStyle w:val="IndexLink"/>
              </w:rPr>
              <w:t>78</w:t>
            </w:r>
          </w:hyperlink>
        </w:p>
        <w:p>
          <w:pPr>
            <w:pStyle w:val="Contents4"/>
            <w:tabs>
              <w:tab w:val="clear" w:pos="8176"/>
              <w:tab w:val="right" w:pos="9026" w:leader="dot"/>
            </w:tabs>
            <w:rPr/>
          </w:pPr>
          <w:hyperlink w:anchor="__RefHeading___Toc5369673_1280447820">
            <w:r>
              <w:rPr>
                <w:webHidden/>
                <w:rStyle w:val="IndexLink"/>
              </w:rPr>
              <w:t>21</w:t>
            </w:r>
            <w:r>
              <w:rPr>
                <w:rStyle w:val="IndexLink"/>
                <w:rtl w:val="true"/>
              </w:rPr>
              <w:t xml:space="preserve"> /</w:t>
            </w:r>
            <w:r>
              <w:rPr>
                <w:rStyle w:val="IndexLink"/>
              </w:rPr>
              <w:t>2</w:t>
            </w:r>
            <w:r>
              <w:rPr>
                <w:rStyle w:val="IndexLink"/>
                <w:rtl w:val="true"/>
              </w:rPr>
              <w:t>.</w:t>
            </w:r>
            <w:r>
              <w:rPr>
                <w:rStyle w:val="IndexLink"/>
                <w:rtl w:val="true"/>
              </w:rPr>
              <w:t xml:space="preserve">براهين علم الإمام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5369675_1280447820">
            <w:r>
              <w:rPr>
                <w:webHidden/>
                <w:rStyle w:val="IndexLink"/>
              </w:rPr>
              <w:t>21</w:t>
            </w:r>
            <w:r>
              <w:rPr>
                <w:rStyle w:val="IndexLink"/>
                <w:rtl w:val="true"/>
              </w:rPr>
              <w:t xml:space="preserve"> /</w:t>
            </w:r>
            <w:r>
              <w:rPr>
                <w:rStyle w:val="IndexLink"/>
              </w:rPr>
              <w:t>3</w:t>
            </w:r>
            <w:r>
              <w:rPr>
                <w:rStyle w:val="IndexLink"/>
                <w:rtl w:val="true"/>
              </w:rPr>
              <w:t>.</w:t>
            </w:r>
            <w:r>
              <w:rPr>
                <w:rStyle w:val="IndexLink"/>
                <w:rtl w:val="true"/>
              </w:rPr>
              <w:t xml:space="preserve">سعة نطاق علم الإمام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5369677_1280447820">
            <w:r>
              <w:rPr>
                <w:webHidden/>
                <w:rStyle w:val="IndexLink"/>
                <w:rtl w:val="true"/>
              </w:rPr>
              <w:t>إشارة</w:t>
            </w:r>
            <w:r>
              <w:rPr>
                <w:rStyle w:val="IndexLink"/>
                <w:rtl w:val="true"/>
              </w:rPr>
              <w:tab/>
            </w:r>
            <w:r>
              <w:rPr>
                <w:rStyle w:val="IndexLink"/>
              </w:rPr>
              <w:t>84</w:t>
            </w:r>
          </w:hyperlink>
        </w:p>
        <w:p>
          <w:pPr>
            <w:pStyle w:val="Contents5"/>
            <w:tabs>
              <w:tab w:val="clear" w:pos="7892"/>
              <w:tab w:val="right" w:pos="9026" w:leader="dot"/>
            </w:tabs>
            <w:rPr/>
          </w:pPr>
          <w:hyperlink w:anchor="__RefHeading___Toc5369679_1280447820">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w:t>
            </w:r>
            <w:r>
              <w:rPr>
                <w:rStyle w:val="IndexLink"/>
                <w:rtl w:val="true"/>
              </w:rPr>
              <w:t xml:space="preserve">معنى علم الإمام بالغيب </w:t>
            </w:r>
            <w:r>
              <w:rPr>
                <w:rStyle w:val="IndexLink"/>
                <w:rtl w:val="true"/>
              </w:rPr>
              <w:t>:</w:t>
              <w:tab/>
            </w:r>
            <w:r>
              <w:rPr>
                <w:rStyle w:val="IndexLink"/>
              </w:rPr>
              <w:t>84</w:t>
            </w:r>
          </w:hyperlink>
        </w:p>
        <w:p>
          <w:pPr>
            <w:pStyle w:val="Contents5"/>
            <w:tabs>
              <w:tab w:val="clear" w:pos="7892"/>
              <w:tab w:val="right" w:pos="9026" w:leader="dot"/>
            </w:tabs>
            <w:rPr/>
          </w:pPr>
          <w:hyperlink w:anchor="__RefHeading___Toc5369681_1280447820">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w:t>
            </w:r>
            <w:r>
              <w:rPr>
                <w:rStyle w:val="IndexLink"/>
                <w:rtl w:val="true"/>
              </w:rPr>
              <w:t xml:space="preserve">المنقولات التاريخيّة عن إخبار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بالغيب</w:t>
            </w:r>
            <w:r>
              <w:rPr>
                <w:rStyle w:val="IndexLink"/>
                <w:rtl w:val="true"/>
              </w:rPr>
              <w:t>:</w:t>
              <w:tab/>
            </w:r>
            <w:r>
              <w:rPr>
                <w:rStyle w:val="IndexLink"/>
              </w:rPr>
              <w:t>87</w:t>
            </w:r>
          </w:hyperlink>
        </w:p>
        <w:p>
          <w:pPr>
            <w:pStyle w:val="Contents5"/>
            <w:tabs>
              <w:tab w:val="clear" w:pos="7892"/>
              <w:tab w:val="right" w:pos="9026" w:leader="dot"/>
            </w:tabs>
            <w:rPr/>
          </w:pPr>
          <w:hyperlink w:anchor="__RefHeading___Toc5369683_1280447820">
            <w:r>
              <w:rPr>
                <w:webHidden/>
                <w:rStyle w:val="IndexLink"/>
              </w:rPr>
              <w:t>21</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w:t>
            </w:r>
            <w:r>
              <w:rPr>
                <w:rStyle w:val="IndexLink"/>
                <w:rtl w:val="true"/>
              </w:rPr>
              <w:t xml:space="preserve">علم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بكيفيّة موتهم</w:t>
            </w:r>
            <w:r>
              <w:rPr>
                <w:rStyle w:val="IndexLink"/>
                <w:rtl w:val="true"/>
              </w:rPr>
              <w:t>:</w:t>
              <w:tab/>
            </w:r>
            <w:r>
              <w:rPr>
                <w:rStyle w:val="IndexLink"/>
              </w:rPr>
              <w:t>89</w:t>
            </w:r>
          </w:hyperlink>
        </w:p>
        <w:p>
          <w:pPr>
            <w:pStyle w:val="Contents4"/>
            <w:tabs>
              <w:tab w:val="clear" w:pos="8176"/>
              <w:tab w:val="right" w:pos="9026" w:leader="dot"/>
            </w:tabs>
            <w:rPr/>
          </w:pPr>
          <w:hyperlink w:anchor="__RefHeading___Toc5369685_1280447820">
            <w:r>
              <w:rPr>
                <w:webHidden/>
                <w:rStyle w:val="IndexLink"/>
              </w:rPr>
              <w:t>21</w:t>
            </w:r>
            <w:r>
              <w:rPr>
                <w:rStyle w:val="IndexLink"/>
                <w:rtl w:val="true"/>
              </w:rPr>
              <w:t xml:space="preserve"> /</w:t>
            </w:r>
            <w:r>
              <w:rPr>
                <w:rStyle w:val="IndexLink"/>
              </w:rPr>
              <w:t>4</w:t>
            </w:r>
            <w:r>
              <w:rPr>
                <w:rStyle w:val="IndexLink"/>
                <w:rtl w:val="true"/>
              </w:rPr>
              <w:t>.</w:t>
            </w:r>
            <w:r>
              <w:rPr>
                <w:rStyle w:val="IndexLink"/>
                <w:rtl w:val="true"/>
              </w:rPr>
              <w:t xml:space="preserve">مصادر علم الإمام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5"/>
            <w:tabs>
              <w:tab w:val="clear" w:pos="7892"/>
              <w:tab w:val="right" w:pos="9026" w:leader="dot"/>
            </w:tabs>
            <w:rPr/>
          </w:pPr>
          <w:hyperlink w:anchor="__RefHeading___Toc5369687_1280447820">
            <w:r>
              <w:rPr>
                <w:webHidden/>
                <w:rStyle w:val="IndexLink"/>
                <w:rtl w:val="true"/>
              </w:rPr>
              <w:t>إشارة</w:t>
            </w:r>
            <w:r>
              <w:rPr>
                <w:rStyle w:val="IndexLink"/>
                <w:rtl w:val="true"/>
              </w:rPr>
              <w:tab/>
            </w:r>
            <w:r>
              <w:rPr>
                <w:rStyle w:val="IndexLink"/>
              </w:rPr>
              <w:t>95</w:t>
            </w:r>
          </w:hyperlink>
        </w:p>
        <w:p>
          <w:pPr>
            <w:pStyle w:val="Contents5"/>
            <w:tabs>
              <w:tab w:val="clear" w:pos="7892"/>
              <w:tab w:val="right" w:pos="9026" w:leader="dot"/>
            </w:tabs>
            <w:rPr/>
          </w:pPr>
          <w:hyperlink w:anchor="__RefHeading___Toc5369689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w:t>
            </w:r>
            <w:r>
              <w:rPr>
                <w:rStyle w:val="IndexLink"/>
                <w:rtl w:val="true"/>
              </w:rPr>
              <w:t>القرآن الكريم</w:t>
            </w:r>
            <w:r>
              <w:rPr>
                <w:rStyle w:val="IndexLink"/>
                <w:rtl w:val="true"/>
              </w:rPr>
              <w:t>:</w:t>
              <w:tab/>
            </w:r>
            <w:r>
              <w:rPr>
                <w:rStyle w:val="IndexLink"/>
              </w:rPr>
              <w:t>95</w:t>
            </w:r>
          </w:hyperlink>
        </w:p>
        <w:p>
          <w:pPr>
            <w:pStyle w:val="Contents5"/>
            <w:tabs>
              <w:tab w:val="clear" w:pos="7892"/>
              <w:tab w:val="right" w:pos="9026" w:leader="dot"/>
            </w:tabs>
            <w:rPr/>
          </w:pPr>
          <w:hyperlink w:anchor="__RefHeading___Toc5369691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w:t>
            </w:r>
            <w:r>
              <w:rPr>
                <w:rStyle w:val="IndexLink"/>
                <w:rtl w:val="true"/>
              </w:rPr>
              <w:t>العلم النبويّ</w:t>
            </w:r>
            <w:r>
              <w:rPr>
                <w:rStyle w:val="IndexLink"/>
                <w:rtl w:val="true"/>
              </w:rPr>
              <w:t>:</w:t>
              <w:tab/>
            </w:r>
            <w:r>
              <w:rPr>
                <w:rStyle w:val="IndexLink"/>
              </w:rPr>
              <w:t>98</w:t>
            </w:r>
          </w:hyperlink>
        </w:p>
        <w:p>
          <w:pPr>
            <w:pStyle w:val="Contents5"/>
            <w:tabs>
              <w:tab w:val="clear" w:pos="7892"/>
              <w:tab w:val="right" w:pos="9026" w:leader="dot"/>
            </w:tabs>
            <w:rPr/>
          </w:pPr>
          <w:hyperlink w:anchor="__RefHeading___Toc5369693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w:t>
            </w:r>
            <w:r>
              <w:rPr>
                <w:rStyle w:val="IndexLink"/>
                <w:rtl w:val="true"/>
              </w:rPr>
              <w:t xml:space="preserve">الصحيفة الجامعة للإمام عليّ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5"/>
            <w:tabs>
              <w:tab w:val="clear" w:pos="7892"/>
              <w:tab w:val="right" w:pos="9026" w:leader="dot"/>
            </w:tabs>
            <w:rPr/>
          </w:pPr>
          <w:hyperlink w:anchor="__RefHeading___Toc5369695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w:t>
            </w:r>
            <w:r>
              <w:rPr>
                <w:rStyle w:val="IndexLink"/>
                <w:rtl w:val="true"/>
              </w:rPr>
              <w:t xml:space="preserve">الجفر </w:t>
            </w:r>
            <w:r>
              <w:rPr>
                <w:rStyle w:val="IndexLink"/>
                <w:rtl w:val="true"/>
              </w:rPr>
              <w:t>:</w:t>
              <w:tab/>
            </w:r>
            <w:r>
              <w:rPr>
                <w:rStyle w:val="IndexLink"/>
              </w:rPr>
              <w:t>100</w:t>
            </w:r>
          </w:hyperlink>
        </w:p>
        <w:p>
          <w:pPr>
            <w:pStyle w:val="Contents5"/>
            <w:tabs>
              <w:tab w:val="clear" w:pos="7892"/>
              <w:tab w:val="right" w:pos="9026" w:leader="dot"/>
            </w:tabs>
            <w:rPr/>
          </w:pPr>
          <w:hyperlink w:anchor="__RefHeading___Toc5369697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w:t>
            </w:r>
            <w:r>
              <w:rPr>
                <w:rStyle w:val="IndexLink"/>
                <w:rtl w:val="true"/>
              </w:rPr>
              <w:t xml:space="preserve">مصحف فاطمة </w:t>
            </w:r>
            <w:r>
              <w:rPr>
                <w:rStyle w:val="IndexLink"/>
                <w:rtl w:val="true"/>
              </w:rPr>
              <w:t>(</w:t>
            </w:r>
            <w:r>
              <w:rPr>
                <w:rStyle w:val="IndexLink"/>
                <w:rtl w:val="true"/>
              </w:rPr>
              <w:t>علیها السلام</w:t>
            </w:r>
            <w:r>
              <w:rPr>
                <w:rStyle w:val="IndexLink"/>
                <w:rtl w:val="true"/>
              </w:rPr>
              <w:t>):</w:t>
              <w:tab/>
            </w:r>
            <w:r>
              <w:rPr>
                <w:rStyle w:val="IndexLink"/>
              </w:rPr>
              <w:t>101</w:t>
            </w:r>
          </w:hyperlink>
        </w:p>
        <w:p>
          <w:pPr>
            <w:pStyle w:val="Contents5"/>
            <w:tabs>
              <w:tab w:val="clear" w:pos="7892"/>
              <w:tab w:val="right" w:pos="9026" w:leader="dot"/>
            </w:tabs>
            <w:rPr/>
          </w:pPr>
          <w:hyperlink w:anchor="__RefHeading___Toc5369699_1280447820">
            <w:r>
              <w:rPr>
                <w:webHidden/>
                <w:rStyle w:val="IndexLink"/>
              </w:rPr>
              <w:t>21</w:t>
            </w:r>
            <w:r>
              <w:rPr>
                <w:rStyle w:val="IndexLink"/>
                <w:rtl w:val="true"/>
              </w:rPr>
              <w:t xml:space="preserve"> /</w:t>
            </w:r>
            <w:r>
              <w:rPr>
                <w:rStyle w:val="IndexLink"/>
              </w:rPr>
              <w:t>4</w:t>
            </w:r>
            <w:r>
              <w:rPr>
                <w:rStyle w:val="IndexLink"/>
                <w:rtl w:val="true"/>
              </w:rPr>
              <w:t xml:space="preserve"> /</w:t>
            </w:r>
            <w:r>
              <w:rPr>
                <w:rStyle w:val="IndexLink"/>
              </w:rPr>
              <w:t>6</w:t>
            </w:r>
            <w:r>
              <w:rPr>
                <w:rStyle w:val="IndexLink"/>
                <w:rtl w:val="true"/>
              </w:rPr>
              <w:t>.</w:t>
            </w:r>
            <w:r>
              <w:rPr>
                <w:rStyle w:val="IndexLink"/>
                <w:rtl w:val="true"/>
              </w:rPr>
              <w:t xml:space="preserve">التحديث </w:t>
            </w:r>
            <w:r>
              <w:rPr>
                <w:rStyle w:val="IndexLink"/>
                <w:rtl w:val="true"/>
              </w:rPr>
              <w:t>:</w:t>
              <w:tab/>
            </w:r>
            <w:r>
              <w:rPr>
                <w:rStyle w:val="IndexLink"/>
              </w:rPr>
              <w:t>103</w:t>
            </w:r>
          </w:hyperlink>
        </w:p>
        <w:p>
          <w:pPr>
            <w:pStyle w:val="Contents3"/>
            <w:tabs>
              <w:tab w:val="clear" w:pos="8459"/>
              <w:tab w:val="right" w:pos="9026" w:leader="dot"/>
            </w:tabs>
            <w:rPr/>
          </w:pPr>
          <w:hyperlink w:anchor="__RefHeading___Toc5369701_1280447820">
            <w:r>
              <w:rPr>
                <w:webHidden/>
                <w:rStyle w:val="IndexLink"/>
              </w:rPr>
              <w:t>22</w:t>
            </w:r>
            <w:r>
              <w:rPr>
                <w:rStyle w:val="IndexLink"/>
                <w:rtl w:val="true"/>
              </w:rPr>
              <w:t>.</w:t>
            </w:r>
            <w:r>
              <w:rPr>
                <w:rStyle w:val="IndexLink"/>
                <w:rtl w:val="true"/>
              </w:rPr>
              <w:t>أفضلية الإمام</w:t>
            </w:r>
            <w:r>
              <w:rPr>
                <w:rStyle w:val="IndexLink"/>
                <w:rtl w:val="true"/>
              </w:rPr>
              <w:tab/>
            </w:r>
            <w:r>
              <w:rPr>
                <w:rStyle w:val="IndexLink"/>
              </w:rPr>
              <w:t>105</w:t>
            </w:r>
          </w:hyperlink>
        </w:p>
        <w:p>
          <w:pPr>
            <w:pStyle w:val="Contents4"/>
            <w:tabs>
              <w:tab w:val="clear" w:pos="8176"/>
              <w:tab w:val="right" w:pos="9026" w:leader="dot"/>
            </w:tabs>
            <w:rPr/>
          </w:pPr>
          <w:hyperlink w:anchor="__RefHeading___Toc5369703_1280447820">
            <w:r>
              <w:rPr>
                <w:webHidden/>
                <w:rStyle w:val="IndexLink"/>
              </w:rPr>
              <w:t>22</w:t>
            </w:r>
            <w:r>
              <w:rPr>
                <w:rStyle w:val="IndexLink"/>
                <w:rtl w:val="true"/>
              </w:rPr>
              <w:t xml:space="preserve"> /</w:t>
            </w:r>
            <w:r>
              <w:rPr>
                <w:rStyle w:val="IndexLink"/>
              </w:rPr>
              <w:t>1</w:t>
            </w:r>
            <w:r>
              <w:rPr>
                <w:rStyle w:val="IndexLink"/>
                <w:rtl w:val="true"/>
              </w:rPr>
              <w:t>.</w:t>
            </w:r>
            <w:r>
              <w:rPr>
                <w:rStyle w:val="IndexLink"/>
                <w:rtl w:val="true"/>
              </w:rPr>
              <w:t xml:space="preserve">تمهيد </w:t>
            </w:r>
            <w:r>
              <w:rPr>
                <w:rStyle w:val="IndexLink"/>
                <w:rtl w:val="true"/>
              </w:rPr>
              <w:t>:</w:t>
              <w:tab/>
            </w:r>
            <w:r>
              <w:rPr>
                <w:rStyle w:val="IndexLink"/>
              </w:rPr>
              <w:t>105</w:t>
            </w:r>
          </w:hyperlink>
        </w:p>
        <w:p>
          <w:pPr>
            <w:pStyle w:val="Contents4"/>
            <w:tabs>
              <w:tab w:val="clear" w:pos="8176"/>
              <w:tab w:val="right" w:pos="9026" w:leader="dot"/>
            </w:tabs>
            <w:rPr/>
          </w:pPr>
          <w:hyperlink w:anchor="__RefHeading___Toc5369705_1280447820">
            <w:r>
              <w:rPr>
                <w:webHidden/>
                <w:rStyle w:val="IndexLink"/>
              </w:rPr>
              <w:t>22</w:t>
            </w:r>
            <w:r>
              <w:rPr>
                <w:rStyle w:val="IndexLink"/>
                <w:rtl w:val="true"/>
              </w:rPr>
              <w:t xml:space="preserve"> /</w:t>
            </w:r>
            <w:r>
              <w:rPr>
                <w:rStyle w:val="IndexLink"/>
              </w:rPr>
              <w:t>2</w:t>
            </w:r>
            <w:r>
              <w:rPr>
                <w:rStyle w:val="IndexLink"/>
                <w:rtl w:val="true"/>
              </w:rPr>
              <w:t>.</w:t>
            </w:r>
            <w:r>
              <w:rPr>
                <w:rStyle w:val="IndexLink"/>
                <w:rtl w:val="true"/>
              </w:rPr>
              <w:t xml:space="preserve">أفضليّة الإمام ضرورة </w:t>
            </w:r>
            <w:r>
              <w:rPr>
                <w:rStyle w:val="IndexLink"/>
                <w:rtl w:val="true"/>
              </w:rPr>
              <w:t>:</w:t>
              <w:tab/>
            </w:r>
            <w:r>
              <w:rPr>
                <w:rStyle w:val="IndexLink"/>
              </w:rPr>
              <w:t>106</w:t>
            </w:r>
          </w:hyperlink>
        </w:p>
        <w:p>
          <w:pPr>
            <w:pStyle w:val="Contents4"/>
            <w:tabs>
              <w:tab w:val="clear" w:pos="8176"/>
              <w:tab w:val="right" w:pos="9026" w:leader="dot"/>
            </w:tabs>
            <w:rPr/>
          </w:pPr>
          <w:hyperlink w:anchor="__RefHeading___Toc5369707_1280447820">
            <w:r>
              <w:rPr>
                <w:webHidden/>
                <w:rStyle w:val="IndexLink"/>
              </w:rPr>
              <w:t>22</w:t>
            </w:r>
            <w:r>
              <w:rPr>
                <w:rStyle w:val="IndexLink"/>
                <w:rtl w:val="true"/>
              </w:rPr>
              <w:t xml:space="preserve"> /</w:t>
            </w:r>
            <w:r>
              <w:rPr>
                <w:rStyle w:val="IndexLink"/>
              </w:rPr>
              <w:t>3</w:t>
            </w:r>
            <w:r>
              <w:rPr>
                <w:rStyle w:val="IndexLink"/>
                <w:rtl w:val="true"/>
              </w:rPr>
              <w:t>.</w:t>
            </w:r>
            <w:r>
              <w:rPr>
                <w:rStyle w:val="IndexLink"/>
                <w:rtl w:val="true"/>
              </w:rPr>
              <w:t xml:space="preserve">الأدلّة العقليّة على الأفضلية </w:t>
            </w:r>
            <w:r>
              <w:rPr>
                <w:rStyle w:val="IndexLink"/>
                <w:rtl w:val="true"/>
              </w:rPr>
              <w:t>:</w:t>
              <w:tab/>
            </w:r>
            <w:r>
              <w:rPr>
                <w:rStyle w:val="IndexLink"/>
              </w:rPr>
              <w:t>108</w:t>
            </w:r>
          </w:hyperlink>
        </w:p>
        <w:p>
          <w:pPr>
            <w:pStyle w:val="Contents3"/>
            <w:tabs>
              <w:tab w:val="clear" w:pos="8459"/>
              <w:tab w:val="right" w:pos="9026" w:leader="dot"/>
            </w:tabs>
            <w:rPr/>
          </w:pPr>
          <w:hyperlink w:anchor="__RefHeading___Toc5369709_1280447820">
            <w:r>
              <w:rPr>
                <w:webHidden/>
                <w:rStyle w:val="IndexLink"/>
              </w:rPr>
              <w:t>23</w:t>
            </w:r>
            <w:r>
              <w:rPr>
                <w:rStyle w:val="IndexLink"/>
                <w:rtl w:val="true"/>
              </w:rPr>
              <w:t>.</w:t>
            </w:r>
            <w:r>
              <w:rPr>
                <w:rStyle w:val="IndexLink"/>
                <w:rtl w:val="true"/>
              </w:rPr>
              <w:t xml:space="preserve">التعيين والنصّ على الإمام </w:t>
            </w:r>
            <w:r>
              <w:rPr>
                <w:rStyle w:val="IndexLink"/>
                <w:rtl w:val="true"/>
              </w:rPr>
              <w:t>:</w:t>
              <w:tab/>
            </w:r>
            <w:r>
              <w:rPr>
                <w:rStyle w:val="IndexLink"/>
              </w:rPr>
              <w:t>109</w:t>
            </w:r>
          </w:hyperlink>
        </w:p>
        <w:p>
          <w:pPr>
            <w:pStyle w:val="Contents4"/>
            <w:tabs>
              <w:tab w:val="clear" w:pos="8176"/>
              <w:tab w:val="right" w:pos="9026" w:leader="dot"/>
            </w:tabs>
            <w:rPr/>
          </w:pPr>
          <w:hyperlink w:anchor="__RefHeading___Toc5369711_1280447820">
            <w:r>
              <w:rPr>
                <w:webHidden/>
                <w:rStyle w:val="IndexLink"/>
              </w:rPr>
              <w:t>23</w:t>
            </w:r>
            <w:r>
              <w:rPr>
                <w:rStyle w:val="IndexLink"/>
                <w:rtl w:val="true"/>
              </w:rPr>
              <w:t xml:space="preserve"> /</w:t>
            </w:r>
            <w:r>
              <w:rPr>
                <w:rStyle w:val="IndexLink"/>
              </w:rPr>
              <w:t>1</w:t>
            </w:r>
            <w:r>
              <w:rPr>
                <w:rStyle w:val="IndexLink"/>
                <w:rtl w:val="true"/>
              </w:rPr>
              <w:t>.</w:t>
            </w:r>
            <w:r>
              <w:rPr>
                <w:rStyle w:val="IndexLink"/>
                <w:rtl w:val="true"/>
              </w:rPr>
              <w:t>تمهيد</w:t>
            </w:r>
            <w:r>
              <w:rPr>
                <w:rStyle w:val="IndexLink"/>
                <w:rtl w:val="true"/>
              </w:rPr>
              <w:tab/>
            </w:r>
            <w:r>
              <w:rPr>
                <w:rStyle w:val="IndexLink"/>
              </w:rPr>
              <w:t>109</w:t>
            </w:r>
          </w:hyperlink>
        </w:p>
        <w:p>
          <w:pPr>
            <w:pStyle w:val="Contents3"/>
            <w:tabs>
              <w:tab w:val="clear" w:pos="8459"/>
              <w:tab w:val="right" w:pos="9026" w:leader="dot"/>
            </w:tabs>
            <w:rPr/>
          </w:pPr>
          <w:hyperlink w:anchor="__RefHeading___Toc5369713_1280447820">
            <w:r>
              <w:rPr>
                <w:webHidden/>
                <w:rStyle w:val="IndexLink"/>
              </w:rPr>
              <w:t>24</w:t>
            </w:r>
            <w:r>
              <w:rPr>
                <w:rStyle w:val="IndexLink"/>
                <w:rtl w:val="true"/>
              </w:rPr>
              <w:t>.</w:t>
            </w:r>
            <w:r>
              <w:rPr>
                <w:rStyle w:val="IndexLink"/>
                <w:rtl w:val="true"/>
              </w:rPr>
              <w:t>الإمامة الخاصّة</w:t>
            </w:r>
            <w:r>
              <w:rPr>
                <w:rStyle w:val="IndexLink"/>
                <w:rtl w:val="true"/>
              </w:rPr>
              <w:tab/>
            </w:r>
            <w:r>
              <w:rPr>
                <w:rStyle w:val="IndexLink"/>
              </w:rPr>
              <w:t>115</w:t>
            </w:r>
          </w:hyperlink>
        </w:p>
        <w:p>
          <w:pPr>
            <w:pStyle w:val="Contents4"/>
            <w:tabs>
              <w:tab w:val="clear" w:pos="8176"/>
              <w:tab w:val="right" w:pos="9026" w:leader="dot"/>
            </w:tabs>
            <w:rPr/>
          </w:pPr>
          <w:hyperlink w:anchor="__RefHeading___Toc5369715_1280447820">
            <w:r>
              <w:rPr>
                <w:webHidden/>
                <w:rStyle w:val="IndexLink"/>
              </w:rPr>
              <w:t>24</w:t>
            </w:r>
            <w:r>
              <w:rPr>
                <w:rStyle w:val="IndexLink"/>
                <w:rtl w:val="true"/>
              </w:rPr>
              <w:t xml:space="preserve"> /</w:t>
            </w:r>
            <w:r>
              <w:rPr>
                <w:rStyle w:val="IndexLink"/>
              </w:rPr>
              <w:t>1</w:t>
            </w:r>
            <w:r>
              <w:rPr>
                <w:rStyle w:val="IndexLink"/>
                <w:rtl w:val="true"/>
              </w:rPr>
              <w:t>.</w:t>
            </w:r>
            <w:r>
              <w:rPr>
                <w:rStyle w:val="IndexLink"/>
                <w:rtl w:val="true"/>
              </w:rPr>
              <w:t>تمهيد</w:t>
            </w:r>
            <w:r>
              <w:rPr>
                <w:rStyle w:val="IndexLink"/>
                <w:rtl w:val="true"/>
              </w:rPr>
              <w:tab/>
            </w:r>
            <w:r>
              <w:rPr>
                <w:rStyle w:val="IndexLink"/>
              </w:rPr>
              <w:t>115</w:t>
            </w:r>
          </w:hyperlink>
        </w:p>
        <w:p>
          <w:pPr>
            <w:pStyle w:val="Contents4"/>
            <w:tabs>
              <w:tab w:val="clear" w:pos="8176"/>
              <w:tab w:val="right" w:pos="9026" w:leader="dot"/>
            </w:tabs>
            <w:rPr/>
          </w:pPr>
          <w:hyperlink w:anchor="__RefHeading___Toc536971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tl w:val="true"/>
              </w:rPr>
              <w:t xml:space="preserve">أفضليّة أمير المؤمنين </w:t>
            </w:r>
            <w:r>
              <w:rPr>
                <w:rStyle w:val="IndexLink"/>
                <w:rtl w:val="true"/>
              </w:rPr>
              <w:t>(</w:t>
            </w:r>
            <w:r>
              <w:rPr>
                <w:rStyle w:val="IndexLink"/>
                <w:rtl w:val="true"/>
              </w:rPr>
              <w:t>علیه السلام</w:t>
            </w:r>
            <w:r>
              <w:rPr>
                <w:rStyle w:val="IndexLink"/>
                <w:rtl w:val="true"/>
              </w:rPr>
              <w:t>) :</w:t>
              <w:tab/>
            </w:r>
            <w:r>
              <w:rPr>
                <w:rStyle w:val="IndexLink"/>
              </w:rPr>
              <w:t>116</w:t>
            </w:r>
          </w:hyperlink>
        </w:p>
        <w:p>
          <w:pPr>
            <w:pStyle w:val="Contents5"/>
            <w:tabs>
              <w:tab w:val="clear" w:pos="7892"/>
              <w:tab w:val="right" w:pos="9026" w:leader="dot"/>
            </w:tabs>
            <w:rPr/>
          </w:pPr>
          <w:hyperlink w:anchor="__RefHeading___Toc5369719_1280447820">
            <w:r>
              <w:rPr>
                <w:webHidden/>
                <w:rStyle w:val="IndexLink"/>
                <w:rtl w:val="true"/>
              </w:rPr>
              <w:t>إشارة</w:t>
            </w:r>
            <w:r>
              <w:rPr>
                <w:rStyle w:val="IndexLink"/>
                <w:rtl w:val="true"/>
              </w:rPr>
              <w:tab/>
            </w:r>
            <w:r>
              <w:rPr>
                <w:rStyle w:val="IndexLink"/>
              </w:rPr>
              <w:t>116</w:t>
            </w:r>
          </w:hyperlink>
        </w:p>
        <w:p>
          <w:pPr>
            <w:pStyle w:val="Contents5"/>
            <w:tabs>
              <w:tab w:val="clear" w:pos="7892"/>
              <w:tab w:val="right" w:pos="9026" w:leader="dot"/>
            </w:tabs>
            <w:rPr/>
          </w:pPr>
          <w:hyperlink w:anchor="__RefHeading___Toc5369721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الفضيلة الأولى</w:t>
            </w:r>
            <w:r>
              <w:rPr>
                <w:rStyle w:val="IndexLink"/>
                <w:rtl w:val="true"/>
              </w:rPr>
              <w:t>:</w:t>
              <w:tab/>
            </w:r>
            <w:r>
              <w:rPr>
                <w:rStyle w:val="IndexLink"/>
              </w:rPr>
              <w:t>117</w:t>
            </w:r>
          </w:hyperlink>
        </w:p>
        <w:p>
          <w:pPr>
            <w:pStyle w:val="Contents5"/>
            <w:tabs>
              <w:tab w:val="clear" w:pos="7892"/>
              <w:tab w:val="right" w:pos="9026" w:leader="dot"/>
            </w:tabs>
            <w:rPr/>
          </w:pPr>
          <w:hyperlink w:anchor="__RefHeading___Toc5369723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الفضيلة الثانية</w:t>
            </w:r>
            <w:r>
              <w:rPr>
                <w:rStyle w:val="IndexLink"/>
                <w:rtl w:val="true"/>
              </w:rPr>
              <w:t>:</w:t>
              <w:tab/>
            </w:r>
            <w:r>
              <w:rPr>
                <w:rStyle w:val="IndexLink"/>
              </w:rPr>
              <w:t>119</w:t>
            </w:r>
          </w:hyperlink>
        </w:p>
        <w:p>
          <w:pPr>
            <w:pStyle w:val="Contents5"/>
            <w:tabs>
              <w:tab w:val="clear" w:pos="7892"/>
              <w:tab w:val="right" w:pos="9026" w:leader="dot"/>
            </w:tabs>
            <w:rPr/>
          </w:pPr>
          <w:hyperlink w:anchor="__RefHeading___Toc5369725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الفضيلة الثالثة</w:t>
            </w:r>
            <w:r>
              <w:rPr>
                <w:rStyle w:val="IndexLink"/>
                <w:rtl w:val="true"/>
              </w:rPr>
              <w:t>:</w:t>
              <w:tab/>
            </w:r>
            <w:r>
              <w:rPr>
                <w:rStyle w:val="IndexLink"/>
              </w:rPr>
              <w:t>121</w:t>
            </w:r>
          </w:hyperlink>
        </w:p>
        <w:p>
          <w:pPr>
            <w:pStyle w:val="Contents5"/>
            <w:tabs>
              <w:tab w:val="clear" w:pos="7892"/>
              <w:tab w:val="right" w:pos="9026" w:leader="dot"/>
            </w:tabs>
            <w:rPr/>
          </w:pPr>
          <w:hyperlink w:anchor="__RefHeading___Toc536972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 xml:space="preserve">الفضيلة الرابعة </w:t>
            </w:r>
            <w:r>
              <w:rPr>
                <w:rStyle w:val="IndexLink"/>
                <w:rtl w:val="true"/>
              </w:rPr>
              <w:t>:</w:t>
              <w:tab/>
            </w:r>
            <w:r>
              <w:rPr>
                <w:rStyle w:val="IndexLink"/>
              </w:rPr>
              <w:t>121</w:t>
            </w:r>
          </w:hyperlink>
        </w:p>
        <w:p>
          <w:pPr>
            <w:pStyle w:val="Contents5"/>
            <w:tabs>
              <w:tab w:val="clear" w:pos="7892"/>
              <w:tab w:val="right" w:pos="9026" w:leader="dot"/>
            </w:tabs>
            <w:rPr/>
          </w:pPr>
          <w:hyperlink w:anchor="__RefHeading___Toc5369729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5</w:t>
            </w:r>
            <w:r>
              <w:rPr>
                <w:rStyle w:val="IndexLink"/>
                <w:rtl w:val="true"/>
              </w:rPr>
              <w:t>.</w:t>
            </w:r>
            <w:r>
              <w:rPr>
                <w:rStyle w:val="IndexLink"/>
                <w:rtl w:val="true"/>
              </w:rPr>
              <w:t>الفضيلة الخامسة</w:t>
            </w:r>
            <w:r>
              <w:rPr>
                <w:rStyle w:val="IndexLink"/>
                <w:rtl w:val="true"/>
              </w:rPr>
              <w:t>:</w:t>
              <w:tab/>
            </w:r>
            <w:r>
              <w:rPr>
                <w:rStyle w:val="IndexLink"/>
              </w:rPr>
              <w:t>122</w:t>
            </w:r>
          </w:hyperlink>
        </w:p>
        <w:p>
          <w:pPr>
            <w:pStyle w:val="Contents5"/>
            <w:tabs>
              <w:tab w:val="clear" w:pos="7892"/>
              <w:tab w:val="right" w:pos="9026" w:leader="dot"/>
            </w:tabs>
            <w:rPr/>
          </w:pPr>
          <w:hyperlink w:anchor="__RefHeading___Toc5369731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6</w:t>
            </w:r>
            <w:r>
              <w:rPr>
                <w:rStyle w:val="IndexLink"/>
                <w:rtl w:val="true"/>
              </w:rPr>
              <w:t>.</w:t>
            </w:r>
            <w:r>
              <w:rPr>
                <w:rStyle w:val="IndexLink"/>
                <w:rtl w:val="true"/>
              </w:rPr>
              <w:t xml:space="preserve">الفضيلة السادسة </w:t>
            </w:r>
            <w:r>
              <w:rPr>
                <w:rStyle w:val="IndexLink"/>
                <w:rtl w:val="true"/>
              </w:rPr>
              <w:t>:</w:t>
              <w:tab/>
            </w:r>
            <w:r>
              <w:rPr>
                <w:rStyle w:val="IndexLink"/>
              </w:rPr>
              <w:t>122</w:t>
            </w:r>
          </w:hyperlink>
        </w:p>
        <w:p>
          <w:pPr>
            <w:pStyle w:val="Contents5"/>
            <w:tabs>
              <w:tab w:val="clear" w:pos="7892"/>
              <w:tab w:val="right" w:pos="9026" w:leader="dot"/>
            </w:tabs>
            <w:rPr/>
          </w:pPr>
          <w:hyperlink w:anchor="__RefHeading___Toc5369733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7</w:t>
            </w:r>
            <w:r>
              <w:rPr>
                <w:rStyle w:val="IndexLink"/>
                <w:rtl w:val="true"/>
              </w:rPr>
              <w:t>.</w:t>
            </w:r>
            <w:r>
              <w:rPr>
                <w:rStyle w:val="IndexLink"/>
                <w:rtl w:val="true"/>
              </w:rPr>
              <w:t xml:space="preserve">الفضيلة السابعة </w:t>
            </w:r>
            <w:r>
              <w:rPr>
                <w:rStyle w:val="IndexLink"/>
                <w:rtl w:val="true"/>
              </w:rPr>
              <w:t>:</w:t>
              <w:tab/>
            </w:r>
            <w:r>
              <w:rPr>
                <w:rStyle w:val="IndexLink"/>
              </w:rPr>
              <w:t>123</w:t>
            </w:r>
          </w:hyperlink>
        </w:p>
        <w:p>
          <w:pPr>
            <w:pStyle w:val="Contents5"/>
            <w:tabs>
              <w:tab w:val="clear" w:pos="7892"/>
              <w:tab w:val="right" w:pos="9026" w:leader="dot"/>
            </w:tabs>
            <w:rPr/>
          </w:pPr>
          <w:hyperlink w:anchor="__RefHeading___Toc5369735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8</w:t>
            </w:r>
            <w:r>
              <w:rPr>
                <w:rStyle w:val="IndexLink"/>
                <w:rtl w:val="true"/>
              </w:rPr>
              <w:t>.</w:t>
            </w:r>
            <w:r>
              <w:rPr>
                <w:rStyle w:val="IndexLink"/>
                <w:rtl w:val="true"/>
              </w:rPr>
              <w:t>الفضيلة الثامنة</w:t>
            </w:r>
            <w:r>
              <w:rPr>
                <w:rStyle w:val="IndexLink"/>
                <w:rtl w:val="true"/>
              </w:rPr>
              <w:t>:</w:t>
              <w:tab/>
            </w:r>
            <w:r>
              <w:rPr>
                <w:rStyle w:val="IndexLink"/>
              </w:rPr>
              <w:t>123</w:t>
            </w:r>
          </w:hyperlink>
        </w:p>
        <w:p>
          <w:pPr>
            <w:pStyle w:val="Contents5"/>
            <w:tabs>
              <w:tab w:val="clear" w:pos="7892"/>
              <w:tab w:val="right" w:pos="9026" w:leader="dot"/>
            </w:tabs>
            <w:rPr/>
          </w:pPr>
          <w:hyperlink w:anchor="__RefHeading___Toc536973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w:t>
            </w:r>
            <w:r>
              <w:rPr>
                <w:rStyle w:val="IndexLink"/>
                <w:rtl w:val="true"/>
              </w:rPr>
              <w:t>الفضيلة التاسعة</w:t>
            </w:r>
            <w:r>
              <w:rPr>
                <w:rStyle w:val="IndexLink"/>
                <w:rtl w:val="true"/>
              </w:rPr>
              <w:tab/>
            </w:r>
            <w:r>
              <w:rPr>
                <w:rStyle w:val="IndexLink"/>
              </w:rPr>
              <w:t>123</w:t>
            </w:r>
          </w:hyperlink>
        </w:p>
        <w:p>
          <w:pPr>
            <w:pStyle w:val="Contents5"/>
            <w:tabs>
              <w:tab w:val="clear" w:pos="7892"/>
              <w:tab w:val="right" w:pos="9026" w:leader="dot"/>
            </w:tabs>
            <w:rPr/>
          </w:pPr>
          <w:hyperlink w:anchor="__RefHeading___Toc5369739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10</w:t>
            </w:r>
            <w:r>
              <w:rPr>
                <w:rStyle w:val="IndexLink"/>
                <w:rtl w:val="true"/>
              </w:rPr>
              <w:t>.</w:t>
            </w:r>
            <w:r>
              <w:rPr>
                <w:rStyle w:val="IndexLink"/>
                <w:rtl w:val="true"/>
              </w:rPr>
              <w:t>الفضيلة العاشرة</w:t>
            </w:r>
            <w:r>
              <w:rPr>
                <w:rStyle w:val="IndexLink"/>
                <w:rtl w:val="true"/>
              </w:rPr>
              <w:tab/>
            </w:r>
            <w:r>
              <w:rPr>
                <w:rStyle w:val="IndexLink"/>
              </w:rPr>
              <w:t>124</w:t>
            </w:r>
          </w:hyperlink>
        </w:p>
        <w:p>
          <w:pPr>
            <w:pStyle w:val="Contents5"/>
            <w:tabs>
              <w:tab w:val="clear" w:pos="7892"/>
              <w:tab w:val="right" w:pos="9026" w:leader="dot"/>
            </w:tabs>
            <w:rPr/>
          </w:pPr>
          <w:hyperlink w:anchor="__RefHeading___Toc5369741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الفضيلة الحادية عشر</w:t>
            </w:r>
            <w:r>
              <w:rPr>
                <w:rStyle w:val="IndexLink"/>
                <w:rtl w:val="true"/>
              </w:rPr>
              <w:t>:</w:t>
              <w:tab/>
            </w:r>
            <w:r>
              <w:rPr>
                <w:rStyle w:val="IndexLink"/>
              </w:rPr>
              <w:t>124</w:t>
            </w:r>
          </w:hyperlink>
        </w:p>
        <w:p>
          <w:pPr>
            <w:pStyle w:val="Contents5"/>
            <w:tabs>
              <w:tab w:val="clear" w:pos="7892"/>
              <w:tab w:val="right" w:pos="9026" w:leader="dot"/>
            </w:tabs>
            <w:rPr/>
          </w:pPr>
          <w:hyperlink w:anchor="__RefHeading___Toc5369743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12</w:t>
            </w:r>
            <w:r>
              <w:rPr>
                <w:rStyle w:val="IndexLink"/>
                <w:rtl w:val="true"/>
              </w:rPr>
              <w:t>.</w:t>
            </w:r>
            <w:r>
              <w:rPr>
                <w:rStyle w:val="IndexLink"/>
                <w:rtl w:val="true"/>
              </w:rPr>
              <w:t>الفضيلة الثانية عشر</w:t>
            </w:r>
            <w:r>
              <w:rPr>
                <w:rStyle w:val="IndexLink"/>
                <w:rtl w:val="true"/>
              </w:rPr>
              <w:t>:</w:t>
              <w:tab/>
            </w:r>
            <w:r>
              <w:rPr>
                <w:rStyle w:val="IndexLink"/>
              </w:rPr>
              <w:t>125</w:t>
            </w:r>
          </w:hyperlink>
        </w:p>
        <w:p>
          <w:pPr>
            <w:pStyle w:val="Contents5"/>
            <w:tabs>
              <w:tab w:val="clear" w:pos="7892"/>
              <w:tab w:val="right" w:pos="9026" w:leader="dot"/>
            </w:tabs>
            <w:rPr/>
          </w:pPr>
          <w:hyperlink w:anchor="__RefHeading___Toc5369745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الفضيلة الثالثة عشر</w:t>
            </w:r>
            <w:r>
              <w:rPr>
                <w:rStyle w:val="IndexLink"/>
                <w:rtl w:val="true"/>
              </w:rPr>
              <w:t>:</w:t>
              <w:tab/>
            </w:r>
            <w:r>
              <w:rPr>
                <w:rStyle w:val="IndexLink"/>
              </w:rPr>
              <w:t>125</w:t>
            </w:r>
          </w:hyperlink>
        </w:p>
        <w:p>
          <w:pPr>
            <w:pStyle w:val="Contents5"/>
            <w:tabs>
              <w:tab w:val="clear" w:pos="7892"/>
              <w:tab w:val="right" w:pos="9026" w:leader="dot"/>
            </w:tabs>
            <w:rPr/>
          </w:pPr>
          <w:hyperlink w:anchor="__RefHeading___Toc536974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الفضيلة الرابعة عشر</w:t>
            </w:r>
            <w:r>
              <w:rPr>
                <w:rStyle w:val="IndexLink"/>
                <w:rtl w:val="true"/>
              </w:rPr>
              <w:t>:</w:t>
              <w:tab/>
            </w:r>
            <w:r>
              <w:rPr>
                <w:rStyle w:val="IndexLink"/>
              </w:rPr>
              <w:t>125</w:t>
            </w:r>
          </w:hyperlink>
        </w:p>
        <w:p>
          <w:pPr>
            <w:pStyle w:val="Contents5"/>
            <w:tabs>
              <w:tab w:val="clear" w:pos="7892"/>
              <w:tab w:val="right" w:pos="9026" w:leader="dot"/>
            </w:tabs>
            <w:rPr/>
          </w:pPr>
          <w:hyperlink w:anchor="__RefHeading___Toc5369749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15</w:t>
            </w:r>
            <w:r>
              <w:rPr>
                <w:rStyle w:val="IndexLink"/>
                <w:rtl w:val="true"/>
              </w:rPr>
              <w:t xml:space="preserve">. </w:t>
            </w:r>
            <w:r>
              <w:rPr>
                <w:rStyle w:val="IndexLink"/>
                <w:rtl w:val="true"/>
              </w:rPr>
              <w:t>الفضيلة الخامسة عشر</w:t>
            </w:r>
            <w:r>
              <w:rPr>
                <w:rStyle w:val="IndexLink"/>
                <w:rtl w:val="true"/>
              </w:rPr>
              <w:t>:</w:t>
              <w:tab/>
            </w:r>
            <w:r>
              <w:rPr>
                <w:rStyle w:val="IndexLink"/>
              </w:rPr>
              <w:t>126</w:t>
            </w:r>
          </w:hyperlink>
        </w:p>
        <w:p>
          <w:pPr>
            <w:pStyle w:val="Contents5"/>
            <w:tabs>
              <w:tab w:val="clear" w:pos="7892"/>
              <w:tab w:val="right" w:pos="9026" w:leader="dot"/>
            </w:tabs>
            <w:rPr/>
          </w:pPr>
          <w:hyperlink w:anchor="__RefHeading___Toc5369751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16</w:t>
            </w:r>
            <w:r>
              <w:rPr>
                <w:rStyle w:val="IndexLink"/>
                <w:rtl w:val="true"/>
              </w:rPr>
              <w:t xml:space="preserve">. </w:t>
            </w:r>
            <w:r>
              <w:rPr>
                <w:rStyle w:val="IndexLink"/>
                <w:rtl w:val="true"/>
              </w:rPr>
              <w:t>الفضيلة السادسة عشر</w:t>
            </w:r>
            <w:r>
              <w:rPr>
                <w:rStyle w:val="IndexLink"/>
                <w:rtl w:val="true"/>
              </w:rPr>
              <w:t>:</w:t>
              <w:tab/>
            </w:r>
            <w:r>
              <w:rPr>
                <w:rStyle w:val="IndexLink"/>
              </w:rPr>
              <w:t>127</w:t>
            </w:r>
          </w:hyperlink>
        </w:p>
        <w:p>
          <w:pPr>
            <w:pStyle w:val="Contents5"/>
            <w:tabs>
              <w:tab w:val="clear" w:pos="7892"/>
              <w:tab w:val="right" w:pos="9026" w:leader="dot"/>
            </w:tabs>
            <w:rPr/>
          </w:pPr>
          <w:hyperlink w:anchor="__RefHeading___Toc5369753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17</w:t>
            </w:r>
            <w:r>
              <w:rPr>
                <w:rStyle w:val="IndexLink"/>
                <w:rtl w:val="true"/>
              </w:rPr>
              <w:t xml:space="preserve">. </w:t>
            </w:r>
            <w:r>
              <w:rPr>
                <w:rStyle w:val="IndexLink"/>
                <w:rtl w:val="true"/>
              </w:rPr>
              <w:t>الفضيلة السابعة عشر</w:t>
            </w:r>
            <w:r>
              <w:rPr>
                <w:rStyle w:val="IndexLink"/>
                <w:rtl w:val="true"/>
              </w:rPr>
              <w:t>:</w:t>
              <w:tab/>
            </w:r>
            <w:r>
              <w:rPr>
                <w:rStyle w:val="IndexLink"/>
              </w:rPr>
              <w:t>127</w:t>
            </w:r>
          </w:hyperlink>
        </w:p>
        <w:p>
          <w:pPr>
            <w:pStyle w:val="Contents5"/>
            <w:tabs>
              <w:tab w:val="clear" w:pos="7892"/>
              <w:tab w:val="right" w:pos="9026" w:leader="dot"/>
            </w:tabs>
            <w:rPr/>
          </w:pPr>
          <w:hyperlink w:anchor="__RefHeading___Toc5369755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18</w:t>
            </w:r>
            <w:r>
              <w:rPr>
                <w:rStyle w:val="IndexLink"/>
                <w:rtl w:val="true"/>
              </w:rPr>
              <w:t xml:space="preserve">. </w:t>
            </w:r>
            <w:r>
              <w:rPr>
                <w:rStyle w:val="IndexLink"/>
                <w:rtl w:val="true"/>
              </w:rPr>
              <w:t>الفضيلة الثامنة عشر</w:t>
            </w:r>
            <w:r>
              <w:rPr>
                <w:rStyle w:val="IndexLink"/>
                <w:rtl w:val="true"/>
              </w:rPr>
              <w:t>:</w:t>
              <w:tab/>
            </w:r>
            <w:r>
              <w:rPr>
                <w:rStyle w:val="IndexLink"/>
              </w:rPr>
              <w:t>127</w:t>
            </w:r>
          </w:hyperlink>
        </w:p>
        <w:p>
          <w:pPr>
            <w:pStyle w:val="Contents5"/>
            <w:tabs>
              <w:tab w:val="clear" w:pos="7892"/>
              <w:tab w:val="right" w:pos="9026" w:leader="dot"/>
            </w:tabs>
            <w:rPr/>
          </w:pPr>
          <w:hyperlink w:anchor="__RefHeading___Toc536975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19</w:t>
            </w:r>
            <w:r>
              <w:rPr>
                <w:rStyle w:val="IndexLink"/>
                <w:rtl w:val="true"/>
              </w:rPr>
              <w:t xml:space="preserve">. </w:t>
            </w:r>
            <w:r>
              <w:rPr>
                <w:rStyle w:val="IndexLink"/>
                <w:rtl w:val="true"/>
              </w:rPr>
              <w:t>الفضيلة التاسعة عشر</w:t>
            </w:r>
            <w:r>
              <w:rPr>
                <w:rStyle w:val="IndexLink"/>
                <w:rtl w:val="true"/>
              </w:rPr>
              <w:t>:</w:t>
              <w:tab/>
            </w:r>
            <w:r>
              <w:rPr>
                <w:rStyle w:val="IndexLink"/>
              </w:rPr>
              <w:t>127</w:t>
            </w:r>
          </w:hyperlink>
        </w:p>
        <w:p>
          <w:pPr>
            <w:pStyle w:val="Contents5"/>
            <w:tabs>
              <w:tab w:val="clear" w:pos="7892"/>
              <w:tab w:val="right" w:pos="9026" w:leader="dot"/>
            </w:tabs>
            <w:rPr/>
          </w:pPr>
          <w:hyperlink w:anchor="__RefHeading___Toc5369759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20</w:t>
            </w:r>
            <w:r>
              <w:rPr>
                <w:rStyle w:val="IndexLink"/>
                <w:rtl w:val="true"/>
              </w:rPr>
              <w:t>.</w:t>
            </w:r>
            <w:r>
              <w:rPr>
                <w:rStyle w:val="IndexLink"/>
                <w:rtl w:val="true"/>
              </w:rPr>
              <w:t xml:space="preserve">الفضيلة العشرون </w:t>
            </w:r>
            <w:r>
              <w:rPr>
                <w:rStyle w:val="IndexLink"/>
                <w:rtl w:val="true"/>
              </w:rPr>
              <w:t>:</w:t>
              <w:tab/>
            </w:r>
            <w:r>
              <w:rPr>
                <w:rStyle w:val="IndexLink"/>
              </w:rPr>
              <w:t>128</w:t>
            </w:r>
          </w:hyperlink>
        </w:p>
        <w:p>
          <w:pPr>
            <w:pStyle w:val="Contents5"/>
            <w:tabs>
              <w:tab w:val="clear" w:pos="7892"/>
              <w:tab w:val="right" w:pos="9026" w:leader="dot"/>
            </w:tabs>
            <w:rPr/>
          </w:pPr>
          <w:hyperlink w:anchor="__RefHeading___Toc5369761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21</w:t>
            </w:r>
            <w:r>
              <w:rPr>
                <w:rStyle w:val="IndexLink"/>
                <w:rtl w:val="true"/>
              </w:rPr>
              <w:t>.</w:t>
            </w:r>
            <w:r>
              <w:rPr>
                <w:rStyle w:val="IndexLink"/>
                <w:rtl w:val="true"/>
              </w:rPr>
              <w:t xml:space="preserve">الفضيلة الحادية والعشرون </w:t>
            </w:r>
            <w:r>
              <w:rPr>
                <w:rStyle w:val="IndexLink"/>
                <w:rtl w:val="true"/>
              </w:rPr>
              <w:t>:</w:t>
              <w:tab/>
            </w:r>
            <w:r>
              <w:rPr>
                <w:rStyle w:val="IndexLink"/>
              </w:rPr>
              <w:t>128</w:t>
            </w:r>
          </w:hyperlink>
        </w:p>
        <w:p>
          <w:pPr>
            <w:pStyle w:val="Contents5"/>
            <w:tabs>
              <w:tab w:val="clear" w:pos="7892"/>
              <w:tab w:val="right" w:pos="9026" w:leader="dot"/>
            </w:tabs>
            <w:rPr/>
          </w:pPr>
          <w:hyperlink w:anchor="__RefHeading___Toc5369763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22</w:t>
            </w:r>
            <w:r>
              <w:rPr>
                <w:rStyle w:val="IndexLink"/>
                <w:rtl w:val="true"/>
              </w:rPr>
              <w:t>.</w:t>
            </w:r>
            <w:r>
              <w:rPr>
                <w:rStyle w:val="IndexLink"/>
                <w:rtl w:val="true"/>
              </w:rPr>
              <w:t xml:space="preserve">الفضيلة الثانية والعشرون </w:t>
            </w:r>
            <w:r>
              <w:rPr>
                <w:rStyle w:val="IndexLink"/>
                <w:rtl w:val="true"/>
              </w:rPr>
              <w:t>:</w:t>
              <w:tab/>
            </w:r>
            <w:r>
              <w:rPr>
                <w:rStyle w:val="IndexLink"/>
              </w:rPr>
              <w:t>128</w:t>
            </w:r>
          </w:hyperlink>
        </w:p>
        <w:p>
          <w:pPr>
            <w:pStyle w:val="Contents5"/>
            <w:tabs>
              <w:tab w:val="clear" w:pos="7892"/>
              <w:tab w:val="right" w:pos="9026" w:leader="dot"/>
            </w:tabs>
            <w:rPr/>
          </w:pPr>
          <w:hyperlink w:anchor="__RefHeading___Toc5369765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23</w:t>
            </w:r>
            <w:r>
              <w:rPr>
                <w:rStyle w:val="IndexLink"/>
                <w:rtl w:val="true"/>
              </w:rPr>
              <w:t xml:space="preserve">. </w:t>
            </w:r>
            <w:r>
              <w:rPr>
                <w:rStyle w:val="IndexLink"/>
                <w:rtl w:val="true"/>
              </w:rPr>
              <w:t xml:space="preserve">الفضيلة الثالثة والعشرون </w:t>
            </w:r>
            <w:r>
              <w:rPr>
                <w:rStyle w:val="IndexLink"/>
                <w:rtl w:val="true"/>
              </w:rPr>
              <w:t>:</w:t>
              <w:tab/>
            </w:r>
            <w:r>
              <w:rPr>
                <w:rStyle w:val="IndexLink"/>
              </w:rPr>
              <w:t>129</w:t>
            </w:r>
          </w:hyperlink>
        </w:p>
        <w:p>
          <w:pPr>
            <w:pStyle w:val="Contents5"/>
            <w:tabs>
              <w:tab w:val="clear" w:pos="7892"/>
              <w:tab w:val="right" w:pos="9026" w:leader="dot"/>
            </w:tabs>
            <w:rPr/>
          </w:pPr>
          <w:hyperlink w:anchor="__RefHeading___Toc5369767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24</w:t>
            </w:r>
            <w:r>
              <w:rPr>
                <w:rStyle w:val="IndexLink"/>
                <w:rtl w:val="true"/>
              </w:rPr>
              <w:t xml:space="preserve">. </w:t>
            </w:r>
            <w:r>
              <w:rPr>
                <w:rStyle w:val="IndexLink"/>
                <w:rtl w:val="true"/>
              </w:rPr>
              <w:t xml:space="preserve">الفضيلة الرابعة والعشرون </w:t>
            </w:r>
            <w:r>
              <w:rPr>
                <w:rStyle w:val="IndexLink"/>
                <w:rtl w:val="true"/>
              </w:rPr>
              <w:t>:</w:t>
              <w:tab/>
            </w:r>
            <w:r>
              <w:rPr>
                <w:rStyle w:val="IndexLink"/>
              </w:rPr>
              <w:t>129</w:t>
            </w:r>
          </w:hyperlink>
        </w:p>
        <w:p>
          <w:pPr>
            <w:pStyle w:val="Contents5"/>
            <w:tabs>
              <w:tab w:val="clear" w:pos="7892"/>
              <w:tab w:val="right" w:pos="9026" w:leader="dot"/>
            </w:tabs>
            <w:rPr/>
          </w:pPr>
          <w:hyperlink w:anchor="__RefHeading___Toc5369769_1280447820">
            <w:r>
              <w:rPr>
                <w:webHidden/>
                <w:rStyle w:val="IndexLink"/>
              </w:rPr>
              <w:t>24</w:t>
            </w:r>
            <w:r>
              <w:rPr>
                <w:rStyle w:val="IndexLink"/>
                <w:rtl w:val="true"/>
              </w:rPr>
              <w:t xml:space="preserve">/ </w:t>
            </w:r>
            <w:r>
              <w:rPr>
                <w:rStyle w:val="IndexLink"/>
              </w:rPr>
              <w:t>2</w:t>
            </w:r>
            <w:r>
              <w:rPr>
                <w:rStyle w:val="IndexLink"/>
                <w:rtl w:val="true"/>
              </w:rPr>
              <w:t xml:space="preserve"> /</w:t>
            </w:r>
            <w:r>
              <w:rPr>
                <w:rStyle w:val="IndexLink"/>
              </w:rPr>
              <w:t>25</w:t>
            </w:r>
            <w:r>
              <w:rPr>
                <w:rStyle w:val="IndexLink"/>
                <w:rtl w:val="true"/>
              </w:rPr>
              <w:t>.</w:t>
            </w:r>
            <w:r>
              <w:rPr>
                <w:rStyle w:val="IndexLink"/>
                <w:rtl w:val="true"/>
              </w:rPr>
              <w:t xml:space="preserve">الفضيلة الخامسة والعشرون </w:t>
            </w:r>
            <w:r>
              <w:rPr>
                <w:rStyle w:val="IndexLink"/>
                <w:rtl w:val="true"/>
              </w:rPr>
              <w:t>:</w:t>
              <w:tab/>
            </w:r>
            <w:r>
              <w:rPr>
                <w:rStyle w:val="IndexLink"/>
              </w:rPr>
              <w:t>130</w:t>
            </w:r>
          </w:hyperlink>
        </w:p>
        <w:p>
          <w:pPr>
            <w:pStyle w:val="Contents4"/>
            <w:tabs>
              <w:tab w:val="clear" w:pos="8176"/>
              <w:tab w:val="right" w:pos="9026" w:leader="dot"/>
            </w:tabs>
            <w:rPr/>
          </w:pPr>
          <w:hyperlink w:anchor="__RefHeading___Toc5369771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tl w:val="true"/>
              </w:rPr>
              <w:t xml:space="preserve">نقد أفضليّة أبي بكر </w:t>
            </w:r>
            <w:r>
              <w:rPr>
                <w:rStyle w:val="IndexLink"/>
                <w:rtl w:val="true"/>
              </w:rPr>
              <w:t>:</w:t>
              <w:tab/>
            </w:r>
            <w:r>
              <w:rPr>
                <w:rStyle w:val="IndexLink"/>
              </w:rPr>
              <w:t>131</w:t>
            </w:r>
          </w:hyperlink>
        </w:p>
        <w:p>
          <w:pPr>
            <w:pStyle w:val="Contents5"/>
            <w:tabs>
              <w:tab w:val="clear" w:pos="7892"/>
              <w:tab w:val="right" w:pos="9026" w:leader="dot"/>
            </w:tabs>
            <w:rPr/>
          </w:pPr>
          <w:hyperlink w:anchor="__RefHeading___Toc5369773_1280447820">
            <w:r>
              <w:rPr>
                <w:webHidden/>
                <w:rStyle w:val="IndexLink"/>
                <w:rtl w:val="true"/>
              </w:rPr>
              <w:t>إشارة</w:t>
            </w:r>
            <w:r>
              <w:rPr>
                <w:rStyle w:val="IndexLink"/>
                <w:rtl w:val="true"/>
              </w:rPr>
              <w:tab/>
            </w:r>
            <w:r>
              <w:rPr>
                <w:rStyle w:val="IndexLink"/>
              </w:rPr>
              <w:t>131</w:t>
            </w:r>
          </w:hyperlink>
        </w:p>
        <w:p>
          <w:pPr>
            <w:pStyle w:val="Contents5"/>
            <w:tabs>
              <w:tab w:val="clear" w:pos="7892"/>
              <w:tab w:val="right" w:pos="9026" w:leader="dot"/>
            </w:tabs>
            <w:rPr/>
          </w:pPr>
          <w:hyperlink w:anchor="__RefHeading___Toc5369775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الدليل الأوّل</w:t>
            </w:r>
            <w:r>
              <w:rPr>
                <w:rStyle w:val="IndexLink"/>
                <w:rtl w:val="true"/>
              </w:rPr>
              <w:t>:</w:t>
              <w:tab/>
            </w:r>
            <w:r>
              <w:rPr>
                <w:rStyle w:val="IndexLink"/>
              </w:rPr>
              <w:t>131</w:t>
            </w:r>
          </w:hyperlink>
        </w:p>
        <w:p>
          <w:pPr>
            <w:pStyle w:val="Contents5"/>
            <w:tabs>
              <w:tab w:val="clear" w:pos="7892"/>
              <w:tab w:val="right" w:pos="9026" w:leader="dot"/>
            </w:tabs>
            <w:rPr/>
          </w:pPr>
          <w:hyperlink w:anchor="__RefHeading___Toc5369777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الدليل الثاني</w:t>
            </w:r>
            <w:r>
              <w:rPr>
                <w:rStyle w:val="IndexLink"/>
                <w:rtl w:val="true"/>
              </w:rPr>
              <w:t>:</w:t>
              <w:tab/>
            </w:r>
            <w:r>
              <w:rPr>
                <w:rStyle w:val="IndexLink"/>
              </w:rPr>
              <w:t>133</w:t>
            </w:r>
          </w:hyperlink>
        </w:p>
        <w:p>
          <w:pPr>
            <w:pStyle w:val="Contents5"/>
            <w:tabs>
              <w:tab w:val="clear" w:pos="7892"/>
              <w:tab w:val="right" w:pos="9026" w:leader="dot"/>
            </w:tabs>
            <w:rPr/>
          </w:pPr>
          <w:hyperlink w:anchor="__RefHeading___Toc5369779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 xml:space="preserve">الدليل الثالث </w:t>
            </w:r>
            <w:r>
              <w:rPr>
                <w:rStyle w:val="IndexLink"/>
                <w:rtl w:val="true"/>
              </w:rPr>
              <w:t>:</w:t>
              <w:tab/>
            </w:r>
            <w:r>
              <w:rPr>
                <w:rStyle w:val="IndexLink"/>
              </w:rPr>
              <w:t>134</w:t>
            </w:r>
          </w:hyperlink>
        </w:p>
        <w:p>
          <w:pPr>
            <w:pStyle w:val="Contents5"/>
            <w:tabs>
              <w:tab w:val="clear" w:pos="7892"/>
              <w:tab w:val="right" w:pos="9026" w:leader="dot"/>
            </w:tabs>
            <w:rPr/>
          </w:pPr>
          <w:hyperlink w:anchor="__RefHeading___Toc5369781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4</w:t>
            </w:r>
            <w:r>
              <w:rPr>
                <w:rStyle w:val="IndexLink"/>
                <w:rtl w:val="true"/>
              </w:rPr>
              <w:t>.</w:t>
            </w:r>
            <w:r>
              <w:rPr>
                <w:rStyle w:val="IndexLink"/>
                <w:rtl w:val="true"/>
              </w:rPr>
              <w:t xml:space="preserve">الدليل الرابع </w:t>
            </w:r>
            <w:r>
              <w:rPr>
                <w:rStyle w:val="IndexLink"/>
                <w:rtl w:val="true"/>
              </w:rPr>
              <w:t>:</w:t>
              <w:tab/>
            </w:r>
            <w:r>
              <w:rPr>
                <w:rStyle w:val="IndexLink"/>
              </w:rPr>
              <w:t>135</w:t>
            </w:r>
          </w:hyperlink>
        </w:p>
        <w:p>
          <w:pPr>
            <w:pStyle w:val="Contents5"/>
            <w:tabs>
              <w:tab w:val="clear" w:pos="7892"/>
              <w:tab w:val="right" w:pos="9026" w:leader="dot"/>
            </w:tabs>
            <w:rPr/>
          </w:pPr>
          <w:hyperlink w:anchor="__RefHeading___Toc5369783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5</w:t>
            </w:r>
            <w:r>
              <w:rPr>
                <w:rStyle w:val="IndexLink"/>
                <w:rtl w:val="true"/>
              </w:rPr>
              <w:t>.</w:t>
            </w:r>
            <w:r>
              <w:rPr>
                <w:rStyle w:val="IndexLink"/>
                <w:rtl w:val="true"/>
              </w:rPr>
              <w:t xml:space="preserve">الدليل الخامس </w:t>
            </w:r>
            <w:r>
              <w:rPr>
                <w:rStyle w:val="IndexLink"/>
                <w:rtl w:val="true"/>
              </w:rPr>
              <w:t>:</w:t>
              <w:tab/>
            </w:r>
            <w:r>
              <w:rPr>
                <w:rStyle w:val="IndexLink"/>
              </w:rPr>
              <w:t>135</w:t>
            </w:r>
          </w:hyperlink>
        </w:p>
        <w:p>
          <w:pPr>
            <w:pStyle w:val="Contents5"/>
            <w:tabs>
              <w:tab w:val="clear" w:pos="7892"/>
              <w:tab w:val="right" w:pos="9026" w:leader="dot"/>
            </w:tabs>
            <w:rPr/>
          </w:pPr>
          <w:hyperlink w:anchor="__RefHeading___Toc5369785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6</w:t>
            </w:r>
            <w:r>
              <w:rPr>
                <w:rStyle w:val="IndexLink"/>
                <w:rtl w:val="true"/>
              </w:rPr>
              <w:t>.</w:t>
            </w:r>
            <w:r>
              <w:rPr>
                <w:rStyle w:val="IndexLink"/>
                <w:rtl w:val="true"/>
              </w:rPr>
              <w:t>الدليل السادس</w:t>
            </w:r>
            <w:r>
              <w:rPr>
                <w:rStyle w:val="IndexLink"/>
                <w:rtl w:val="true"/>
              </w:rPr>
              <w:t>:</w:t>
              <w:tab/>
            </w:r>
            <w:r>
              <w:rPr>
                <w:rStyle w:val="IndexLink"/>
              </w:rPr>
              <w:t>135</w:t>
            </w:r>
          </w:hyperlink>
        </w:p>
        <w:p>
          <w:pPr>
            <w:pStyle w:val="Contents5"/>
            <w:tabs>
              <w:tab w:val="clear" w:pos="7892"/>
              <w:tab w:val="right" w:pos="9026" w:leader="dot"/>
            </w:tabs>
            <w:rPr/>
          </w:pPr>
          <w:hyperlink w:anchor="__RefHeading___Toc5369787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7</w:t>
            </w:r>
            <w:r>
              <w:rPr>
                <w:rStyle w:val="IndexLink"/>
                <w:rtl w:val="true"/>
              </w:rPr>
              <w:t>.</w:t>
            </w:r>
            <w:r>
              <w:rPr>
                <w:rStyle w:val="IndexLink"/>
                <w:rtl w:val="true"/>
              </w:rPr>
              <w:t>الدليل السابع</w:t>
            </w:r>
            <w:r>
              <w:rPr>
                <w:rStyle w:val="IndexLink"/>
                <w:rtl w:val="true"/>
              </w:rPr>
              <w:t>:</w:t>
              <w:tab/>
            </w:r>
            <w:r>
              <w:rPr>
                <w:rStyle w:val="IndexLink"/>
              </w:rPr>
              <w:t>137</w:t>
            </w:r>
          </w:hyperlink>
        </w:p>
        <w:p>
          <w:pPr>
            <w:pStyle w:val="Contents5"/>
            <w:tabs>
              <w:tab w:val="clear" w:pos="7892"/>
              <w:tab w:val="right" w:pos="9026" w:leader="dot"/>
            </w:tabs>
            <w:rPr/>
          </w:pPr>
          <w:hyperlink w:anchor="__RefHeading___Toc5369789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 xml:space="preserve">الدليل الثامن </w:t>
            </w:r>
            <w:r>
              <w:rPr>
                <w:rStyle w:val="IndexLink"/>
                <w:rtl w:val="true"/>
              </w:rPr>
              <w:t>:</w:t>
              <w:tab/>
            </w:r>
            <w:r>
              <w:rPr>
                <w:rStyle w:val="IndexLink"/>
              </w:rPr>
              <w:t>137</w:t>
            </w:r>
          </w:hyperlink>
        </w:p>
        <w:p>
          <w:pPr>
            <w:pStyle w:val="Contents5"/>
            <w:tabs>
              <w:tab w:val="clear" w:pos="7892"/>
              <w:tab w:val="right" w:pos="9026" w:leader="dot"/>
            </w:tabs>
            <w:rPr/>
          </w:pPr>
          <w:hyperlink w:anchor="__RefHeading___Toc5369791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 xml:space="preserve">الدليل التاسع </w:t>
            </w:r>
            <w:r>
              <w:rPr>
                <w:rStyle w:val="IndexLink"/>
                <w:rtl w:val="true"/>
              </w:rPr>
              <w:t>:</w:t>
              <w:tab/>
            </w:r>
            <w:r>
              <w:rPr>
                <w:rStyle w:val="IndexLink"/>
              </w:rPr>
              <w:t>138</w:t>
            </w:r>
          </w:hyperlink>
        </w:p>
        <w:p>
          <w:pPr>
            <w:pStyle w:val="Contents5"/>
            <w:tabs>
              <w:tab w:val="clear" w:pos="7892"/>
              <w:tab w:val="right" w:pos="9026" w:leader="dot"/>
            </w:tabs>
            <w:rPr/>
          </w:pPr>
          <w:hyperlink w:anchor="__RefHeading___Toc5369793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10</w:t>
            </w:r>
            <w:r>
              <w:rPr>
                <w:rStyle w:val="IndexLink"/>
                <w:rtl w:val="true"/>
              </w:rPr>
              <w:t>.</w:t>
            </w:r>
            <w:r>
              <w:rPr>
                <w:rStyle w:val="IndexLink"/>
                <w:rtl w:val="true"/>
              </w:rPr>
              <w:t>الدليل العاشر</w:t>
            </w:r>
            <w:r>
              <w:rPr>
                <w:rStyle w:val="IndexLink"/>
                <w:rtl w:val="true"/>
              </w:rPr>
              <w:t>:</w:t>
              <w:tab/>
            </w:r>
            <w:r>
              <w:rPr>
                <w:rStyle w:val="IndexLink"/>
              </w:rPr>
              <w:t>139</w:t>
            </w:r>
          </w:hyperlink>
        </w:p>
        <w:p>
          <w:pPr>
            <w:pStyle w:val="Contents5"/>
            <w:tabs>
              <w:tab w:val="clear" w:pos="7892"/>
              <w:tab w:val="right" w:pos="9026" w:leader="dot"/>
            </w:tabs>
            <w:rPr/>
          </w:pPr>
          <w:hyperlink w:anchor="__RefHeading___Toc5369795_1280447820">
            <w:r>
              <w:rPr>
                <w:webHidden/>
                <w:rStyle w:val="IndexLink"/>
              </w:rPr>
              <w:t>24</w:t>
            </w:r>
            <w:r>
              <w:rPr>
                <w:rStyle w:val="IndexLink"/>
                <w:rtl w:val="true"/>
              </w:rPr>
              <w:t xml:space="preserve"> /</w:t>
            </w:r>
            <w:r>
              <w:rPr>
                <w:rStyle w:val="IndexLink"/>
              </w:rPr>
              <w:t>3</w:t>
            </w:r>
            <w:r>
              <w:rPr>
                <w:rStyle w:val="IndexLink"/>
                <w:rtl w:val="true"/>
              </w:rPr>
              <w:t xml:space="preserve"> /</w:t>
            </w:r>
            <w:r>
              <w:rPr>
                <w:rStyle w:val="IndexLink"/>
              </w:rPr>
              <w:t>11</w:t>
            </w:r>
            <w:r>
              <w:rPr>
                <w:rStyle w:val="IndexLink"/>
                <w:rtl w:val="true"/>
              </w:rPr>
              <w:t>.</w:t>
            </w:r>
            <w:r>
              <w:rPr>
                <w:rStyle w:val="IndexLink"/>
                <w:rtl w:val="true"/>
              </w:rPr>
              <w:t>الدليل الحادي عشر</w:t>
            </w:r>
            <w:r>
              <w:rPr>
                <w:rStyle w:val="IndexLink"/>
                <w:rtl w:val="true"/>
              </w:rPr>
              <w:t>:</w:t>
              <w:tab/>
            </w:r>
            <w:r>
              <w:rPr>
                <w:rStyle w:val="IndexLink"/>
              </w:rPr>
              <w:t>139</w:t>
            </w:r>
          </w:hyperlink>
        </w:p>
        <w:p>
          <w:pPr>
            <w:pStyle w:val="Contents4"/>
            <w:tabs>
              <w:tab w:val="clear" w:pos="8176"/>
              <w:tab w:val="right" w:pos="9026" w:leader="dot"/>
            </w:tabs>
            <w:rPr/>
          </w:pPr>
          <w:hyperlink w:anchor="__RefHeading___Toc5369797_1280447820">
            <w:r>
              <w:rPr>
                <w:webHidden/>
                <w:rStyle w:val="IndexLink"/>
              </w:rPr>
              <w:t>24</w:t>
            </w:r>
            <w:r>
              <w:rPr>
                <w:rStyle w:val="IndexLink"/>
                <w:rtl w:val="true"/>
              </w:rPr>
              <w:t xml:space="preserve"> /</w:t>
            </w:r>
            <w:r>
              <w:rPr>
                <w:rStyle w:val="IndexLink"/>
              </w:rPr>
              <w:t>4</w:t>
            </w:r>
            <w:r>
              <w:rPr>
                <w:rStyle w:val="IndexLink"/>
                <w:rtl w:val="true"/>
              </w:rPr>
              <w:t>.</w:t>
            </w:r>
            <w:r>
              <w:rPr>
                <w:rStyle w:val="IndexLink"/>
                <w:rtl w:val="true"/>
              </w:rPr>
              <w:t>آية التطهير</w:t>
            </w:r>
            <w:r>
              <w:rPr>
                <w:rStyle w:val="IndexLink"/>
                <w:rtl w:val="true"/>
              </w:rPr>
              <w:t>:</w:t>
              <w:tab/>
            </w:r>
            <w:r>
              <w:rPr>
                <w:rStyle w:val="IndexLink"/>
              </w:rPr>
              <w:t>140</w:t>
            </w:r>
          </w:hyperlink>
        </w:p>
        <w:p>
          <w:pPr>
            <w:pStyle w:val="Contents5"/>
            <w:tabs>
              <w:tab w:val="clear" w:pos="7892"/>
              <w:tab w:val="right" w:pos="9026" w:leader="dot"/>
            </w:tabs>
            <w:rPr/>
          </w:pPr>
          <w:hyperlink w:anchor="__RefHeading___Toc5369799_1280447820">
            <w:r>
              <w:rPr>
                <w:webHidden/>
                <w:rStyle w:val="IndexLink"/>
                <w:rtl w:val="true"/>
              </w:rPr>
              <w:t>إشارة</w:t>
            </w:r>
            <w:r>
              <w:rPr>
                <w:rStyle w:val="IndexLink"/>
                <w:rtl w:val="true"/>
              </w:rPr>
              <w:tab/>
            </w:r>
            <w:r>
              <w:rPr>
                <w:rStyle w:val="IndexLink"/>
              </w:rPr>
              <w:t>140</w:t>
            </w:r>
          </w:hyperlink>
        </w:p>
        <w:p>
          <w:pPr>
            <w:pStyle w:val="Contents5"/>
            <w:tabs>
              <w:tab w:val="clear" w:pos="7892"/>
              <w:tab w:val="right" w:pos="9026" w:leader="dot"/>
            </w:tabs>
            <w:rPr/>
          </w:pPr>
          <w:hyperlink w:anchor="__RefHeading___Toc5369801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 xml:space="preserve">مفردة </w:t>
            </w:r>
            <w:r>
              <w:rPr>
                <w:rStyle w:val="IndexLink"/>
                <w:rtl w:val="true"/>
              </w:rPr>
              <w:t>«</w:t>
            </w:r>
            <w:r>
              <w:rPr>
                <w:rStyle w:val="IndexLink"/>
                <w:rtl w:val="true"/>
              </w:rPr>
              <w:t>إنّما</w:t>
            </w:r>
            <w:r>
              <w:rPr>
                <w:rStyle w:val="IndexLink"/>
                <w:rtl w:val="true"/>
              </w:rPr>
              <w:t>»:</w:t>
              <w:tab/>
            </w:r>
            <w:r>
              <w:rPr>
                <w:rStyle w:val="IndexLink"/>
              </w:rPr>
              <w:t>140</w:t>
            </w:r>
          </w:hyperlink>
        </w:p>
        <w:p>
          <w:pPr>
            <w:pStyle w:val="Contents5"/>
            <w:tabs>
              <w:tab w:val="clear" w:pos="7892"/>
              <w:tab w:val="right" w:pos="9026" w:leader="dot"/>
            </w:tabs>
            <w:rPr/>
          </w:pPr>
          <w:hyperlink w:anchor="__RefHeading___Toc5369803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 xml:space="preserve">مفردة </w:t>
            </w:r>
            <w:r>
              <w:rPr>
                <w:rStyle w:val="IndexLink"/>
                <w:rtl w:val="true"/>
              </w:rPr>
              <w:t>«</w:t>
            </w:r>
            <w:r>
              <w:rPr>
                <w:rStyle w:val="IndexLink"/>
                <w:rtl w:val="true"/>
              </w:rPr>
              <w:t>يريد</w:t>
            </w:r>
            <w:r>
              <w:rPr>
                <w:rStyle w:val="IndexLink"/>
                <w:rtl w:val="true"/>
              </w:rPr>
              <w:t>»:</w:t>
              <w:tab/>
            </w:r>
            <w:r>
              <w:rPr>
                <w:rStyle w:val="IndexLink"/>
              </w:rPr>
              <w:t>141</w:t>
            </w:r>
          </w:hyperlink>
        </w:p>
        <w:p>
          <w:pPr>
            <w:pStyle w:val="Contents5"/>
            <w:tabs>
              <w:tab w:val="clear" w:pos="7892"/>
              <w:tab w:val="right" w:pos="9026" w:leader="dot"/>
            </w:tabs>
            <w:rPr/>
          </w:pPr>
          <w:hyperlink w:anchor="__RefHeading___Toc5369805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 xml:space="preserve">مفردة </w:t>
            </w:r>
            <w:r>
              <w:rPr>
                <w:rStyle w:val="IndexLink"/>
                <w:rtl w:val="true"/>
              </w:rPr>
              <w:t>«</w:t>
            </w:r>
            <w:r>
              <w:rPr>
                <w:rStyle w:val="IndexLink"/>
                <w:rtl w:val="true"/>
              </w:rPr>
              <w:t>الرجس</w:t>
            </w:r>
            <w:r>
              <w:rPr>
                <w:rStyle w:val="IndexLink"/>
                <w:rtl w:val="true"/>
              </w:rPr>
              <w:t>»:</w:t>
              <w:tab/>
            </w:r>
            <w:r>
              <w:rPr>
                <w:rStyle w:val="IndexLink"/>
              </w:rPr>
              <w:t>141</w:t>
            </w:r>
          </w:hyperlink>
        </w:p>
        <w:p>
          <w:pPr>
            <w:pStyle w:val="Contents5"/>
            <w:tabs>
              <w:tab w:val="clear" w:pos="7892"/>
              <w:tab w:val="right" w:pos="9026" w:leader="dot"/>
            </w:tabs>
            <w:rPr/>
          </w:pPr>
          <w:hyperlink w:anchor="__RefHeading___Toc5369807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 xml:space="preserve">مفردة </w:t>
            </w:r>
            <w:r>
              <w:rPr>
                <w:rStyle w:val="IndexLink"/>
                <w:rtl w:val="true"/>
              </w:rPr>
              <w:t>«</w:t>
            </w:r>
            <w:r>
              <w:rPr>
                <w:rStyle w:val="IndexLink"/>
                <w:rtl w:val="true"/>
              </w:rPr>
              <w:t>تطهيراً</w:t>
            </w:r>
            <w:r>
              <w:rPr>
                <w:rStyle w:val="IndexLink"/>
                <w:rtl w:val="true"/>
              </w:rPr>
              <w:t>»:</w:t>
              <w:tab/>
            </w:r>
            <w:r>
              <w:rPr>
                <w:rStyle w:val="IndexLink"/>
              </w:rPr>
              <w:t>142</w:t>
            </w:r>
          </w:hyperlink>
        </w:p>
        <w:p>
          <w:pPr>
            <w:pStyle w:val="Contents5"/>
            <w:tabs>
              <w:tab w:val="clear" w:pos="7892"/>
              <w:tab w:val="right" w:pos="9026" w:leader="dot"/>
            </w:tabs>
            <w:rPr/>
          </w:pPr>
          <w:hyperlink w:anchor="__RefHeading___Toc5369809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 xml:space="preserve">مفردة </w:t>
            </w:r>
            <w:r>
              <w:rPr>
                <w:rStyle w:val="IndexLink"/>
                <w:rtl w:val="true"/>
              </w:rPr>
              <w:t>«</w:t>
            </w:r>
            <w:r>
              <w:rPr>
                <w:rStyle w:val="IndexLink"/>
                <w:rtl w:val="true"/>
              </w:rPr>
              <w:t>أهل البيت</w:t>
            </w:r>
            <w:r>
              <w:rPr>
                <w:rStyle w:val="IndexLink"/>
                <w:rtl w:val="true"/>
              </w:rPr>
              <w:t>»:</w:t>
              <w:tab/>
            </w:r>
            <w:r>
              <w:rPr>
                <w:rStyle w:val="IndexLink"/>
              </w:rPr>
              <w:t>142</w:t>
            </w:r>
          </w:hyperlink>
        </w:p>
        <w:p>
          <w:pPr>
            <w:pStyle w:val="Contents4"/>
            <w:tabs>
              <w:tab w:val="clear" w:pos="8176"/>
              <w:tab w:val="right" w:pos="9026" w:leader="dot"/>
            </w:tabs>
            <w:rPr/>
          </w:pPr>
          <w:hyperlink w:anchor="__RefHeading___Toc5369811_1280447820">
            <w:r>
              <w:rPr>
                <w:webHidden/>
                <w:rStyle w:val="IndexLink"/>
              </w:rPr>
              <w:t>24</w:t>
            </w:r>
            <w:r>
              <w:rPr>
                <w:rStyle w:val="IndexLink"/>
                <w:rtl w:val="true"/>
              </w:rPr>
              <w:t xml:space="preserve">/ </w:t>
            </w:r>
            <w:r>
              <w:rPr>
                <w:rStyle w:val="IndexLink"/>
              </w:rPr>
              <w:t>5</w:t>
            </w:r>
            <w:r>
              <w:rPr>
                <w:rStyle w:val="IndexLink"/>
                <w:rtl w:val="true"/>
              </w:rPr>
              <w:t>.</w:t>
            </w:r>
            <w:r>
              <w:rPr>
                <w:rStyle w:val="IndexLink"/>
                <w:rtl w:val="true"/>
              </w:rPr>
              <w:t xml:space="preserve">شبهات العامّة على آية التطهير </w:t>
            </w:r>
            <w:r>
              <w:rPr>
                <w:rStyle w:val="IndexLink"/>
                <w:rtl w:val="true"/>
              </w:rPr>
              <w:t>:</w:t>
              <w:tab/>
            </w:r>
            <w:r>
              <w:rPr>
                <w:rStyle w:val="IndexLink"/>
              </w:rPr>
              <w:t>144</w:t>
            </w:r>
          </w:hyperlink>
        </w:p>
        <w:p>
          <w:pPr>
            <w:pStyle w:val="Contents5"/>
            <w:tabs>
              <w:tab w:val="clear" w:pos="7892"/>
              <w:tab w:val="right" w:pos="9026" w:leader="dot"/>
            </w:tabs>
            <w:rPr/>
          </w:pPr>
          <w:hyperlink w:anchor="__RefHeading___Toc5369813_1280447820">
            <w:r>
              <w:rPr>
                <w:webHidden/>
                <w:rStyle w:val="IndexLink"/>
                <w:rtl w:val="true"/>
              </w:rPr>
              <w:t>إشارة</w:t>
            </w:r>
            <w:r>
              <w:rPr>
                <w:rStyle w:val="IndexLink"/>
                <w:rtl w:val="true"/>
              </w:rPr>
              <w:tab/>
            </w:r>
            <w:r>
              <w:rPr>
                <w:rStyle w:val="IndexLink"/>
              </w:rPr>
              <w:t>144</w:t>
            </w:r>
          </w:hyperlink>
        </w:p>
        <w:p>
          <w:pPr>
            <w:pStyle w:val="Contents5"/>
            <w:tabs>
              <w:tab w:val="clear" w:pos="7892"/>
              <w:tab w:val="right" w:pos="9026" w:leader="dot"/>
            </w:tabs>
            <w:rPr/>
          </w:pPr>
          <w:hyperlink w:anchor="__RefHeading___Toc5369815_1280447820">
            <w:r>
              <w:rPr>
                <w:webHidden/>
                <w:rStyle w:val="IndexLink"/>
              </w:rPr>
              <w:t>24</w:t>
            </w:r>
            <w:r>
              <w:rPr>
                <w:rStyle w:val="IndexLink"/>
                <w:rtl w:val="true"/>
              </w:rPr>
              <w:t xml:space="preserve">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الشبهة الأولى</w:t>
            </w:r>
            <w:r>
              <w:rPr>
                <w:rStyle w:val="IndexLink"/>
                <w:rtl w:val="true"/>
              </w:rPr>
              <w:t>:</w:t>
              <w:tab/>
            </w:r>
            <w:r>
              <w:rPr>
                <w:rStyle w:val="IndexLink"/>
              </w:rPr>
              <w:t>144</w:t>
            </w:r>
          </w:hyperlink>
        </w:p>
        <w:p>
          <w:pPr>
            <w:pStyle w:val="Contents5"/>
            <w:tabs>
              <w:tab w:val="clear" w:pos="7892"/>
              <w:tab w:val="right" w:pos="9026" w:leader="dot"/>
            </w:tabs>
            <w:rPr/>
          </w:pPr>
          <w:hyperlink w:anchor="__RefHeading___Toc5369817_1280447820">
            <w:r>
              <w:rPr>
                <w:webHidden/>
                <w:rStyle w:val="IndexLink"/>
              </w:rPr>
              <w:t>24</w:t>
            </w:r>
            <w:r>
              <w:rPr>
                <w:rStyle w:val="IndexLink"/>
                <w:rtl w:val="true"/>
              </w:rPr>
              <w:t xml:space="preserve"> /</w:t>
            </w:r>
            <w:r>
              <w:rPr>
                <w:rStyle w:val="IndexLink"/>
              </w:rPr>
              <w:t>5</w:t>
            </w:r>
            <w:r>
              <w:rPr>
                <w:rStyle w:val="IndexLink"/>
                <w:rtl w:val="true"/>
              </w:rPr>
              <w:t xml:space="preserve"> /</w:t>
            </w:r>
            <w:r>
              <w:rPr>
                <w:rStyle w:val="IndexLink"/>
              </w:rPr>
              <w:t>2</w:t>
            </w:r>
            <w:r>
              <w:rPr>
                <w:rStyle w:val="IndexLink"/>
                <w:rtl w:val="true"/>
              </w:rPr>
              <w:t>.</w:t>
            </w:r>
            <w:r>
              <w:rPr>
                <w:rStyle w:val="IndexLink"/>
                <w:rtl w:val="true"/>
              </w:rPr>
              <w:t xml:space="preserve">الشبهة الثانية </w:t>
            </w:r>
            <w:r>
              <w:rPr>
                <w:rStyle w:val="IndexLink"/>
                <w:rtl w:val="true"/>
              </w:rPr>
              <w:t>:</w:t>
              <w:tab/>
            </w:r>
            <w:r>
              <w:rPr>
                <w:rStyle w:val="IndexLink"/>
              </w:rPr>
              <w:t>145</w:t>
            </w:r>
          </w:hyperlink>
        </w:p>
        <w:p>
          <w:pPr>
            <w:pStyle w:val="Contents5"/>
            <w:tabs>
              <w:tab w:val="clear" w:pos="7892"/>
              <w:tab w:val="right" w:pos="9026" w:leader="dot"/>
            </w:tabs>
            <w:rPr/>
          </w:pPr>
          <w:hyperlink w:anchor="__RefHeading___Toc5369819_1280447820">
            <w:r>
              <w:rPr>
                <w:webHidden/>
                <w:rStyle w:val="IndexLink"/>
              </w:rPr>
              <w:t>24</w:t>
            </w:r>
            <w:r>
              <w:rPr>
                <w:rStyle w:val="IndexLink"/>
                <w:rtl w:val="true"/>
              </w:rPr>
              <w:t xml:space="preserve"> /</w:t>
            </w:r>
            <w:r>
              <w:rPr>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الشبهة الثالثة</w:t>
            </w:r>
            <w:r>
              <w:rPr>
                <w:rStyle w:val="IndexLink"/>
                <w:rtl w:val="true"/>
              </w:rPr>
              <w:t>:</w:t>
              <w:tab/>
            </w:r>
            <w:r>
              <w:rPr>
                <w:rStyle w:val="IndexLink"/>
              </w:rPr>
              <w:t>145</w:t>
            </w:r>
          </w:hyperlink>
        </w:p>
        <w:p>
          <w:pPr>
            <w:pStyle w:val="Contents4"/>
            <w:tabs>
              <w:tab w:val="clear" w:pos="8176"/>
              <w:tab w:val="right" w:pos="9026" w:leader="dot"/>
            </w:tabs>
            <w:rPr/>
          </w:pPr>
          <w:hyperlink w:anchor="__RefHeading___Toc5369821_1280447820">
            <w:r>
              <w:rPr>
                <w:webHidden/>
                <w:rStyle w:val="IndexLink"/>
              </w:rPr>
              <w:t>24</w:t>
            </w:r>
            <w:r>
              <w:rPr>
                <w:rStyle w:val="IndexLink"/>
                <w:rtl w:val="true"/>
              </w:rPr>
              <w:t xml:space="preserve"> /</w:t>
            </w:r>
            <w:r>
              <w:rPr>
                <w:rStyle w:val="IndexLink"/>
              </w:rPr>
              <w:t>6</w:t>
            </w:r>
            <w:r>
              <w:rPr>
                <w:rStyle w:val="IndexLink"/>
                <w:rtl w:val="true"/>
              </w:rPr>
              <w:t>.</w:t>
            </w:r>
            <w:r>
              <w:rPr>
                <w:rStyle w:val="IndexLink"/>
                <w:rtl w:val="true"/>
              </w:rPr>
              <w:t>آية الولاية</w:t>
            </w:r>
            <w:r>
              <w:rPr>
                <w:rStyle w:val="IndexLink"/>
                <w:rtl w:val="true"/>
              </w:rPr>
              <w:tab/>
            </w:r>
            <w:r>
              <w:rPr>
                <w:rStyle w:val="IndexLink"/>
              </w:rPr>
              <w:t>146</w:t>
            </w:r>
          </w:hyperlink>
        </w:p>
        <w:p>
          <w:pPr>
            <w:pStyle w:val="Contents5"/>
            <w:tabs>
              <w:tab w:val="clear" w:pos="7892"/>
              <w:tab w:val="right" w:pos="9026" w:leader="dot"/>
            </w:tabs>
            <w:rPr/>
          </w:pPr>
          <w:hyperlink w:anchor="__RefHeading___Toc5369823_1280447820">
            <w:r>
              <w:rPr>
                <w:webHidden/>
                <w:rStyle w:val="IndexLink"/>
                <w:rtl w:val="true"/>
              </w:rPr>
              <w:t>إشارة</w:t>
            </w:r>
            <w:r>
              <w:rPr>
                <w:rStyle w:val="IndexLink"/>
                <w:rtl w:val="true"/>
              </w:rPr>
              <w:tab/>
            </w:r>
            <w:r>
              <w:rPr>
                <w:rStyle w:val="IndexLink"/>
              </w:rPr>
              <w:t>146</w:t>
            </w:r>
          </w:hyperlink>
        </w:p>
        <w:p>
          <w:pPr>
            <w:pStyle w:val="Contents5"/>
            <w:tabs>
              <w:tab w:val="clear" w:pos="7892"/>
              <w:tab w:val="right" w:pos="9026" w:leader="dot"/>
            </w:tabs>
            <w:rPr/>
          </w:pPr>
          <w:hyperlink w:anchor="__RefHeading___Toc5369825_1280447820">
            <w:r>
              <w:rPr>
                <w:webHidden/>
                <w:rStyle w:val="IndexLink"/>
              </w:rPr>
              <w:t>24</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شبهة صيغة الجمع</w:t>
            </w:r>
            <w:r>
              <w:rPr>
                <w:rStyle w:val="IndexLink"/>
                <w:rtl w:val="true"/>
              </w:rPr>
              <w:t>:</w:t>
              <w:tab/>
            </w:r>
            <w:r>
              <w:rPr>
                <w:rStyle w:val="IndexLink"/>
              </w:rPr>
              <w:t>148</w:t>
            </w:r>
          </w:hyperlink>
        </w:p>
        <w:p>
          <w:pPr>
            <w:pStyle w:val="Contents4"/>
            <w:tabs>
              <w:tab w:val="clear" w:pos="8176"/>
              <w:tab w:val="right" w:pos="9026" w:leader="dot"/>
            </w:tabs>
            <w:rPr/>
          </w:pPr>
          <w:hyperlink w:anchor="__RefHeading___Toc5369827_1280447820">
            <w:r>
              <w:rPr>
                <w:webHidden/>
                <w:rStyle w:val="IndexLink"/>
              </w:rPr>
              <w:t>24</w:t>
            </w:r>
            <w:r>
              <w:rPr>
                <w:rStyle w:val="IndexLink"/>
                <w:rtl w:val="true"/>
              </w:rPr>
              <w:t xml:space="preserve">/ </w:t>
            </w:r>
            <w:r>
              <w:rPr>
                <w:rStyle w:val="IndexLink"/>
              </w:rPr>
              <w:t>7</w:t>
            </w:r>
            <w:r>
              <w:rPr>
                <w:rStyle w:val="IndexLink"/>
                <w:rtl w:val="true"/>
              </w:rPr>
              <w:t xml:space="preserve">. </w:t>
            </w:r>
            <w:r>
              <w:rPr>
                <w:rStyle w:val="IndexLink"/>
                <w:rtl w:val="true"/>
              </w:rPr>
              <w:t xml:space="preserve">حديث الغدير </w:t>
            </w:r>
            <w:r>
              <w:rPr>
                <w:rStyle w:val="IndexLink"/>
                <w:rtl w:val="true"/>
              </w:rPr>
              <w:t>:</w:t>
              <w:tab/>
            </w:r>
            <w:r>
              <w:rPr>
                <w:rStyle w:val="IndexLink"/>
              </w:rPr>
              <w:t>149</w:t>
            </w:r>
          </w:hyperlink>
        </w:p>
        <w:p>
          <w:pPr>
            <w:pStyle w:val="Contents4"/>
            <w:tabs>
              <w:tab w:val="clear" w:pos="8176"/>
              <w:tab w:val="right" w:pos="9026" w:leader="dot"/>
            </w:tabs>
            <w:rPr/>
          </w:pPr>
          <w:hyperlink w:anchor="__RefHeading___Toc5369829_1280447820">
            <w:r>
              <w:rPr>
                <w:webHidden/>
                <w:rStyle w:val="IndexLink"/>
              </w:rPr>
              <w:t>24</w:t>
            </w:r>
            <w:r>
              <w:rPr>
                <w:rStyle w:val="IndexLink"/>
                <w:rtl w:val="true"/>
              </w:rPr>
              <w:t xml:space="preserve">/ </w:t>
            </w:r>
            <w:r>
              <w:rPr>
                <w:rStyle w:val="IndexLink"/>
              </w:rPr>
              <w:t>8</w:t>
            </w:r>
            <w:r>
              <w:rPr>
                <w:rStyle w:val="IndexLink"/>
                <w:rtl w:val="true"/>
              </w:rPr>
              <w:t>.</w:t>
            </w:r>
            <w:r>
              <w:rPr>
                <w:rStyle w:val="IndexLink"/>
                <w:rtl w:val="true"/>
              </w:rPr>
              <w:t xml:space="preserve">حديث الثقلين </w:t>
            </w:r>
            <w:r>
              <w:rPr>
                <w:rStyle w:val="IndexLink"/>
                <w:rtl w:val="true"/>
              </w:rPr>
              <w:t>:</w:t>
              <w:tab/>
            </w:r>
            <w:r>
              <w:rPr>
                <w:rStyle w:val="IndexLink"/>
              </w:rPr>
              <w:t>150</w:t>
            </w:r>
          </w:hyperlink>
        </w:p>
        <w:p>
          <w:pPr>
            <w:pStyle w:val="Contents4"/>
            <w:tabs>
              <w:tab w:val="clear" w:pos="8176"/>
              <w:tab w:val="right" w:pos="9026" w:leader="dot"/>
            </w:tabs>
            <w:rPr/>
          </w:pPr>
          <w:hyperlink w:anchor="__RefHeading___Toc5369831_1280447820">
            <w:r>
              <w:rPr>
                <w:webHidden/>
                <w:rStyle w:val="IndexLink"/>
              </w:rPr>
              <w:t>24</w:t>
            </w:r>
            <w:r>
              <w:rPr>
                <w:rStyle w:val="IndexLink"/>
                <w:rtl w:val="true"/>
              </w:rPr>
              <w:t xml:space="preserve">/ </w:t>
            </w:r>
            <w:r>
              <w:rPr>
                <w:rStyle w:val="IndexLink"/>
              </w:rPr>
              <w:t>9</w:t>
            </w:r>
            <w:r>
              <w:rPr>
                <w:rStyle w:val="IndexLink"/>
                <w:rtl w:val="true"/>
              </w:rPr>
              <w:t>.</w:t>
            </w:r>
            <w:r>
              <w:rPr>
                <w:rStyle w:val="IndexLink"/>
                <w:rtl w:val="true"/>
              </w:rPr>
              <w:t>حديث الولاية</w:t>
            </w:r>
            <w:r>
              <w:rPr>
                <w:rStyle w:val="IndexLink"/>
                <w:rtl w:val="true"/>
              </w:rPr>
              <w:tab/>
            </w:r>
            <w:r>
              <w:rPr>
                <w:rStyle w:val="IndexLink"/>
              </w:rPr>
              <w:t>151</w:t>
            </w:r>
          </w:hyperlink>
        </w:p>
        <w:p>
          <w:pPr>
            <w:pStyle w:val="Contents4"/>
            <w:tabs>
              <w:tab w:val="clear" w:pos="8176"/>
              <w:tab w:val="right" w:pos="9026" w:leader="dot"/>
            </w:tabs>
            <w:rPr/>
          </w:pPr>
          <w:hyperlink w:anchor="__RefHeading___Toc5369833_1280447820">
            <w:r>
              <w:rPr>
                <w:webHidden/>
                <w:rStyle w:val="IndexLink"/>
              </w:rPr>
              <w:t>24</w:t>
            </w:r>
            <w:r>
              <w:rPr>
                <w:rStyle w:val="IndexLink"/>
                <w:rtl w:val="true"/>
              </w:rPr>
              <w:t xml:space="preserve"> /</w:t>
            </w:r>
            <w:r>
              <w:rPr>
                <w:rStyle w:val="IndexLink"/>
              </w:rPr>
              <w:t>10</w:t>
            </w:r>
            <w:r>
              <w:rPr>
                <w:rStyle w:val="IndexLink"/>
                <w:rtl w:val="true"/>
              </w:rPr>
              <w:t xml:space="preserve">. </w:t>
            </w:r>
            <w:r>
              <w:rPr>
                <w:rStyle w:val="IndexLink"/>
                <w:rtl w:val="true"/>
              </w:rPr>
              <w:t xml:space="preserve">حديث اللوح </w:t>
            </w:r>
            <w:r>
              <w:rPr>
                <w:rStyle w:val="IndexLink"/>
                <w:rtl w:val="true"/>
              </w:rPr>
              <w:t>:</w:t>
              <w:tab/>
            </w:r>
            <w:r>
              <w:rPr>
                <w:rStyle w:val="IndexLink"/>
              </w:rPr>
              <w:t>154</w:t>
            </w:r>
          </w:hyperlink>
        </w:p>
        <w:p>
          <w:pPr>
            <w:pStyle w:val="Contents4"/>
            <w:tabs>
              <w:tab w:val="clear" w:pos="8176"/>
              <w:tab w:val="right" w:pos="9026" w:leader="dot"/>
            </w:tabs>
            <w:rPr/>
          </w:pPr>
          <w:hyperlink w:anchor="__RefHeading___Toc5369835_1280447820">
            <w:r>
              <w:rPr>
                <w:webHidden/>
                <w:rStyle w:val="IndexLink"/>
              </w:rPr>
              <w:t>24</w:t>
            </w:r>
            <w:r>
              <w:rPr>
                <w:rStyle w:val="IndexLink"/>
                <w:rtl w:val="true"/>
              </w:rPr>
              <w:t xml:space="preserve"> /</w:t>
            </w:r>
            <w:r>
              <w:rPr>
                <w:rStyle w:val="IndexLink"/>
              </w:rPr>
              <w:t>11</w:t>
            </w:r>
            <w:r>
              <w:rPr>
                <w:rStyle w:val="IndexLink"/>
                <w:rtl w:val="true"/>
              </w:rPr>
              <w:t xml:space="preserve">. </w:t>
            </w:r>
            <w:r>
              <w:rPr>
                <w:rStyle w:val="IndexLink"/>
                <w:rtl w:val="true"/>
              </w:rPr>
              <w:t>أحاديث الأئمة الاثني عشر</w:t>
            </w:r>
            <w:r>
              <w:rPr>
                <w:rStyle w:val="IndexLink"/>
                <w:rtl w:val="true"/>
              </w:rPr>
              <w:t>(</w:t>
            </w:r>
            <w:r>
              <w:rPr>
                <w:rStyle w:val="IndexLink"/>
                <w:rtl w:val="true"/>
              </w:rPr>
              <w:t>علیهم السلام</w:t>
            </w:r>
            <w:r>
              <w:rPr>
                <w:rStyle w:val="IndexLink"/>
                <w:rtl w:val="true"/>
              </w:rPr>
              <w:t>):</w:t>
              <w:tab/>
            </w:r>
            <w:r>
              <w:rPr>
                <w:rStyle w:val="IndexLink"/>
              </w:rPr>
              <w:t>159</w:t>
            </w:r>
          </w:hyperlink>
        </w:p>
        <w:p>
          <w:pPr>
            <w:pStyle w:val="Contents5"/>
            <w:tabs>
              <w:tab w:val="clear" w:pos="7892"/>
              <w:tab w:val="right" w:pos="9026" w:leader="dot"/>
            </w:tabs>
            <w:rPr/>
          </w:pPr>
          <w:hyperlink w:anchor="__RefHeading___Toc5369837_1280447820">
            <w:r>
              <w:rPr>
                <w:webHidden/>
                <w:rStyle w:val="IndexLink"/>
                <w:rtl w:val="true"/>
              </w:rPr>
              <w:t>إشارة</w:t>
            </w:r>
            <w:r>
              <w:rPr>
                <w:rStyle w:val="IndexLink"/>
                <w:rtl w:val="true"/>
              </w:rPr>
              <w:tab/>
            </w:r>
            <w:r>
              <w:rPr>
                <w:rStyle w:val="IndexLink"/>
              </w:rPr>
              <w:t>159</w:t>
            </w:r>
          </w:hyperlink>
        </w:p>
        <w:p>
          <w:pPr>
            <w:pStyle w:val="Contents5"/>
            <w:tabs>
              <w:tab w:val="clear" w:pos="7892"/>
              <w:tab w:val="right" w:pos="9026" w:leader="dot"/>
            </w:tabs>
            <w:rPr/>
          </w:pPr>
          <w:hyperlink w:anchor="__RefHeading___Toc5369839_1280447820">
            <w:r>
              <w:rPr>
                <w:webHidden/>
                <w:rStyle w:val="IndexLink"/>
              </w:rPr>
              <w:t>24</w:t>
            </w:r>
            <w:r>
              <w:rPr>
                <w:rStyle w:val="IndexLink"/>
                <w:rtl w:val="true"/>
              </w:rPr>
              <w:t xml:space="preserve">/ </w:t>
            </w:r>
            <w:r>
              <w:rPr>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تفسير علماء العامّة لأحاديث الاثني عشر</w:t>
            </w:r>
            <w:r>
              <w:rPr>
                <w:rStyle w:val="IndexLink"/>
                <w:rtl w:val="true"/>
              </w:rPr>
              <w:t>:</w:t>
              <w:tab/>
            </w:r>
            <w:r>
              <w:rPr>
                <w:rStyle w:val="IndexLink"/>
              </w:rPr>
              <w:t>161</w:t>
            </w:r>
          </w:hyperlink>
        </w:p>
        <w:p>
          <w:pPr>
            <w:pStyle w:val="Contents5"/>
            <w:tabs>
              <w:tab w:val="clear" w:pos="7892"/>
              <w:tab w:val="right" w:pos="9026" w:leader="dot"/>
            </w:tabs>
            <w:rPr/>
          </w:pPr>
          <w:hyperlink w:anchor="__RefHeading___Toc5369841_1280447820">
            <w:r>
              <w:rPr>
                <w:webHidden/>
                <w:rStyle w:val="IndexLink"/>
              </w:rPr>
              <w:t>24</w:t>
            </w:r>
            <w:r>
              <w:rPr>
                <w:rStyle w:val="IndexLink"/>
                <w:rtl w:val="true"/>
              </w:rPr>
              <w:t xml:space="preserve"> /</w:t>
            </w:r>
            <w:r>
              <w:rPr>
                <w:rStyle w:val="IndexLink"/>
              </w:rPr>
              <w:t>11</w:t>
            </w:r>
            <w:r>
              <w:rPr>
                <w:rStyle w:val="IndexLink"/>
                <w:rtl w:val="true"/>
              </w:rPr>
              <w:t xml:space="preserve"> /</w:t>
            </w:r>
            <w:r>
              <w:rPr>
                <w:rStyle w:val="IndexLink"/>
              </w:rPr>
              <w:t>2</w:t>
            </w:r>
            <w:r>
              <w:rPr>
                <w:rStyle w:val="IndexLink"/>
                <w:rtl w:val="true"/>
              </w:rPr>
              <w:t>.</w:t>
            </w:r>
            <w:r>
              <w:rPr>
                <w:rStyle w:val="IndexLink"/>
                <w:rtl w:val="true"/>
              </w:rPr>
              <w:t>تفسير علماء الإماميّة لأحاديث الاثني عشر</w:t>
            </w:r>
            <w:r>
              <w:rPr>
                <w:rStyle w:val="IndexLink"/>
                <w:rtl w:val="true"/>
              </w:rPr>
              <w:t>:</w:t>
              <w:tab/>
            </w:r>
            <w:r>
              <w:rPr>
                <w:rStyle w:val="IndexLink"/>
              </w:rPr>
              <w:t>168</w:t>
            </w:r>
          </w:hyperlink>
        </w:p>
        <w:p>
          <w:pPr>
            <w:pStyle w:val="Contents3"/>
            <w:tabs>
              <w:tab w:val="clear" w:pos="8459"/>
              <w:tab w:val="right" w:pos="9026" w:leader="dot"/>
            </w:tabs>
            <w:rPr/>
          </w:pPr>
          <w:hyperlink w:anchor="__RefHeading___Toc5369843_1280447820">
            <w:r>
              <w:rPr>
                <w:webHidden/>
                <w:rStyle w:val="IndexLink"/>
              </w:rPr>
              <w:t>25</w:t>
            </w:r>
            <w:r>
              <w:rPr>
                <w:rStyle w:val="IndexLink"/>
                <w:rtl w:val="true"/>
              </w:rPr>
              <w:t xml:space="preserve">. </w:t>
            </w:r>
            <w:r>
              <w:rPr>
                <w:rStyle w:val="IndexLink"/>
                <w:rtl w:val="true"/>
              </w:rPr>
              <w:t>المهدوية</w:t>
            </w:r>
            <w:r>
              <w:rPr>
                <w:rStyle w:val="IndexLink"/>
                <w:rtl w:val="true"/>
              </w:rPr>
              <w:tab/>
            </w:r>
            <w:r>
              <w:rPr>
                <w:rStyle w:val="IndexLink"/>
              </w:rPr>
              <w:t>171</w:t>
            </w:r>
          </w:hyperlink>
        </w:p>
        <w:p>
          <w:pPr>
            <w:pStyle w:val="Contents4"/>
            <w:tabs>
              <w:tab w:val="clear" w:pos="8176"/>
              <w:tab w:val="right" w:pos="9026" w:leader="dot"/>
            </w:tabs>
            <w:rPr/>
          </w:pPr>
          <w:hyperlink w:anchor="__RefHeading___Toc5369845_1280447820">
            <w:r>
              <w:rPr>
                <w:webHidden/>
                <w:rStyle w:val="IndexLink"/>
              </w:rPr>
              <w:t>25</w:t>
            </w:r>
            <w:r>
              <w:rPr>
                <w:rStyle w:val="IndexLink"/>
                <w:rtl w:val="true"/>
              </w:rPr>
              <w:t xml:space="preserve"> /</w:t>
            </w:r>
            <w:r>
              <w:rPr>
                <w:rStyle w:val="IndexLink"/>
              </w:rPr>
              <w:t>1</w:t>
            </w:r>
            <w:r>
              <w:rPr>
                <w:rStyle w:val="IndexLink"/>
                <w:rtl w:val="true"/>
              </w:rPr>
              <w:t>.</w:t>
            </w:r>
            <w:r>
              <w:rPr>
                <w:rStyle w:val="IndexLink"/>
                <w:rtl w:val="true"/>
              </w:rPr>
              <w:t>تمهید</w:t>
            </w:r>
            <w:r>
              <w:rPr>
                <w:rStyle w:val="IndexLink"/>
                <w:rtl w:val="true"/>
              </w:rPr>
              <w:tab/>
            </w:r>
            <w:r>
              <w:rPr>
                <w:rStyle w:val="IndexLink"/>
              </w:rPr>
              <w:t>171</w:t>
            </w:r>
          </w:hyperlink>
        </w:p>
        <w:p>
          <w:pPr>
            <w:pStyle w:val="Contents4"/>
            <w:tabs>
              <w:tab w:val="clear" w:pos="8176"/>
              <w:tab w:val="right" w:pos="9026" w:leader="dot"/>
            </w:tabs>
            <w:rPr/>
          </w:pPr>
          <w:hyperlink w:anchor="__RefHeading___Toc5369847_1280447820">
            <w:r>
              <w:rPr>
                <w:webHidden/>
                <w:rStyle w:val="IndexLink"/>
              </w:rPr>
              <w:t>25</w:t>
            </w:r>
            <w:r>
              <w:rPr>
                <w:rStyle w:val="IndexLink"/>
                <w:rtl w:val="true"/>
              </w:rPr>
              <w:t xml:space="preserve"> /</w:t>
            </w:r>
            <w:r>
              <w:rPr>
                <w:rStyle w:val="IndexLink"/>
              </w:rPr>
              <w:t>2</w:t>
            </w:r>
            <w:r>
              <w:rPr>
                <w:rStyle w:val="IndexLink"/>
                <w:rtl w:val="true"/>
              </w:rPr>
              <w:t>.</w:t>
            </w:r>
            <w:r>
              <w:rPr>
                <w:rStyle w:val="IndexLink"/>
                <w:rtl w:val="true"/>
              </w:rPr>
              <w:t>الإيمان بمخلّص البشريّة في الديانات الأخرى</w:t>
            </w:r>
            <w:r>
              <w:rPr>
                <w:rStyle w:val="IndexLink"/>
                <w:rtl w:val="true"/>
              </w:rPr>
              <w:t>:</w:t>
              <w:tab/>
            </w:r>
            <w:r>
              <w:rPr>
                <w:rStyle w:val="IndexLink"/>
              </w:rPr>
              <w:t>171</w:t>
            </w:r>
          </w:hyperlink>
        </w:p>
        <w:p>
          <w:pPr>
            <w:pStyle w:val="Contents4"/>
            <w:tabs>
              <w:tab w:val="clear" w:pos="8176"/>
              <w:tab w:val="right" w:pos="9026" w:leader="dot"/>
            </w:tabs>
            <w:rPr/>
          </w:pPr>
          <w:hyperlink w:anchor="__RefHeading___Toc5369849_1280447820">
            <w:r>
              <w:rPr>
                <w:webHidden/>
                <w:rStyle w:val="IndexLink"/>
              </w:rPr>
              <w:t>25</w:t>
            </w:r>
            <w:r>
              <w:rPr>
                <w:rStyle w:val="IndexLink"/>
                <w:rtl w:val="true"/>
              </w:rPr>
              <w:t xml:space="preserve">/ </w:t>
            </w:r>
            <w:r>
              <w:rPr>
                <w:rStyle w:val="IndexLink"/>
              </w:rPr>
              <w:t>3</w:t>
            </w:r>
            <w:r>
              <w:rPr>
                <w:rStyle w:val="IndexLink"/>
                <w:rtl w:val="true"/>
              </w:rPr>
              <w:t>.</w:t>
            </w:r>
            <w:r>
              <w:rPr>
                <w:rStyle w:val="IndexLink"/>
                <w:rtl w:val="true"/>
              </w:rPr>
              <w:t xml:space="preserve">المهدوية في رؤية الفريقين </w:t>
            </w:r>
            <w:r>
              <w:rPr>
                <w:rStyle w:val="IndexLink"/>
                <w:rtl w:val="true"/>
              </w:rPr>
              <w:t>:</w:t>
              <w:tab/>
            </w:r>
            <w:r>
              <w:rPr>
                <w:rStyle w:val="IndexLink"/>
              </w:rPr>
              <w:t>173</w:t>
            </w:r>
          </w:hyperlink>
        </w:p>
        <w:p>
          <w:pPr>
            <w:pStyle w:val="Contents5"/>
            <w:tabs>
              <w:tab w:val="clear" w:pos="7892"/>
              <w:tab w:val="right" w:pos="9026" w:leader="dot"/>
            </w:tabs>
            <w:rPr/>
          </w:pPr>
          <w:hyperlink w:anchor="__RefHeading___Toc5369851_1280447820">
            <w:r>
              <w:rPr>
                <w:webHidden/>
                <w:rStyle w:val="IndexLink"/>
                <w:rtl w:val="true"/>
              </w:rPr>
              <w:t>إشارة</w:t>
            </w:r>
            <w:r>
              <w:rPr>
                <w:rStyle w:val="IndexLink"/>
                <w:rtl w:val="true"/>
              </w:rPr>
              <w:tab/>
            </w:r>
            <w:r>
              <w:rPr>
                <w:rStyle w:val="IndexLink"/>
              </w:rPr>
              <w:t>173</w:t>
            </w:r>
          </w:hyperlink>
        </w:p>
        <w:p>
          <w:pPr>
            <w:pStyle w:val="Contents5"/>
            <w:tabs>
              <w:tab w:val="clear" w:pos="7892"/>
              <w:tab w:val="right" w:pos="9026" w:leader="dot"/>
            </w:tabs>
            <w:rPr/>
          </w:pPr>
          <w:hyperlink w:anchor="__RefHeading___Toc5369853_1280447820">
            <w:r>
              <w:rPr>
                <w:webHidden/>
                <w:rStyle w:val="IndexLink"/>
              </w:rPr>
              <w:t>25</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المهدويّة عند علماء العامّة</w:t>
            </w:r>
            <w:r>
              <w:rPr>
                <w:rStyle w:val="IndexLink"/>
                <w:rtl w:val="true"/>
              </w:rPr>
              <w:t>:</w:t>
              <w:tab/>
            </w:r>
            <w:r>
              <w:rPr>
                <w:rStyle w:val="IndexLink"/>
              </w:rPr>
              <w:t>174</w:t>
            </w:r>
          </w:hyperlink>
        </w:p>
        <w:p>
          <w:pPr>
            <w:pStyle w:val="Contents5"/>
            <w:tabs>
              <w:tab w:val="clear" w:pos="7892"/>
              <w:tab w:val="right" w:pos="9026" w:leader="dot"/>
            </w:tabs>
            <w:rPr/>
          </w:pPr>
          <w:hyperlink w:anchor="__RefHeading___Toc5369855_1280447820">
            <w:r>
              <w:rPr>
                <w:webHidden/>
                <w:rStyle w:val="IndexLink"/>
              </w:rPr>
              <w:t>25</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المهدويّة عند علماء الإماميّة</w:t>
            </w:r>
            <w:r>
              <w:rPr>
                <w:rStyle w:val="IndexLink"/>
                <w:rtl w:val="true"/>
              </w:rPr>
              <w:t>:</w:t>
              <w:tab/>
            </w:r>
            <w:r>
              <w:rPr>
                <w:rStyle w:val="IndexLink"/>
              </w:rPr>
              <w:t>177</w:t>
            </w:r>
          </w:hyperlink>
        </w:p>
        <w:p>
          <w:pPr>
            <w:pStyle w:val="Contents4"/>
            <w:tabs>
              <w:tab w:val="clear" w:pos="8176"/>
              <w:tab w:val="right" w:pos="9026" w:leader="dot"/>
            </w:tabs>
            <w:rPr/>
          </w:pPr>
          <w:hyperlink w:anchor="__RefHeading___Toc5369857_1280447820">
            <w:r>
              <w:rPr>
                <w:webHidden/>
                <w:rStyle w:val="IndexLink"/>
              </w:rPr>
              <w:t>24</w:t>
            </w:r>
            <w:r>
              <w:rPr>
                <w:rStyle w:val="IndexLink"/>
                <w:rtl w:val="true"/>
              </w:rPr>
              <w:t xml:space="preserve">/ </w:t>
            </w:r>
            <w:r>
              <w:rPr>
                <w:rStyle w:val="IndexLink"/>
              </w:rPr>
              <w:t>4</w:t>
            </w:r>
            <w:r>
              <w:rPr>
                <w:rStyle w:val="IndexLink"/>
                <w:rtl w:val="true"/>
              </w:rPr>
              <w:t xml:space="preserve">. </w:t>
            </w:r>
            <w:r>
              <w:rPr>
                <w:rStyle w:val="IndexLink"/>
                <w:rtl w:val="true"/>
              </w:rPr>
              <w:t xml:space="preserve">سمات أصحاب المهدي </w:t>
            </w:r>
            <w:r>
              <w:rPr>
                <w:rStyle w:val="IndexLink"/>
                <w:rtl w:val="true"/>
              </w:rPr>
              <w:t>(</w:t>
            </w:r>
            <w:r>
              <w:rPr>
                <w:rStyle w:val="IndexLink"/>
                <w:rtl w:val="true"/>
              </w:rPr>
              <w:t>علیه السلام</w:t>
            </w:r>
            <w:r>
              <w:rPr>
                <w:rStyle w:val="IndexLink"/>
                <w:rtl w:val="true"/>
              </w:rPr>
              <w:t>) :</w:t>
              <w:tab/>
            </w:r>
            <w:r>
              <w:rPr>
                <w:rStyle w:val="IndexLink"/>
              </w:rPr>
              <w:t>180</w:t>
            </w:r>
          </w:hyperlink>
        </w:p>
        <w:p>
          <w:pPr>
            <w:pStyle w:val="Contents4"/>
            <w:tabs>
              <w:tab w:val="clear" w:pos="8176"/>
              <w:tab w:val="right" w:pos="9026" w:leader="dot"/>
            </w:tabs>
            <w:rPr/>
          </w:pPr>
          <w:hyperlink w:anchor="__RefHeading___Toc5369859_1280447820">
            <w:r>
              <w:rPr>
                <w:webHidden/>
                <w:rStyle w:val="IndexLink"/>
              </w:rPr>
              <w:t>25</w:t>
            </w:r>
            <w:r>
              <w:rPr>
                <w:rStyle w:val="IndexLink"/>
                <w:rtl w:val="true"/>
              </w:rPr>
              <w:t xml:space="preserve"> /</w:t>
            </w:r>
            <w:r>
              <w:rPr>
                <w:rStyle w:val="IndexLink"/>
              </w:rPr>
              <w:t>5</w:t>
            </w:r>
            <w:r>
              <w:rPr>
                <w:rStyle w:val="IndexLink"/>
                <w:rtl w:val="true"/>
              </w:rPr>
              <w:t xml:space="preserve">. </w:t>
            </w:r>
            <w:r>
              <w:rPr>
                <w:rStyle w:val="IndexLink"/>
                <w:rtl w:val="true"/>
              </w:rPr>
              <w:t xml:space="preserve">أحداث ما قبل الظهور </w:t>
            </w:r>
            <w:r>
              <w:rPr>
                <w:rStyle w:val="IndexLink"/>
                <w:rtl w:val="true"/>
              </w:rPr>
              <w:t>:</w:t>
              <w:tab/>
            </w:r>
            <w:r>
              <w:rPr>
                <w:rStyle w:val="IndexLink"/>
              </w:rPr>
              <w:t>182</w:t>
            </w:r>
          </w:hyperlink>
        </w:p>
        <w:p>
          <w:pPr>
            <w:pStyle w:val="Contents4"/>
            <w:tabs>
              <w:tab w:val="clear" w:pos="8176"/>
              <w:tab w:val="right" w:pos="9026" w:leader="dot"/>
            </w:tabs>
            <w:rPr/>
          </w:pPr>
          <w:hyperlink w:anchor="__RefHeading___Toc5369861_1280447820">
            <w:r>
              <w:rPr>
                <w:webHidden/>
                <w:rStyle w:val="IndexLink"/>
              </w:rPr>
              <w:t>25</w:t>
            </w:r>
            <w:r>
              <w:rPr>
                <w:rStyle w:val="IndexLink"/>
                <w:rtl w:val="true"/>
              </w:rPr>
              <w:t xml:space="preserve"> /</w:t>
            </w:r>
            <w:r>
              <w:rPr>
                <w:rStyle w:val="IndexLink"/>
              </w:rPr>
              <w:t>6</w:t>
            </w:r>
            <w:r>
              <w:rPr>
                <w:rStyle w:val="IndexLink"/>
                <w:rtl w:val="true"/>
              </w:rPr>
              <w:t xml:space="preserve">. </w:t>
            </w:r>
            <w:r>
              <w:rPr>
                <w:rStyle w:val="IndexLink"/>
                <w:rtl w:val="true"/>
              </w:rPr>
              <w:t xml:space="preserve">فلسفة الغيبة </w:t>
            </w:r>
            <w:r>
              <w:rPr>
                <w:rStyle w:val="IndexLink"/>
                <w:rtl w:val="true"/>
              </w:rPr>
              <w:t>:</w:t>
              <w:tab/>
            </w:r>
            <w:r>
              <w:rPr>
                <w:rStyle w:val="IndexLink"/>
              </w:rPr>
              <w:t>186</w:t>
            </w:r>
          </w:hyperlink>
        </w:p>
        <w:p>
          <w:pPr>
            <w:pStyle w:val="Contents2"/>
            <w:tabs>
              <w:tab w:val="clear" w:pos="8743"/>
              <w:tab w:val="right" w:pos="9026" w:leader="dot"/>
            </w:tabs>
            <w:rPr/>
          </w:pPr>
          <w:hyperlink w:anchor="__RefHeading___Toc5369863_1280447820">
            <w:r>
              <w:rPr>
                <w:webHidden/>
                <w:rStyle w:val="IndexLink"/>
                <w:rtl w:val="true"/>
              </w:rPr>
              <w:t xml:space="preserve">الباب السابع </w:t>
            </w:r>
            <w:r>
              <w:rPr>
                <w:rStyle w:val="IndexLink"/>
                <w:rtl w:val="true"/>
              </w:rPr>
              <w:t>-</w:t>
            </w:r>
            <w:r>
              <w:rPr>
                <w:rStyle w:val="IndexLink"/>
                <w:rtl w:val="true"/>
              </w:rPr>
              <w:t>المعاد</w:t>
            </w:r>
            <w:r>
              <w:rPr>
                <w:rStyle w:val="IndexLink"/>
                <w:rtl w:val="true"/>
              </w:rPr>
              <w:tab/>
            </w:r>
            <w:r>
              <w:rPr>
                <w:rStyle w:val="IndexLink"/>
              </w:rPr>
              <w:t>190</w:t>
            </w:r>
          </w:hyperlink>
        </w:p>
        <w:p>
          <w:pPr>
            <w:pStyle w:val="Contents3"/>
            <w:tabs>
              <w:tab w:val="clear" w:pos="8459"/>
              <w:tab w:val="right" w:pos="9026" w:leader="dot"/>
            </w:tabs>
            <w:rPr/>
          </w:pPr>
          <w:hyperlink w:anchor="__RefHeading___Toc5369865_1280447820">
            <w:r>
              <w:rPr>
                <w:webHidden/>
                <w:rStyle w:val="IndexLink"/>
                <w:rtl w:val="true"/>
              </w:rPr>
              <w:t>إشارة</w:t>
            </w:r>
            <w:r>
              <w:rPr>
                <w:rStyle w:val="IndexLink"/>
                <w:rtl w:val="true"/>
              </w:rPr>
              <w:tab/>
            </w:r>
            <w:r>
              <w:rPr>
                <w:rStyle w:val="IndexLink"/>
              </w:rPr>
              <w:t>190</w:t>
            </w:r>
          </w:hyperlink>
        </w:p>
        <w:p>
          <w:pPr>
            <w:pStyle w:val="Contents3"/>
            <w:tabs>
              <w:tab w:val="clear" w:pos="8459"/>
              <w:tab w:val="right" w:pos="9026" w:leader="dot"/>
            </w:tabs>
            <w:rPr/>
          </w:pPr>
          <w:hyperlink w:anchor="__RefHeading___Toc5369867_1280447820">
            <w:r>
              <w:rPr>
                <w:webHidden/>
                <w:rStyle w:val="IndexLink"/>
              </w:rPr>
              <w:t>37</w:t>
            </w:r>
            <w:r>
              <w:rPr>
                <w:rStyle w:val="IndexLink"/>
                <w:rtl w:val="true"/>
              </w:rPr>
              <w:t>.</w:t>
            </w:r>
            <w:r>
              <w:rPr>
                <w:rStyle w:val="IndexLink"/>
                <w:rtl w:val="true"/>
              </w:rPr>
              <w:t>المعاد الجسماني والروحاني</w:t>
            </w:r>
            <w:r>
              <w:rPr>
                <w:rStyle w:val="IndexLink"/>
                <w:rtl w:val="true"/>
              </w:rPr>
              <w:tab/>
            </w:r>
            <w:r>
              <w:rPr>
                <w:rStyle w:val="IndexLink"/>
              </w:rPr>
              <w:t>191</w:t>
            </w:r>
          </w:hyperlink>
        </w:p>
        <w:p>
          <w:pPr>
            <w:pStyle w:val="Contents4"/>
            <w:tabs>
              <w:tab w:val="clear" w:pos="8176"/>
              <w:tab w:val="right" w:pos="9026" w:leader="dot"/>
            </w:tabs>
            <w:rPr/>
          </w:pPr>
          <w:hyperlink w:anchor="__RefHeading___Toc5369869_1280447820">
            <w:r>
              <w:rPr>
                <w:webHidden/>
                <w:rStyle w:val="IndexLink"/>
                <w:rtl w:val="true"/>
              </w:rPr>
              <w:t>إشارة</w:t>
            </w:r>
            <w:r>
              <w:rPr>
                <w:rStyle w:val="IndexLink"/>
                <w:rtl w:val="true"/>
              </w:rPr>
              <w:tab/>
            </w:r>
            <w:r>
              <w:rPr>
                <w:rStyle w:val="IndexLink"/>
              </w:rPr>
              <w:t>191</w:t>
            </w:r>
          </w:hyperlink>
        </w:p>
        <w:p>
          <w:pPr>
            <w:pStyle w:val="Contents4"/>
            <w:tabs>
              <w:tab w:val="clear" w:pos="8176"/>
              <w:tab w:val="right" w:pos="9026" w:leader="dot"/>
            </w:tabs>
            <w:rPr/>
          </w:pPr>
          <w:hyperlink w:anchor="__RefHeading___Toc5369871_1280447820">
            <w:r>
              <w:rPr>
                <w:webHidden/>
                <w:rStyle w:val="IndexLink"/>
                <w:rtl w:val="true"/>
              </w:rPr>
              <w:t xml:space="preserve">- </w:t>
            </w:r>
            <w:r>
              <w:rPr>
                <w:rStyle w:val="IndexLink"/>
                <w:rtl w:val="true"/>
              </w:rPr>
              <w:t>نمطية تصنيف المعتقدات</w:t>
            </w:r>
            <w:r>
              <w:rPr>
                <w:rStyle w:val="IndexLink"/>
                <w:rtl w:val="true"/>
              </w:rPr>
              <w:t>.</w:t>
              <w:tab/>
            </w:r>
            <w:r>
              <w:rPr>
                <w:rStyle w:val="IndexLink"/>
              </w:rPr>
              <w:t>191</w:t>
            </w:r>
          </w:hyperlink>
        </w:p>
        <w:p>
          <w:pPr>
            <w:pStyle w:val="Contents4"/>
            <w:tabs>
              <w:tab w:val="clear" w:pos="8176"/>
              <w:tab w:val="right" w:pos="9026" w:leader="dot"/>
            </w:tabs>
            <w:rPr/>
          </w:pPr>
          <w:hyperlink w:anchor="__RefHeading___Toc5369873_1280447820">
            <w:r>
              <w:rPr>
                <w:webHidden/>
                <w:rStyle w:val="IndexLink"/>
                <w:rtl w:val="true"/>
              </w:rPr>
              <w:t xml:space="preserve">- </w:t>
            </w:r>
            <w:r>
              <w:rPr>
                <w:rStyle w:val="IndexLink"/>
                <w:rtl w:val="true"/>
              </w:rPr>
              <w:t xml:space="preserve">أهمّية دراسة المعاد </w:t>
            </w:r>
            <w:r>
              <w:rPr>
                <w:rStyle w:val="IndexLink"/>
                <w:rtl w:val="true"/>
              </w:rPr>
              <w:t>:</w:t>
              <w:tab/>
            </w:r>
            <w:r>
              <w:rPr>
                <w:rStyle w:val="IndexLink"/>
              </w:rPr>
              <w:t>192</w:t>
            </w:r>
          </w:hyperlink>
        </w:p>
        <w:p>
          <w:pPr>
            <w:pStyle w:val="Contents4"/>
            <w:tabs>
              <w:tab w:val="clear" w:pos="8176"/>
              <w:tab w:val="right" w:pos="9026" w:leader="dot"/>
            </w:tabs>
            <w:rPr/>
          </w:pPr>
          <w:hyperlink w:anchor="__RefHeading___Toc5369875_1280447820">
            <w:r>
              <w:rPr>
                <w:webHidden/>
                <w:rStyle w:val="IndexLink"/>
                <w:rtl w:val="true"/>
              </w:rPr>
              <w:t xml:space="preserve">- </w:t>
            </w:r>
            <w:r>
              <w:rPr>
                <w:rStyle w:val="IndexLink"/>
                <w:rtl w:val="true"/>
              </w:rPr>
              <w:t xml:space="preserve">حقيقة الخلود </w:t>
            </w:r>
            <w:r>
              <w:rPr>
                <w:rStyle w:val="IndexLink"/>
                <w:rtl w:val="true"/>
              </w:rPr>
              <w:t>:</w:t>
              <w:tab/>
            </w:r>
            <w:r>
              <w:rPr>
                <w:rStyle w:val="IndexLink"/>
              </w:rPr>
              <w:t>193</w:t>
            </w:r>
          </w:hyperlink>
        </w:p>
        <w:p>
          <w:pPr>
            <w:pStyle w:val="Contents4"/>
            <w:tabs>
              <w:tab w:val="clear" w:pos="8176"/>
              <w:tab w:val="right" w:pos="9026" w:leader="dot"/>
            </w:tabs>
            <w:rPr/>
          </w:pPr>
          <w:hyperlink w:anchor="__RefHeading___Toc5369877_1280447820">
            <w:r>
              <w:rPr>
                <w:webHidden/>
                <w:rStyle w:val="IndexLink"/>
                <w:rtl w:val="true"/>
              </w:rPr>
              <w:t xml:space="preserve">- </w:t>
            </w:r>
            <w:r>
              <w:rPr>
                <w:rStyle w:val="IndexLink"/>
                <w:rtl w:val="true"/>
              </w:rPr>
              <w:t xml:space="preserve">النزعة إلى الخلود </w:t>
            </w:r>
            <w:r>
              <w:rPr>
                <w:rStyle w:val="IndexLink"/>
                <w:rtl w:val="true"/>
              </w:rPr>
              <w:t>:</w:t>
              <w:tab/>
            </w:r>
            <w:r>
              <w:rPr>
                <w:rStyle w:val="IndexLink"/>
              </w:rPr>
              <w:t>194</w:t>
            </w:r>
          </w:hyperlink>
        </w:p>
        <w:p>
          <w:pPr>
            <w:pStyle w:val="Contents5"/>
            <w:tabs>
              <w:tab w:val="clear" w:pos="7892"/>
              <w:tab w:val="right" w:pos="9026" w:leader="dot"/>
            </w:tabs>
            <w:rPr/>
          </w:pPr>
          <w:hyperlink w:anchor="__RefHeading___Toc5369879_1280447820">
            <w:r>
              <w:rPr>
                <w:webHidden/>
                <w:rStyle w:val="IndexLink"/>
                <w:rtl w:val="true"/>
              </w:rPr>
              <w:t>إشارة</w:t>
            </w:r>
            <w:r>
              <w:rPr>
                <w:rStyle w:val="IndexLink"/>
                <w:rtl w:val="true"/>
              </w:rPr>
              <w:tab/>
            </w:r>
            <w:r>
              <w:rPr>
                <w:rStyle w:val="IndexLink"/>
              </w:rPr>
              <w:t>194</w:t>
            </w:r>
          </w:hyperlink>
        </w:p>
        <w:p>
          <w:pPr>
            <w:pStyle w:val="Contents4"/>
            <w:tabs>
              <w:tab w:val="clear" w:pos="8176"/>
              <w:tab w:val="right" w:pos="9026" w:leader="dot"/>
            </w:tabs>
            <w:rPr/>
          </w:pPr>
          <w:hyperlink w:anchor="__RefHeading___Toc5369881_1280447820">
            <w:r>
              <w:rPr>
                <w:webHidden/>
                <w:rStyle w:val="IndexLink"/>
                <w:rtl w:val="true"/>
              </w:rPr>
              <w:t xml:space="preserve">- </w:t>
            </w:r>
            <w:r>
              <w:rPr>
                <w:rStyle w:val="IndexLink"/>
                <w:rtl w:val="true"/>
              </w:rPr>
              <w:t>حقيقة الشخصيّة الإنسانيّة</w:t>
            </w:r>
            <w:r>
              <w:rPr>
                <w:rStyle w:val="IndexLink"/>
                <w:rtl w:val="true"/>
              </w:rPr>
              <w:t>:</w:t>
              <w:tab/>
            </w:r>
            <w:r>
              <w:rPr>
                <w:rStyle w:val="IndexLink"/>
              </w:rPr>
              <w:t>195</w:t>
            </w:r>
          </w:hyperlink>
        </w:p>
        <w:p>
          <w:pPr>
            <w:pStyle w:val="Contents5"/>
            <w:tabs>
              <w:tab w:val="clear" w:pos="7892"/>
              <w:tab w:val="right" w:pos="9026" w:leader="dot"/>
            </w:tabs>
            <w:rPr/>
          </w:pPr>
          <w:hyperlink w:anchor="__RefHeading___Toc5369883_1280447820">
            <w:r>
              <w:rPr>
                <w:webHidden/>
                <w:rStyle w:val="IndexLink"/>
                <w:rtl w:val="true"/>
              </w:rPr>
              <w:t>إشارة</w:t>
            </w:r>
            <w:r>
              <w:rPr>
                <w:rStyle w:val="IndexLink"/>
                <w:rtl w:val="true"/>
              </w:rPr>
              <w:tab/>
            </w:r>
            <w:r>
              <w:rPr>
                <w:rStyle w:val="IndexLink"/>
              </w:rPr>
              <w:t>195</w:t>
            </w:r>
          </w:hyperlink>
        </w:p>
        <w:p>
          <w:pPr>
            <w:pStyle w:val="Contents5"/>
            <w:tabs>
              <w:tab w:val="clear" w:pos="7892"/>
              <w:tab w:val="right" w:pos="9026" w:leader="dot"/>
            </w:tabs>
            <w:rPr/>
          </w:pPr>
          <w:hyperlink w:anchor="__RefHeading___Toc5369885_1280447820">
            <w:r>
              <w:rPr>
                <w:webHidden/>
                <w:rStyle w:val="IndexLink"/>
                <w:rtl w:val="true"/>
              </w:rPr>
              <w:t>النظرية الأولى</w:t>
            </w:r>
            <w:r>
              <w:rPr>
                <w:rStyle w:val="IndexLink"/>
                <w:rtl w:val="true"/>
              </w:rPr>
              <w:t xml:space="preserve">: </w:t>
            </w:r>
            <w:r>
              <w:rPr>
                <w:rStyle w:val="IndexLink"/>
                <w:rtl w:val="true"/>
              </w:rPr>
              <w:t>انعدام شخصية الإنسان</w:t>
            </w:r>
            <w:r>
              <w:rPr>
                <w:rStyle w:val="IndexLink"/>
                <w:rtl w:val="true"/>
              </w:rPr>
              <w:tab/>
            </w:r>
            <w:r>
              <w:rPr>
                <w:rStyle w:val="IndexLink"/>
              </w:rPr>
              <w:t>195</w:t>
            </w:r>
          </w:hyperlink>
        </w:p>
        <w:p>
          <w:pPr>
            <w:pStyle w:val="Contents5"/>
            <w:tabs>
              <w:tab w:val="clear" w:pos="7892"/>
              <w:tab w:val="right" w:pos="9026" w:leader="dot"/>
            </w:tabs>
            <w:rPr/>
          </w:pPr>
          <w:hyperlink w:anchor="__RefHeading___Toc5369887_1280447820">
            <w:r>
              <w:rPr>
                <w:webHidden/>
                <w:rStyle w:val="IndexLink"/>
                <w:rtl w:val="true"/>
              </w:rPr>
              <w:t>النظرية الثانية</w:t>
            </w:r>
            <w:r>
              <w:rPr>
                <w:rStyle w:val="IndexLink"/>
                <w:rtl w:val="true"/>
              </w:rPr>
              <w:t xml:space="preserve">: </w:t>
            </w:r>
            <w:r>
              <w:rPr>
                <w:rStyle w:val="IndexLink"/>
                <w:rtl w:val="true"/>
              </w:rPr>
              <w:t xml:space="preserve">البدن هو شخصيّة الإنسان </w:t>
            </w:r>
            <w:r>
              <w:rPr>
                <w:rStyle w:val="IndexLink"/>
                <w:rtl w:val="true"/>
              </w:rPr>
              <w:t>:</w:t>
              <w:tab/>
            </w:r>
            <w:r>
              <w:rPr>
                <w:rStyle w:val="IndexLink"/>
              </w:rPr>
              <w:t>196</w:t>
            </w:r>
          </w:hyperlink>
        </w:p>
        <w:p>
          <w:pPr>
            <w:pStyle w:val="Contents5"/>
            <w:tabs>
              <w:tab w:val="clear" w:pos="7892"/>
              <w:tab w:val="right" w:pos="9026" w:leader="dot"/>
            </w:tabs>
            <w:rPr/>
          </w:pPr>
          <w:hyperlink w:anchor="__RefHeading___Toc5369889_1280447820">
            <w:r>
              <w:rPr>
                <w:webHidden/>
                <w:rStyle w:val="IndexLink"/>
                <w:rtl w:val="true"/>
              </w:rPr>
              <w:t xml:space="preserve">النظرية الثالثة </w:t>
            </w:r>
            <w:r>
              <w:rPr>
                <w:rStyle w:val="IndexLink"/>
                <w:rtl w:val="true"/>
              </w:rPr>
              <w:t xml:space="preserve">: </w:t>
            </w:r>
            <w:r>
              <w:rPr>
                <w:rStyle w:val="IndexLink"/>
                <w:rtl w:val="true"/>
              </w:rPr>
              <w:t xml:space="preserve">الذهن هو شخصية الإنسان </w:t>
            </w:r>
            <w:r>
              <w:rPr>
                <w:rStyle w:val="IndexLink"/>
                <w:rtl w:val="true"/>
              </w:rPr>
              <w:t>:</w:t>
              <w:tab/>
            </w:r>
            <w:r>
              <w:rPr>
                <w:rStyle w:val="IndexLink"/>
              </w:rPr>
              <w:t>197</w:t>
            </w:r>
          </w:hyperlink>
        </w:p>
        <w:p>
          <w:pPr>
            <w:pStyle w:val="Contents5"/>
            <w:tabs>
              <w:tab w:val="clear" w:pos="7892"/>
              <w:tab w:val="right" w:pos="9026" w:leader="dot"/>
            </w:tabs>
            <w:rPr/>
          </w:pPr>
          <w:hyperlink w:anchor="__RefHeading___Toc5369891_1280447820">
            <w:r>
              <w:rPr>
                <w:webHidden/>
                <w:rStyle w:val="IndexLink"/>
                <w:rtl w:val="true"/>
              </w:rPr>
              <w:t xml:space="preserve">النظرية الرابعة </w:t>
            </w:r>
            <w:r>
              <w:rPr>
                <w:rStyle w:val="IndexLink"/>
                <w:rtl w:val="true"/>
              </w:rPr>
              <w:t xml:space="preserve">: </w:t>
            </w:r>
            <w:r>
              <w:rPr>
                <w:rStyle w:val="IndexLink"/>
                <w:rtl w:val="true"/>
              </w:rPr>
              <w:t xml:space="preserve">النفس هي شخصية الإنسان </w:t>
            </w:r>
            <w:r>
              <w:rPr>
                <w:rStyle w:val="IndexLink"/>
                <w:rtl w:val="true"/>
              </w:rPr>
              <w:t>:</w:t>
              <w:tab/>
            </w:r>
            <w:r>
              <w:rPr>
                <w:rStyle w:val="IndexLink"/>
              </w:rPr>
              <w:t>198</w:t>
            </w:r>
          </w:hyperlink>
        </w:p>
        <w:p>
          <w:pPr>
            <w:pStyle w:val="Contents4"/>
            <w:tabs>
              <w:tab w:val="clear" w:pos="8176"/>
              <w:tab w:val="right" w:pos="9026" w:leader="dot"/>
            </w:tabs>
            <w:rPr/>
          </w:pPr>
          <w:hyperlink w:anchor="__RefHeading___Toc5369893_1280447820">
            <w:r>
              <w:rPr>
                <w:webHidden/>
                <w:rStyle w:val="IndexLink"/>
                <w:rtl w:val="true"/>
              </w:rPr>
              <w:t xml:space="preserve">تأثير الاعتقاد بالمعاد على الحياة </w:t>
            </w:r>
            <w:r>
              <w:rPr>
                <w:rStyle w:val="IndexLink"/>
                <w:rtl w:val="true"/>
              </w:rPr>
              <w:t>:</w:t>
              <w:tab/>
            </w:r>
            <w:r>
              <w:rPr>
                <w:rStyle w:val="IndexLink"/>
              </w:rPr>
              <w:t>199</w:t>
            </w:r>
          </w:hyperlink>
        </w:p>
        <w:p>
          <w:pPr>
            <w:pStyle w:val="Contents4"/>
            <w:tabs>
              <w:tab w:val="clear" w:pos="8176"/>
              <w:tab w:val="right" w:pos="9026" w:leader="dot"/>
            </w:tabs>
            <w:rPr/>
          </w:pPr>
          <w:hyperlink w:anchor="__RefHeading___Toc5369895_1280447820">
            <w:r>
              <w:rPr>
                <w:webHidden/>
                <w:rStyle w:val="IndexLink"/>
                <w:rtl w:val="true"/>
              </w:rPr>
              <w:t>-</w:t>
            </w:r>
            <w:r>
              <w:rPr>
                <w:rStyle w:val="IndexLink"/>
                <w:rtl w:val="true"/>
              </w:rPr>
              <w:t xml:space="preserve">آثار الاعتقاد بالمعاد من زاويةٍ قرآنيةٍ </w:t>
            </w:r>
            <w:r>
              <w:rPr>
                <w:rStyle w:val="IndexLink"/>
                <w:rtl w:val="true"/>
              </w:rPr>
              <w:t>:</w:t>
              <w:tab/>
            </w:r>
            <w:r>
              <w:rPr>
                <w:rStyle w:val="IndexLink"/>
              </w:rPr>
              <w:t>200</w:t>
            </w:r>
          </w:hyperlink>
        </w:p>
        <w:p>
          <w:pPr>
            <w:pStyle w:val="Contents4"/>
            <w:tabs>
              <w:tab w:val="clear" w:pos="8176"/>
              <w:tab w:val="right" w:pos="9026" w:leader="dot"/>
            </w:tabs>
            <w:rPr/>
          </w:pPr>
          <w:hyperlink w:anchor="__RefHeading___Toc5369897_1280447820">
            <w:r>
              <w:rPr>
                <w:webHidden/>
                <w:rStyle w:val="IndexLink"/>
                <w:rtl w:val="true"/>
              </w:rPr>
              <w:t xml:space="preserve">- </w:t>
            </w:r>
            <w:r>
              <w:rPr>
                <w:rStyle w:val="IndexLink"/>
                <w:rtl w:val="true"/>
              </w:rPr>
              <w:t xml:space="preserve">ماهية الحياة بعد الموت </w:t>
            </w:r>
            <w:r>
              <w:rPr>
                <w:rStyle w:val="IndexLink"/>
                <w:rtl w:val="true"/>
              </w:rPr>
              <w:t>:</w:t>
              <w:tab/>
            </w:r>
            <w:r>
              <w:rPr>
                <w:rStyle w:val="IndexLink"/>
              </w:rPr>
              <w:t>201</w:t>
            </w:r>
          </w:hyperlink>
        </w:p>
        <w:p>
          <w:pPr>
            <w:pStyle w:val="Contents4"/>
            <w:tabs>
              <w:tab w:val="clear" w:pos="8176"/>
              <w:tab w:val="right" w:pos="9026" w:leader="dot"/>
            </w:tabs>
            <w:rPr/>
          </w:pPr>
          <w:hyperlink w:anchor="__RefHeading___Toc5369899_1280447820">
            <w:r>
              <w:rPr>
                <w:webHidden/>
                <w:rStyle w:val="IndexLink"/>
                <w:rtl w:val="true"/>
              </w:rPr>
              <w:t>-</w:t>
            </w:r>
            <w:r>
              <w:rPr>
                <w:rStyle w:val="IndexLink"/>
                <w:rtl w:val="true"/>
              </w:rPr>
              <w:t>المعاد الروحاني</w:t>
            </w:r>
            <w:r>
              <w:rPr>
                <w:rStyle w:val="IndexLink"/>
                <w:rtl w:val="true"/>
              </w:rPr>
              <w:t>:</w:t>
              <w:tab/>
            </w:r>
            <w:r>
              <w:rPr>
                <w:rStyle w:val="IndexLink"/>
              </w:rPr>
              <w:t>202</w:t>
            </w:r>
          </w:hyperlink>
        </w:p>
        <w:p>
          <w:pPr>
            <w:pStyle w:val="Contents4"/>
            <w:tabs>
              <w:tab w:val="clear" w:pos="8176"/>
              <w:tab w:val="right" w:pos="9026" w:leader="dot"/>
            </w:tabs>
            <w:rPr/>
          </w:pPr>
          <w:hyperlink w:anchor="__RefHeading___Toc5369901_1280447820">
            <w:r>
              <w:rPr>
                <w:webHidden/>
                <w:rStyle w:val="IndexLink"/>
                <w:rtl w:val="true"/>
              </w:rPr>
              <w:t xml:space="preserve">- </w:t>
            </w:r>
            <w:r>
              <w:rPr>
                <w:rStyle w:val="IndexLink"/>
                <w:rtl w:val="true"/>
              </w:rPr>
              <w:t xml:space="preserve">المعاد الجسماني </w:t>
            </w:r>
            <w:r>
              <w:rPr>
                <w:rStyle w:val="IndexLink"/>
                <w:rtl w:val="true"/>
              </w:rPr>
              <w:t>:</w:t>
              <w:tab/>
            </w:r>
            <w:r>
              <w:rPr>
                <w:rStyle w:val="IndexLink"/>
              </w:rPr>
              <w:t>203</w:t>
            </w:r>
          </w:hyperlink>
        </w:p>
        <w:p>
          <w:pPr>
            <w:pStyle w:val="Contents4"/>
            <w:tabs>
              <w:tab w:val="clear" w:pos="8176"/>
              <w:tab w:val="right" w:pos="9026" w:leader="dot"/>
            </w:tabs>
            <w:rPr/>
          </w:pPr>
          <w:hyperlink w:anchor="__RefHeading___Toc5369903_1280447820">
            <w:r>
              <w:rPr>
                <w:webHidden/>
                <w:rStyle w:val="IndexLink"/>
                <w:rtl w:val="true"/>
              </w:rPr>
              <w:t>-</w:t>
            </w:r>
            <w:r>
              <w:rPr>
                <w:rStyle w:val="IndexLink"/>
                <w:rtl w:val="true"/>
              </w:rPr>
              <w:t xml:space="preserve">نظريات المعاد الجسماني </w:t>
            </w:r>
            <w:r>
              <w:rPr>
                <w:rStyle w:val="IndexLink"/>
                <w:rtl w:val="true"/>
              </w:rPr>
              <w:t>:</w:t>
              <w:tab/>
            </w:r>
            <w:r>
              <w:rPr>
                <w:rStyle w:val="IndexLink"/>
              </w:rPr>
              <w:t>205</w:t>
            </w:r>
          </w:hyperlink>
        </w:p>
        <w:p>
          <w:pPr>
            <w:pStyle w:val="Contents5"/>
            <w:tabs>
              <w:tab w:val="clear" w:pos="7892"/>
              <w:tab w:val="right" w:pos="9026" w:leader="dot"/>
            </w:tabs>
            <w:rPr/>
          </w:pPr>
          <w:hyperlink w:anchor="__RefHeading___Toc5369905_1280447820">
            <w:r>
              <w:rPr>
                <w:webHidden/>
                <w:rStyle w:val="IndexLink"/>
                <w:rtl w:val="true"/>
              </w:rPr>
              <w:t>إشارة</w:t>
            </w:r>
            <w:r>
              <w:rPr>
                <w:rStyle w:val="IndexLink"/>
                <w:rtl w:val="true"/>
              </w:rPr>
              <w:tab/>
            </w:r>
            <w:r>
              <w:rPr>
                <w:rStyle w:val="IndexLink"/>
              </w:rPr>
              <w:t>205</w:t>
            </w:r>
          </w:hyperlink>
        </w:p>
        <w:p>
          <w:pPr>
            <w:pStyle w:val="Contents5"/>
            <w:tabs>
              <w:tab w:val="clear" w:pos="7892"/>
              <w:tab w:val="right" w:pos="9026" w:leader="dot"/>
            </w:tabs>
            <w:rPr/>
          </w:pPr>
          <w:hyperlink w:anchor="__RefHeading___Toc5369907_1280447820">
            <w:r>
              <w:rPr>
                <w:webHidden/>
                <w:rStyle w:val="IndexLink"/>
              </w:rPr>
              <w:t>1</w:t>
            </w:r>
            <w:r>
              <w:rPr>
                <w:rStyle w:val="IndexLink"/>
                <w:rtl w:val="true"/>
              </w:rPr>
              <w:t xml:space="preserve">) </w:t>
            </w:r>
            <w:r>
              <w:rPr>
                <w:rStyle w:val="IndexLink"/>
                <w:rtl w:val="true"/>
              </w:rPr>
              <w:t xml:space="preserve">نظرية إعادة المعدوم </w:t>
            </w:r>
            <w:r>
              <w:rPr>
                <w:rStyle w:val="IndexLink"/>
                <w:rtl w:val="true"/>
              </w:rPr>
              <w:t>:</w:t>
              <w:tab/>
            </w:r>
            <w:r>
              <w:rPr>
                <w:rStyle w:val="IndexLink"/>
              </w:rPr>
              <w:t>205</w:t>
            </w:r>
          </w:hyperlink>
        </w:p>
        <w:p>
          <w:pPr>
            <w:pStyle w:val="Contents5"/>
            <w:tabs>
              <w:tab w:val="clear" w:pos="7892"/>
              <w:tab w:val="right" w:pos="9026" w:leader="dot"/>
            </w:tabs>
            <w:rPr/>
          </w:pPr>
          <w:hyperlink w:anchor="__RefHeading___Toc5369909_1280447820">
            <w:r>
              <w:rPr>
                <w:webHidden/>
                <w:rStyle w:val="IndexLink"/>
              </w:rPr>
              <w:t>2</w:t>
            </w:r>
            <w:r>
              <w:rPr>
                <w:rStyle w:val="IndexLink"/>
                <w:rtl w:val="true"/>
              </w:rPr>
              <w:t>)</w:t>
            </w:r>
            <w:r>
              <w:rPr>
                <w:rStyle w:val="IndexLink"/>
                <w:rtl w:val="true"/>
              </w:rPr>
              <w:t>نظرية النسخة البديلة</w:t>
            </w:r>
            <w:r>
              <w:rPr>
                <w:rStyle w:val="IndexLink"/>
                <w:rtl w:val="true"/>
              </w:rPr>
              <w:t>.</w:t>
              <w:tab/>
            </w:r>
            <w:r>
              <w:rPr>
                <w:rStyle w:val="IndexLink"/>
              </w:rPr>
              <w:t>206</w:t>
            </w:r>
          </w:hyperlink>
        </w:p>
        <w:p>
          <w:pPr>
            <w:pStyle w:val="Contents5"/>
            <w:tabs>
              <w:tab w:val="clear" w:pos="7892"/>
              <w:tab w:val="right" w:pos="9026" w:leader="dot"/>
            </w:tabs>
            <w:rPr/>
          </w:pPr>
          <w:hyperlink w:anchor="__RefHeading___Toc5369911_1280447820">
            <w:r>
              <w:rPr>
                <w:webHidden/>
                <w:rStyle w:val="IndexLink"/>
              </w:rPr>
              <w:t>3</w:t>
            </w:r>
            <w:r>
              <w:rPr>
                <w:rStyle w:val="IndexLink"/>
                <w:rtl w:val="true"/>
              </w:rPr>
              <w:t xml:space="preserve">) </w:t>
            </w:r>
            <w:r>
              <w:rPr>
                <w:rStyle w:val="IndexLink"/>
                <w:rtl w:val="true"/>
              </w:rPr>
              <w:t xml:space="preserve">نظرية الجسم المثالي </w:t>
            </w:r>
            <w:r>
              <w:rPr>
                <w:rStyle w:val="IndexLink"/>
                <w:rtl w:val="true"/>
              </w:rPr>
              <w:t>:</w:t>
              <w:tab/>
            </w:r>
            <w:r>
              <w:rPr>
                <w:rStyle w:val="IndexLink"/>
              </w:rPr>
              <w:t>207</w:t>
            </w:r>
          </w:hyperlink>
        </w:p>
        <w:p>
          <w:pPr>
            <w:pStyle w:val="Contents4"/>
            <w:tabs>
              <w:tab w:val="clear" w:pos="8176"/>
              <w:tab w:val="right" w:pos="9026" w:leader="dot"/>
            </w:tabs>
            <w:rPr/>
          </w:pPr>
          <w:hyperlink w:anchor="__RefHeading___Toc5369913_1280447820">
            <w:r>
              <w:rPr>
                <w:webHidden/>
                <w:rStyle w:val="IndexLink"/>
                <w:rtl w:val="true"/>
              </w:rPr>
              <w:t xml:space="preserve">براهين إثبات المعاد </w:t>
            </w:r>
            <w:r>
              <w:rPr>
                <w:rStyle w:val="IndexLink"/>
                <w:rtl w:val="true"/>
              </w:rPr>
              <w:t>:</w:t>
              <w:tab/>
            </w:r>
            <w:r>
              <w:rPr>
                <w:rStyle w:val="IndexLink"/>
              </w:rPr>
              <w:t>209</w:t>
            </w:r>
          </w:hyperlink>
        </w:p>
        <w:p>
          <w:pPr>
            <w:pStyle w:val="Contents4"/>
            <w:tabs>
              <w:tab w:val="clear" w:pos="8176"/>
              <w:tab w:val="right" w:pos="9026" w:leader="dot"/>
            </w:tabs>
            <w:rPr/>
          </w:pPr>
          <w:hyperlink w:anchor="__RefHeading___Toc5369915_1280447820">
            <w:r>
              <w:rPr>
                <w:webHidden/>
                <w:rStyle w:val="IndexLink"/>
                <w:rtl w:val="true"/>
              </w:rPr>
              <w:t>المعاد فی القرآن الکریم</w:t>
            </w:r>
            <w:r>
              <w:rPr>
                <w:rStyle w:val="IndexLink"/>
                <w:rtl w:val="true"/>
              </w:rPr>
              <w:t>:</w:t>
              <w:tab/>
            </w:r>
            <w:r>
              <w:rPr>
                <w:rStyle w:val="IndexLink"/>
              </w:rPr>
              <w:t>210</w:t>
            </w:r>
          </w:hyperlink>
        </w:p>
        <w:p>
          <w:pPr>
            <w:pStyle w:val="Contents5"/>
            <w:tabs>
              <w:tab w:val="clear" w:pos="7892"/>
              <w:tab w:val="right" w:pos="9026" w:leader="dot"/>
            </w:tabs>
            <w:rPr/>
          </w:pPr>
          <w:hyperlink w:anchor="__RefHeading___Toc5369917_1280447820">
            <w:r>
              <w:rPr>
                <w:webHidden/>
                <w:rStyle w:val="IndexLink"/>
                <w:rtl w:val="true"/>
              </w:rPr>
              <w:t>إشارة</w:t>
            </w:r>
            <w:r>
              <w:rPr>
                <w:rStyle w:val="IndexLink"/>
                <w:rtl w:val="true"/>
              </w:rPr>
              <w:tab/>
            </w:r>
            <w:r>
              <w:rPr>
                <w:rStyle w:val="IndexLink"/>
              </w:rPr>
              <w:t>210</w:t>
            </w:r>
          </w:hyperlink>
        </w:p>
        <w:p>
          <w:pPr>
            <w:pStyle w:val="Contents5"/>
            <w:tabs>
              <w:tab w:val="clear" w:pos="7892"/>
              <w:tab w:val="right" w:pos="9026" w:leader="dot"/>
            </w:tabs>
            <w:rPr/>
          </w:pPr>
          <w:hyperlink w:anchor="__RefHeading___Toc5369919_1280447820">
            <w:r>
              <w:rPr>
                <w:webHidden/>
                <w:rStyle w:val="IndexLink"/>
              </w:rPr>
              <w:t>1</w:t>
            </w:r>
            <w:r>
              <w:rPr>
                <w:rStyle w:val="IndexLink"/>
                <w:rtl w:val="true"/>
              </w:rPr>
              <w:t xml:space="preserve">) </w:t>
            </w:r>
            <w:r>
              <w:rPr>
                <w:rStyle w:val="IndexLink"/>
                <w:rtl w:val="true"/>
              </w:rPr>
              <w:t xml:space="preserve">ألفاظ المعاد في القرآن الكريم </w:t>
            </w:r>
            <w:r>
              <w:rPr>
                <w:rStyle w:val="IndexLink"/>
                <w:rtl w:val="true"/>
              </w:rPr>
              <w:t>:</w:t>
              <w:tab/>
            </w:r>
            <w:r>
              <w:rPr>
                <w:rStyle w:val="IndexLink"/>
              </w:rPr>
              <w:t>210</w:t>
            </w:r>
          </w:hyperlink>
        </w:p>
        <w:p>
          <w:pPr>
            <w:pStyle w:val="Contents5"/>
            <w:tabs>
              <w:tab w:val="clear" w:pos="7892"/>
              <w:tab w:val="right" w:pos="9026" w:leader="dot"/>
            </w:tabs>
            <w:rPr/>
          </w:pPr>
          <w:hyperlink w:anchor="__RefHeading___Toc5369921_1280447820">
            <w:r>
              <w:rPr>
                <w:webHidden/>
                <w:rStyle w:val="IndexLink"/>
              </w:rPr>
              <w:t>2</w:t>
            </w:r>
            <w:r>
              <w:rPr>
                <w:rStyle w:val="IndexLink"/>
                <w:rtl w:val="true"/>
              </w:rPr>
              <w:t xml:space="preserve">) </w:t>
            </w:r>
            <w:r>
              <w:rPr>
                <w:rStyle w:val="IndexLink"/>
                <w:rtl w:val="true"/>
              </w:rPr>
              <w:t xml:space="preserve">القدرة الإلهيّة المطلقة </w:t>
            </w:r>
            <w:r>
              <w:rPr>
                <w:rStyle w:val="IndexLink"/>
                <w:rtl w:val="true"/>
              </w:rPr>
              <w:t>:</w:t>
              <w:tab/>
            </w:r>
            <w:r>
              <w:rPr>
                <w:rStyle w:val="IndexLink"/>
              </w:rPr>
              <w:t>211</w:t>
            </w:r>
          </w:hyperlink>
        </w:p>
        <w:p>
          <w:pPr>
            <w:pStyle w:val="Contents5"/>
            <w:tabs>
              <w:tab w:val="clear" w:pos="7892"/>
              <w:tab w:val="right" w:pos="9026" w:leader="dot"/>
            </w:tabs>
            <w:rPr/>
          </w:pPr>
          <w:hyperlink w:anchor="__RefHeading___Toc5369923_1280447820">
            <w:r>
              <w:rPr>
                <w:webHidden/>
                <w:rStyle w:val="IndexLink"/>
              </w:rPr>
              <w:t>3</w:t>
            </w:r>
            <w:r>
              <w:rPr>
                <w:rStyle w:val="IndexLink"/>
                <w:rtl w:val="true"/>
              </w:rPr>
              <w:t>)</w:t>
            </w:r>
            <w:r>
              <w:rPr>
                <w:rStyle w:val="IndexLink"/>
                <w:rtl w:val="true"/>
              </w:rPr>
              <w:t>العلم الإلهيّ بالخلقة الأولى</w:t>
            </w:r>
            <w:r>
              <w:rPr>
                <w:rStyle w:val="IndexLink"/>
                <w:rtl w:val="true"/>
              </w:rPr>
              <w:t>:</w:t>
              <w:tab/>
            </w:r>
            <w:r>
              <w:rPr>
                <w:rStyle w:val="IndexLink"/>
              </w:rPr>
              <w:t>212</w:t>
            </w:r>
          </w:hyperlink>
        </w:p>
        <w:p>
          <w:pPr>
            <w:pStyle w:val="Contents5"/>
            <w:tabs>
              <w:tab w:val="clear" w:pos="7892"/>
              <w:tab w:val="right" w:pos="9026" w:leader="dot"/>
            </w:tabs>
            <w:rPr/>
          </w:pPr>
          <w:hyperlink w:anchor="__RefHeading___Toc5369925_1280447820">
            <w:r>
              <w:rPr>
                <w:webHidden/>
                <w:rStyle w:val="IndexLink"/>
              </w:rPr>
              <w:t>4</w:t>
            </w:r>
            <w:r>
              <w:rPr>
                <w:rStyle w:val="IndexLink"/>
                <w:rtl w:val="true"/>
              </w:rPr>
              <w:t>)</w:t>
            </w:r>
            <w:r>
              <w:rPr>
                <w:rStyle w:val="IndexLink"/>
                <w:rtl w:val="true"/>
              </w:rPr>
              <w:t xml:space="preserve">خلقة الإنسان </w:t>
            </w:r>
            <w:r>
              <w:rPr>
                <w:rStyle w:val="IndexLink"/>
                <w:rtl w:val="true"/>
              </w:rPr>
              <w:t>:</w:t>
              <w:tab/>
            </w:r>
            <w:r>
              <w:rPr>
                <w:rStyle w:val="IndexLink"/>
              </w:rPr>
              <w:t>212</w:t>
            </w:r>
          </w:hyperlink>
        </w:p>
        <w:p>
          <w:pPr>
            <w:pStyle w:val="Contents5"/>
            <w:tabs>
              <w:tab w:val="clear" w:pos="7892"/>
              <w:tab w:val="right" w:pos="9026" w:leader="dot"/>
            </w:tabs>
            <w:rPr/>
          </w:pPr>
          <w:hyperlink w:anchor="__RefHeading___Toc5369927_1280447820">
            <w:r>
              <w:rPr>
                <w:webHidden/>
                <w:rStyle w:val="IndexLink"/>
              </w:rPr>
              <w:t>5</w:t>
            </w:r>
            <w:r>
              <w:rPr>
                <w:rStyle w:val="IndexLink"/>
                <w:rtl w:val="true"/>
              </w:rPr>
              <w:t>)</w:t>
            </w:r>
            <w:r>
              <w:rPr>
                <w:rStyle w:val="IndexLink"/>
                <w:rtl w:val="true"/>
              </w:rPr>
              <w:t xml:space="preserve">الشواهد التأريخية </w:t>
            </w:r>
            <w:r>
              <w:rPr>
                <w:rStyle w:val="IndexLink"/>
                <w:rtl w:val="true"/>
              </w:rPr>
              <w:t>:</w:t>
              <w:tab/>
            </w:r>
            <w:r>
              <w:rPr>
                <w:rStyle w:val="IndexLink"/>
              </w:rPr>
              <w:t>213</w:t>
            </w:r>
          </w:hyperlink>
        </w:p>
        <w:p>
          <w:pPr>
            <w:pStyle w:val="Contents6"/>
            <w:tabs>
              <w:tab w:val="clear" w:pos="7609"/>
              <w:tab w:val="right" w:pos="9026" w:leader="dot"/>
            </w:tabs>
            <w:rPr/>
          </w:pPr>
          <w:hyperlink w:anchor="__RefHeading___Toc5369929_1280447820">
            <w:r>
              <w:rPr>
                <w:webHidden/>
                <w:rStyle w:val="IndexLink"/>
                <w:rtl w:val="true"/>
              </w:rPr>
              <w:t>إشارة</w:t>
            </w:r>
            <w:r>
              <w:rPr>
                <w:rStyle w:val="IndexLink"/>
                <w:rtl w:val="true"/>
              </w:rPr>
              <w:tab/>
            </w:r>
            <w:r>
              <w:rPr>
                <w:rStyle w:val="IndexLink"/>
              </w:rPr>
              <w:t>213</w:t>
            </w:r>
          </w:hyperlink>
        </w:p>
        <w:p>
          <w:pPr>
            <w:pStyle w:val="Contents6"/>
            <w:tabs>
              <w:tab w:val="clear" w:pos="7609"/>
              <w:tab w:val="right" w:pos="9026" w:leader="dot"/>
            </w:tabs>
            <w:rPr/>
          </w:pPr>
          <w:hyperlink w:anchor="__RefHeading___Toc5369931_1280447820">
            <w:r>
              <w:rPr>
                <w:webHidden/>
                <w:rStyle w:val="IndexLink"/>
                <w:rtl w:val="true"/>
              </w:rPr>
              <w:t xml:space="preserve">أ </w:t>
            </w:r>
            <w:r>
              <w:rPr>
                <w:rStyle w:val="IndexLink"/>
                <w:rtl w:val="true"/>
              </w:rPr>
              <w:t xml:space="preserve">- </w:t>
            </w:r>
            <w:r>
              <w:rPr>
                <w:rStyle w:val="IndexLink"/>
                <w:rtl w:val="true"/>
              </w:rPr>
              <w:t xml:space="preserve">عُزير </w:t>
            </w:r>
            <w:r>
              <w:rPr>
                <w:rStyle w:val="IndexLink"/>
                <w:rtl w:val="true"/>
              </w:rPr>
              <w:t>(</w:t>
            </w:r>
            <w:r>
              <w:rPr>
                <w:rStyle w:val="IndexLink"/>
                <w:rtl w:val="true"/>
              </w:rPr>
              <w:t>علیه السلام</w:t>
            </w:r>
            <w:r>
              <w:rPr>
                <w:rStyle w:val="IndexLink"/>
                <w:rtl w:val="true"/>
              </w:rPr>
              <w:t>) :</w:t>
              <w:tab/>
            </w:r>
            <w:r>
              <w:rPr>
                <w:rStyle w:val="IndexLink"/>
              </w:rPr>
              <w:t>213</w:t>
            </w:r>
          </w:hyperlink>
        </w:p>
        <w:p>
          <w:pPr>
            <w:pStyle w:val="Contents6"/>
            <w:tabs>
              <w:tab w:val="clear" w:pos="7609"/>
              <w:tab w:val="right" w:pos="9026" w:leader="dot"/>
            </w:tabs>
            <w:rPr/>
          </w:pPr>
          <w:hyperlink w:anchor="__RefHeading___Toc5369933_1280447820">
            <w:r>
              <w:rPr>
                <w:webHidden/>
                <w:rStyle w:val="IndexLink"/>
                <w:rtl w:val="true"/>
              </w:rPr>
              <w:t xml:space="preserve">ب </w:t>
            </w:r>
            <w:r>
              <w:rPr>
                <w:rStyle w:val="IndexLink"/>
                <w:rtl w:val="true"/>
              </w:rPr>
              <w:t xml:space="preserve">- </w:t>
            </w:r>
            <w:r>
              <w:rPr>
                <w:rStyle w:val="IndexLink"/>
                <w:rtl w:val="true"/>
              </w:rPr>
              <w:t xml:space="preserve">إبراهيم الخليل </w:t>
            </w:r>
            <w:r>
              <w:rPr>
                <w:rStyle w:val="IndexLink"/>
                <w:rtl w:val="true"/>
              </w:rPr>
              <w:t>(</w:t>
            </w:r>
            <w:r>
              <w:rPr>
                <w:rStyle w:val="IndexLink"/>
                <w:rtl w:val="true"/>
              </w:rPr>
              <w:t>علیه السلام</w:t>
            </w:r>
            <w:r>
              <w:rPr>
                <w:rStyle w:val="IndexLink"/>
                <w:rtl w:val="true"/>
              </w:rPr>
              <w:t>) :</w:t>
              <w:tab/>
            </w:r>
            <w:r>
              <w:rPr>
                <w:rStyle w:val="IndexLink"/>
              </w:rPr>
              <w:t>214</w:t>
            </w:r>
          </w:hyperlink>
        </w:p>
        <w:p>
          <w:pPr>
            <w:pStyle w:val="Contents6"/>
            <w:tabs>
              <w:tab w:val="clear" w:pos="7609"/>
              <w:tab w:val="right" w:pos="9026" w:leader="dot"/>
            </w:tabs>
            <w:rPr/>
          </w:pPr>
          <w:hyperlink w:anchor="__RefHeading___Toc5369935_1280447820">
            <w:r>
              <w:rPr>
                <w:webHidden/>
                <w:rStyle w:val="IndexLink"/>
                <w:rtl w:val="true"/>
              </w:rPr>
              <w:t xml:space="preserve">ج </w:t>
            </w:r>
            <w:r>
              <w:rPr>
                <w:rStyle w:val="IndexLink"/>
                <w:rtl w:val="true"/>
              </w:rPr>
              <w:t xml:space="preserve">- </w:t>
            </w:r>
            <w:r>
              <w:rPr>
                <w:rStyle w:val="IndexLink"/>
                <w:rtl w:val="true"/>
              </w:rPr>
              <w:t xml:space="preserve">الفتية أصحاب الكهف </w:t>
            </w:r>
            <w:r>
              <w:rPr>
                <w:rStyle w:val="IndexLink"/>
                <w:rtl w:val="true"/>
              </w:rPr>
              <w:t>:</w:t>
              <w:tab/>
            </w:r>
            <w:r>
              <w:rPr>
                <w:rStyle w:val="IndexLink"/>
              </w:rPr>
              <w:t>214</w:t>
            </w:r>
          </w:hyperlink>
        </w:p>
        <w:p>
          <w:pPr>
            <w:pStyle w:val="Contents6"/>
            <w:tabs>
              <w:tab w:val="clear" w:pos="7609"/>
              <w:tab w:val="right" w:pos="9026" w:leader="dot"/>
            </w:tabs>
            <w:rPr/>
          </w:pPr>
          <w:hyperlink w:anchor="__RefHeading___Toc5369937_1280447820">
            <w:r>
              <w:rPr>
                <w:webHidden/>
                <w:rStyle w:val="IndexLink"/>
                <w:rtl w:val="true"/>
              </w:rPr>
              <w:t xml:space="preserve">د </w:t>
            </w:r>
            <w:r>
              <w:rPr>
                <w:rStyle w:val="IndexLink"/>
                <w:rtl w:val="true"/>
              </w:rPr>
              <w:t xml:space="preserve">- </w:t>
            </w:r>
            <w:r>
              <w:rPr>
                <w:rStyle w:val="IndexLink"/>
                <w:rtl w:val="true"/>
              </w:rPr>
              <w:t xml:space="preserve">قتيل بني إسرائيل </w:t>
            </w:r>
            <w:r>
              <w:rPr>
                <w:rStyle w:val="IndexLink"/>
                <w:rtl w:val="true"/>
              </w:rPr>
              <w:t>:</w:t>
              <w:tab/>
            </w:r>
            <w:r>
              <w:rPr>
                <w:rStyle w:val="IndexLink"/>
              </w:rPr>
              <w:t>215</w:t>
            </w:r>
          </w:hyperlink>
        </w:p>
        <w:p>
          <w:pPr>
            <w:pStyle w:val="Contents4"/>
            <w:tabs>
              <w:tab w:val="clear" w:pos="8176"/>
              <w:tab w:val="right" w:pos="9026" w:leader="dot"/>
            </w:tabs>
            <w:rPr/>
          </w:pPr>
          <w:hyperlink w:anchor="__RefHeading___Toc5369939_1280447820">
            <w:r>
              <w:rPr>
                <w:webHidden/>
                <w:rStyle w:val="IndexLink"/>
                <w:rtl w:val="true"/>
              </w:rPr>
              <w:t>-</w:t>
            </w:r>
            <w:r>
              <w:rPr>
                <w:rStyle w:val="IndexLink"/>
                <w:rtl w:val="true"/>
              </w:rPr>
              <w:t xml:space="preserve">البراهين التجريبية على إمكانية المعاد </w:t>
            </w:r>
            <w:r>
              <w:rPr>
                <w:rStyle w:val="IndexLink"/>
                <w:rtl w:val="true"/>
              </w:rPr>
              <w:t>:</w:t>
              <w:tab/>
            </w:r>
            <w:r>
              <w:rPr>
                <w:rStyle w:val="IndexLink"/>
              </w:rPr>
              <w:t>215</w:t>
            </w:r>
          </w:hyperlink>
        </w:p>
        <w:p>
          <w:pPr>
            <w:pStyle w:val="Contents5"/>
            <w:tabs>
              <w:tab w:val="clear" w:pos="7892"/>
              <w:tab w:val="right" w:pos="9026" w:leader="dot"/>
            </w:tabs>
            <w:rPr/>
          </w:pPr>
          <w:hyperlink w:anchor="__RefHeading___Toc5369941_1280447820">
            <w:r>
              <w:rPr>
                <w:webHidden/>
                <w:rStyle w:val="IndexLink"/>
                <w:rtl w:val="true"/>
              </w:rPr>
              <w:t>إشارة</w:t>
            </w:r>
            <w:r>
              <w:rPr>
                <w:rStyle w:val="IndexLink"/>
                <w:rtl w:val="true"/>
              </w:rPr>
              <w:tab/>
            </w:r>
            <w:r>
              <w:rPr>
                <w:rStyle w:val="IndexLink"/>
              </w:rPr>
              <w:t>215</w:t>
            </w:r>
          </w:hyperlink>
        </w:p>
        <w:p>
          <w:pPr>
            <w:pStyle w:val="Contents5"/>
            <w:tabs>
              <w:tab w:val="clear" w:pos="7892"/>
              <w:tab w:val="right" w:pos="9026" w:leader="dot"/>
            </w:tabs>
            <w:rPr/>
          </w:pPr>
          <w:hyperlink w:anchor="__RefHeading___Toc5369943_1280447820">
            <w:r>
              <w:rPr>
                <w:webHidden/>
                <w:rStyle w:val="IndexLink"/>
              </w:rPr>
              <w:t>1</w:t>
            </w:r>
            <w:r>
              <w:rPr>
                <w:rStyle w:val="IndexLink"/>
                <w:rtl w:val="true"/>
              </w:rPr>
              <w:t xml:space="preserve">) </w:t>
            </w:r>
            <w:r>
              <w:rPr>
                <w:rStyle w:val="IndexLink"/>
                <w:rtl w:val="true"/>
              </w:rPr>
              <w:t xml:space="preserve">الوسائط الروحانية </w:t>
            </w:r>
            <w:r>
              <w:rPr>
                <w:rStyle w:val="IndexLink"/>
                <w:rtl w:val="true"/>
              </w:rPr>
              <w:t>:</w:t>
              <w:tab/>
            </w:r>
            <w:r>
              <w:rPr>
                <w:rStyle w:val="IndexLink"/>
              </w:rPr>
              <w:t>216</w:t>
            </w:r>
          </w:hyperlink>
        </w:p>
        <w:p>
          <w:pPr>
            <w:pStyle w:val="Contents5"/>
            <w:tabs>
              <w:tab w:val="clear" w:pos="7892"/>
              <w:tab w:val="right" w:pos="9026" w:leader="dot"/>
            </w:tabs>
            <w:rPr/>
          </w:pPr>
          <w:hyperlink w:anchor="__RefHeading___Toc5369945_1280447820">
            <w:r>
              <w:rPr>
                <w:webHidden/>
                <w:rStyle w:val="IndexLink"/>
              </w:rPr>
              <w:t>2</w:t>
            </w:r>
            <w:r>
              <w:rPr>
                <w:rStyle w:val="IndexLink"/>
                <w:rtl w:val="true"/>
              </w:rPr>
              <w:t>)</w:t>
            </w:r>
            <w:r>
              <w:rPr>
                <w:rStyle w:val="IndexLink"/>
                <w:rtl w:val="true"/>
              </w:rPr>
              <w:t xml:space="preserve">تجربة الموت والعودة إلى الحياة </w:t>
            </w:r>
            <w:r>
              <w:rPr>
                <w:rStyle w:val="IndexLink"/>
                <w:rtl w:val="true"/>
              </w:rPr>
              <w:t>:</w:t>
              <w:tab/>
            </w:r>
            <w:r>
              <w:rPr>
                <w:rStyle w:val="IndexLink"/>
              </w:rPr>
              <w:t>217</w:t>
            </w:r>
          </w:hyperlink>
        </w:p>
        <w:p>
          <w:pPr>
            <w:pStyle w:val="Contents5"/>
            <w:tabs>
              <w:tab w:val="clear" w:pos="7892"/>
              <w:tab w:val="right" w:pos="9026" w:leader="dot"/>
            </w:tabs>
            <w:rPr/>
          </w:pPr>
          <w:hyperlink w:anchor="__RefHeading___Toc5369947_1280447820">
            <w:r>
              <w:rPr>
                <w:webHidden/>
                <w:rStyle w:val="IndexLink"/>
              </w:rPr>
              <w:t>3</w:t>
            </w:r>
            <w:r>
              <w:rPr>
                <w:rStyle w:val="IndexLink"/>
                <w:rtl w:val="true"/>
              </w:rPr>
              <w:t xml:space="preserve">) </w:t>
            </w:r>
            <w:r>
              <w:rPr>
                <w:rStyle w:val="IndexLink"/>
                <w:rtl w:val="true"/>
              </w:rPr>
              <w:t xml:space="preserve">التجارب الخارجة عن البدن </w:t>
            </w:r>
            <w:r>
              <w:rPr>
                <w:rStyle w:val="IndexLink"/>
                <w:rtl w:val="true"/>
              </w:rPr>
              <w:t>(</w:t>
            </w:r>
            <w:r>
              <w:rPr>
                <w:rStyle w:val="IndexLink"/>
                <w:rtl w:val="true"/>
              </w:rPr>
              <w:t>الخلع</w:t>
            </w:r>
            <w:r>
              <w:rPr>
                <w:rStyle w:val="IndexLink"/>
                <w:rtl w:val="true"/>
              </w:rPr>
              <w:t>):</w:t>
              <w:tab/>
            </w:r>
            <w:r>
              <w:rPr>
                <w:rStyle w:val="IndexLink"/>
              </w:rPr>
              <w:t>219</w:t>
            </w:r>
          </w:hyperlink>
        </w:p>
        <w:p>
          <w:pPr>
            <w:pStyle w:val="Contents4"/>
            <w:tabs>
              <w:tab w:val="clear" w:pos="8176"/>
              <w:tab w:val="right" w:pos="9026" w:leader="dot"/>
            </w:tabs>
            <w:rPr/>
          </w:pPr>
          <w:hyperlink w:anchor="__RefHeading___Toc5369949_1280447820">
            <w:r>
              <w:rPr>
                <w:webHidden/>
                <w:rStyle w:val="IndexLink"/>
                <w:rtl w:val="true"/>
              </w:rPr>
              <w:t xml:space="preserve">- </w:t>
            </w:r>
            <w:r>
              <w:rPr>
                <w:rStyle w:val="IndexLink"/>
                <w:rtl w:val="true"/>
              </w:rPr>
              <w:t xml:space="preserve">الأدلّة العقليّة لإثبات المعاد </w:t>
            </w:r>
            <w:r>
              <w:rPr>
                <w:rStyle w:val="IndexLink"/>
                <w:rtl w:val="true"/>
              </w:rPr>
              <w:t>:</w:t>
              <w:tab/>
            </w:r>
            <w:r>
              <w:rPr>
                <w:rStyle w:val="IndexLink"/>
              </w:rPr>
              <w:t>219</w:t>
            </w:r>
          </w:hyperlink>
        </w:p>
        <w:p>
          <w:pPr>
            <w:pStyle w:val="Contents5"/>
            <w:tabs>
              <w:tab w:val="clear" w:pos="7892"/>
              <w:tab w:val="right" w:pos="9026" w:leader="dot"/>
            </w:tabs>
            <w:rPr/>
          </w:pPr>
          <w:hyperlink w:anchor="__RefHeading___Toc5369951_1280447820">
            <w:r>
              <w:rPr>
                <w:webHidden/>
                <w:rStyle w:val="IndexLink"/>
                <w:rtl w:val="true"/>
              </w:rPr>
              <w:t>إشارة</w:t>
            </w:r>
            <w:r>
              <w:rPr>
                <w:rStyle w:val="IndexLink"/>
                <w:rtl w:val="true"/>
              </w:rPr>
              <w:tab/>
            </w:r>
            <w:r>
              <w:rPr>
                <w:rStyle w:val="IndexLink"/>
              </w:rPr>
              <w:t>219</w:t>
            </w:r>
          </w:hyperlink>
        </w:p>
        <w:p>
          <w:pPr>
            <w:pStyle w:val="Contents5"/>
            <w:tabs>
              <w:tab w:val="clear" w:pos="7892"/>
              <w:tab w:val="right" w:pos="9026" w:leader="dot"/>
            </w:tabs>
            <w:rPr/>
          </w:pPr>
          <w:hyperlink w:anchor="__RefHeading___Toc5369953_1280447820">
            <w:r>
              <w:rPr>
                <w:webHidden/>
                <w:rStyle w:val="IndexLink"/>
                <w:rtl w:val="true"/>
              </w:rPr>
              <w:t xml:space="preserve">* </w:t>
            </w:r>
            <w:r>
              <w:rPr>
                <w:rStyle w:val="IndexLink"/>
                <w:rtl w:val="true"/>
              </w:rPr>
              <w:t>البرهان الأوّل</w:t>
            </w:r>
            <w:r>
              <w:rPr>
                <w:rStyle w:val="IndexLink"/>
                <w:rtl w:val="true"/>
              </w:rPr>
              <w:t xml:space="preserve">: </w:t>
            </w:r>
            <w:r>
              <w:rPr>
                <w:rStyle w:val="IndexLink"/>
                <w:rtl w:val="true"/>
              </w:rPr>
              <w:t>بقاء الروح وتجرّدها</w:t>
            </w:r>
            <w:r>
              <w:rPr>
                <w:rStyle w:val="IndexLink"/>
                <w:rtl w:val="true"/>
              </w:rPr>
              <w:t>:</w:t>
              <w:tab/>
            </w:r>
            <w:r>
              <w:rPr>
                <w:rStyle w:val="IndexLink"/>
              </w:rPr>
              <w:t>219</w:t>
            </w:r>
          </w:hyperlink>
        </w:p>
        <w:p>
          <w:pPr>
            <w:pStyle w:val="Contents5"/>
            <w:tabs>
              <w:tab w:val="clear" w:pos="7892"/>
              <w:tab w:val="right" w:pos="9026" w:leader="dot"/>
            </w:tabs>
            <w:rPr/>
          </w:pPr>
          <w:hyperlink w:anchor="__RefHeading___Toc5369955_1280447820">
            <w:r>
              <w:rPr>
                <w:webHidden/>
                <w:rStyle w:val="IndexLink"/>
                <w:rtl w:val="true"/>
              </w:rPr>
              <w:t xml:space="preserve">* </w:t>
            </w:r>
            <w:r>
              <w:rPr>
                <w:rStyle w:val="IndexLink"/>
                <w:rtl w:val="true"/>
              </w:rPr>
              <w:t>البرهان الثاني</w:t>
            </w:r>
            <w:r>
              <w:rPr>
                <w:rStyle w:val="IndexLink"/>
                <w:rtl w:val="true"/>
              </w:rPr>
              <w:t xml:space="preserve">: </w:t>
            </w:r>
            <w:r>
              <w:rPr>
                <w:rStyle w:val="IndexLink"/>
                <w:rtl w:val="true"/>
              </w:rPr>
              <w:t>الحكمة</w:t>
            </w:r>
            <w:r>
              <w:rPr>
                <w:rStyle w:val="IndexLink"/>
                <w:rtl w:val="true"/>
              </w:rPr>
              <w:t>:</w:t>
              <w:tab/>
            </w:r>
            <w:r>
              <w:rPr>
                <w:rStyle w:val="IndexLink"/>
              </w:rPr>
              <w:t>224</w:t>
            </w:r>
          </w:hyperlink>
        </w:p>
        <w:p>
          <w:pPr>
            <w:pStyle w:val="Contents5"/>
            <w:tabs>
              <w:tab w:val="clear" w:pos="7892"/>
              <w:tab w:val="right" w:pos="9026" w:leader="dot"/>
            </w:tabs>
            <w:rPr/>
          </w:pPr>
          <w:hyperlink w:anchor="__RefHeading___Toc5369957_1280447820">
            <w:r>
              <w:rPr>
                <w:webHidden/>
                <w:rStyle w:val="IndexLink"/>
                <w:rtl w:val="true"/>
              </w:rPr>
              <w:t xml:space="preserve">* </w:t>
            </w:r>
            <w:r>
              <w:rPr>
                <w:rStyle w:val="IndexLink"/>
                <w:rtl w:val="true"/>
              </w:rPr>
              <w:t xml:space="preserve">البرهان الثالث </w:t>
            </w:r>
            <w:r>
              <w:rPr>
                <w:rStyle w:val="IndexLink"/>
                <w:rtl w:val="true"/>
              </w:rPr>
              <w:t>:</w:t>
            </w:r>
            <w:r>
              <w:rPr>
                <w:rStyle w:val="IndexLink"/>
                <w:rtl w:val="true"/>
              </w:rPr>
              <w:t xml:space="preserve">العدل </w:t>
            </w:r>
            <w:r>
              <w:rPr>
                <w:rStyle w:val="IndexLink"/>
                <w:rtl w:val="true"/>
              </w:rPr>
              <w:t>:</w:t>
              <w:tab/>
            </w:r>
            <w:r>
              <w:rPr>
                <w:rStyle w:val="IndexLink"/>
              </w:rPr>
              <w:t>225</w:t>
            </w:r>
          </w:hyperlink>
        </w:p>
        <w:p>
          <w:pPr>
            <w:pStyle w:val="Contents5"/>
            <w:tabs>
              <w:tab w:val="clear" w:pos="7892"/>
              <w:tab w:val="right" w:pos="9026" w:leader="dot"/>
            </w:tabs>
            <w:rPr/>
          </w:pPr>
          <w:hyperlink w:anchor="__RefHeading___Toc5369959_1280447820">
            <w:r>
              <w:rPr>
                <w:webHidden/>
                <w:rStyle w:val="IndexLink"/>
                <w:rtl w:val="true"/>
              </w:rPr>
              <w:t xml:space="preserve">* </w:t>
            </w:r>
            <w:r>
              <w:rPr>
                <w:rStyle w:val="IndexLink"/>
                <w:rtl w:val="true"/>
              </w:rPr>
              <w:t>البرهان الرابع برهان الرحمة</w:t>
            </w:r>
            <w:r>
              <w:rPr>
                <w:rStyle w:val="IndexLink"/>
                <w:rtl w:val="true"/>
              </w:rPr>
              <w:tab/>
            </w:r>
            <w:r>
              <w:rPr>
                <w:rStyle w:val="IndexLink"/>
              </w:rPr>
              <w:t>229</w:t>
            </w:r>
          </w:hyperlink>
        </w:p>
        <w:p>
          <w:pPr>
            <w:pStyle w:val="Contents5"/>
            <w:tabs>
              <w:tab w:val="clear" w:pos="7892"/>
              <w:tab w:val="right" w:pos="9026" w:leader="dot"/>
            </w:tabs>
            <w:rPr/>
          </w:pPr>
          <w:hyperlink w:anchor="__RefHeading___Toc5369961_1280447820">
            <w:r>
              <w:rPr>
                <w:webHidden/>
                <w:rStyle w:val="IndexLink"/>
                <w:rtl w:val="true"/>
              </w:rPr>
              <w:t xml:space="preserve">* </w:t>
            </w:r>
            <w:r>
              <w:rPr>
                <w:rStyle w:val="IndexLink"/>
                <w:rtl w:val="true"/>
              </w:rPr>
              <w:t>البرهان الخامس</w:t>
            </w:r>
            <w:r>
              <w:rPr>
                <w:rStyle w:val="IndexLink"/>
                <w:rtl w:val="true"/>
              </w:rPr>
              <w:t xml:space="preserve">: </w:t>
            </w:r>
            <w:r>
              <w:rPr>
                <w:rStyle w:val="IndexLink"/>
                <w:rtl w:val="true"/>
              </w:rPr>
              <w:t xml:space="preserve">الأخلاق </w:t>
            </w:r>
            <w:r>
              <w:rPr>
                <w:rStyle w:val="IndexLink"/>
                <w:rtl w:val="true"/>
              </w:rPr>
              <w:t>:</w:t>
              <w:tab/>
            </w:r>
            <w:r>
              <w:rPr>
                <w:rStyle w:val="IndexLink"/>
              </w:rPr>
              <w:t>231</w:t>
            </w:r>
          </w:hyperlink>
        </w:p>
        <w:p>
          <w:pPr>
            <w:pStyle w:val="Contents5"/>
            <w:tabs>
              <w:tab w:val="clear" w:pos="7892"/>
              <w:tab w:val="right" w:pos="9026" w:leader="dot"/>
            </w:tabs>
            <w:rPr/>
          </w:pPr>
          <w:hyperlink w:anchor="__RefHeading___Toc5369963_1280447820">
            <w:r>
              <w:rPr>
                <w:webHidden/>
                <w:rStyle w:val="IndexLink"/>
                <w:rtl w:val="true"/>
              </w:rPr>
              <w:t>*</w:t>
            </w:r>
            <w:r>
              <w:rPr>
                <w:rStyle w:val="IndexLink"/>
                <w:rtl w:val="true"/>
              </w:rPr>
              <w:t xml:space="preserve">البرهان السادس </w:t>
            </w:r>
            <w:r>
              <w:rPr>
                <w:rStyle w:val="IndexLink"/>
                <w:rtl w:val="true"/>
              </w:rPr>
              <w:t xml:space="preserve">: </w:t>
            </w:r>
            <w:r>
              <w:rPr>
                <w:rStyle w:val="IndexLink"/>
                <w:rtl w:val="true"/>
              </w:rPr>
              <w:t xml:space="preserve">الفطرة </w:t>
            </w:r>
            <w:r>
              <w:rPr>
                <w:rStyle w:val="IndexLink"/>
                <w:rtl w:val="true"/>
              </w:rPr>
              <w:t>(</w:t>
            </w:r>
            <w:r>
              <w:rPr>
                <w:rStyle w:val="IndexLink"/>
                <w:rtl w:val="true"/>
              </w:rPr>
              <w:t>المحبّة الفطرية للحياة</w:t>
            </w:r>
            <w:r>
              <w:rPr>
                <w:rStyle w:val="IndexLink"/>
                <w:rtl w:val="true"/>
              </w:rPr>
              <w:t>):</w:t>
              <w:tab/>
            </w:r>
            <w:r>
              <w:rPr>
                <w:rStyle w:val="IndexLink"/>
              </w:rPr>
              <w:t>232</w:t>
            </w:r>
          </w:hyperlink>
        </w:p>
        <w:p>
          <w:pPr>
            <w:pStyle w:val="Contents5"/>
            <w:tabs>
              <w:tab w:val="clear" w:pos="7892"/>
              <w:tab w:val="right" w:pos="9026" w:leader="dot"/>
            </w:tabs>
            <w:rPr/>
          </w:pPr>
          <w:hyperlink w:anchor="__RefHeading___Toc5369965_1280447820">
            <w:r>
              <w:rPr>
                <w:webHidden/>
                <w:rStyle w:val="IndexLink"/>
                <w:rtl w:val="true"/>
              </w:rPr>
              <w:t xml:space="preserve">* </w:t>
            </w:r>
            <w:r>
              <w:rPr>
                <w:rStyle w:val="IndexLink"/>
                <w:rtl w:val="true"/>
              </w:rPr>
              <w:t>البرهان السابع</w:t>
            </w:r>
            <w:r>
              <w:rPr>
                <w:rStyle w:val="IndexLink"/>
                <w:rtl w:val="true"/>
              </w:rPr>
              <w:t xml:space="preserve">: </w:t>
            </w:r>
            <w:r>
              <w:rPr>
                <w:rStyle w:val="IndexLink"/>
                <w:rtl w:val="true"/>
              </w:rPr>
              <w:t xml:space="preserve">الوفاء بالوعد </w:t>
            </w:r>
            <w:r>
              <w:rPr>
                <w:rStyle w:val="IndexLink"/>
                <w:rtl w:val="true"/>
              </w:rPr>
              <w:t>:</w:t>
              <w:tab/>
            </w:r>
            <w:r>
              <w:rPr>
                <w:rStyle w:val="IndexLink"/>
              </w:rPr>
              <w:t>234</w:t>
            </w:r>
          </w:hyperlink>
        </w:p>
        <w:p>
          <w:pPr>
            <w:pStyle w:val="Contents3"/>
            <w:tabs>
              <w:tab w:val="clear" w:pos="8459"/>
              <w:tab w:val="right" w:pos="9026" w:leader="dot"/>
            </w:tabs>
            <w:rPr/>
          </w:pPr>
          <w:hyperlink w:anchor="__RefHeading___Toc5369967_1280447820">
            <w:r>
              <w:rPr>
                <w:webHidden/>
                <w:rStyle w:val="IndexLink"/>
              </w:rPr>
              <w:t>38</w:t>
            </w:r>
            <w:r>
              <w:rPr>
                <w:rStyle w:val="IndexLink"/>
                <w:rtl w:val="true"/>
              </w:rPr>
              <w:t>.</w:t>
            </w:r>
            <w:r>
              <w:rPr>
                <w:rStyle w:val="IndexLink"/>
                <w:rtl w:val="true"/>
              </w:rPr>
              <w:t>منكرو المعاد في مواجهة تحدّيات تفنّد آراءهم</w:t>
            </w:r>
            <w:r>
              <w:rPr>
                <w:rStyle w:val="IndexLink"/>
                <w:rtl w:val="true"/>
              </w:rPr>
              <w:tab/>
            </w:r>
            <w:r>
              <w:rPr>
                <w:rStyle w:val="IndexLink"/>
              </w:rPr>
              <w:t>236</w:t>
            </w:r>
          </w:hyperlink>
        </w:p>
        <w:p>
          <w:pPr>
            <w:pStyle w:val="Contents4"/>
            <w:tabs>
              <w:tab w:val="clear" w:pos="8176"/>
              <w:tab w:val="right" w:pos="9026" w:leader="dot"/>
            </w:tabs>
            <w:rPr/>
          </w:pPr>
          <w:hyperlink w:anchor="__RefHeading___Toc5369969_1280447820">
            <w:r>
              <w:rPr>
                <w:webHidden/>
                <w:rStyle w:val="IndexLink"/>
                <w:rtl w:val="true"/>
              </w:rPr>
              <w:t>إشارة</w:t>
            </w:r>
            <w:r>
              <w:rPr>
                <w:rStyle w:val="IndexLink"/>
                <w:rtl w:val="true"/>
              </w:rPr>
              <w:tab/>
            </w:r>
            <w:r>
              <w:rPr>
                <w:rStyle w:val="IndexLink"/>
              </w:rPr>
              <w:t>236</w:t>
            </w:r>
          </w:hyperlink>
        </w:p>
        <w:p>
          <w:pPr>
            <w:pStyle w:val="Contents4"/>
            <w:tabs>
              <w:tab w:val="clear" w:pos="8176"/>
              <w:tab w:val="right" w:pos="9026" w:leader="dot"/>
            </w:tabs>
            <w:rPr/>
          </w:pPr>
          <w:hyperlink w:anchor="__RefHeading___Toc5369971_1280447820">
            <w:r>
              <w:rPr>
                <w:webHidden/>
                <w:rStyle w:val="IndexLink"/>
                <w:rtl w:val="true"/>
              </w:rPr>
              <w:t xml:space="preserve">* </w:t>
            </w:r>
            <w:r>
              <w:rPr>
                <w:rStyle w:val="IndexLink"/>
                <w:rtl w:val="true"/>
              </w:rPr>
              <w:t xml:space="preserve">الشبهة الأولى </w:t>
            </w:r>
            <w:r>
              <w:rPr>
                <w:rStyle w:val="IndexLink"/>
                <w:rtl w:val="true"/>
              </w:rPr>
              <w:t xml:space="preserve">: </w:t>
            </w:r>
            <w:r>
              <w:rPr>
                <w:rStyle w:val="IndexLink"/>
                <w:rtl w:val="true"/>
              </w:rPr>
              <w:t xml:space="preserve">استحالة إحياء العظام وهي رميم </w:t>
            </w:r>
            <w:r>
              <w:rPr>
                <w:rStyle w:val="IndexLink"/>
                <w:rtl w:val="true"/>
              </w:rPr>
              <w:t>:</w:t>
              <w:tab/>
            </w:r>
            <w:r>
              <w:rPr>
                <w:rStyle w:val="IndexLink"/>
              </w:rPr>
              <w:t>236</w:t>
            </w:r>
          </w:hyperlink>
        </w:p>
        <w:p>
          <w:pPr>
            <w:pStyle w:val="Contents4"/>
            <w:tabs>
              <w:tab w:val="clear" w:pos="8176"/>
              <w:tab w:val="right" w:pos="9026" w:leader="dot"/>
            </w:tabs>
            <w:rPr/>
          </w:pPr>
          <w:hyperlink w:anchor="__RefHeading___Toc5369973_1280447820">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إنكار المعاد من منطلق اتِّباع الهوى وحبّ الدنيا </w:t>
            </w:r>
            <w:r>
              <w:rPr>
                <w:rStyle w:val="IndexLink"/>
                <w:rtl w:val="true"/>
              </w:rPr>
              <w:t>:</w:t>
              <w:tab/>
            </w:r>
            <w:r>
              <w:rPr>
                <w:rStyle w:val="IndexLink"/>
              </w:rPr>
              <w:t>238</w:t>
            </w:r>
          </w:hyperlink>
        </w:p>
        <w:p>
          <w:pPr>
            <w:pStyle w:val="Contents4"/>
            <w:tabs>
              <w:tab w:val="clear" w:pos="8176"/>
              <w:tab w:val="right" w:pos="9026" w:leader="dot"/>
            </w:tabs>
            <w:rPr/>
          </w:pPr>
          <w:hyperlink w:anchor="__RefHeading___Toc5369975_1280447820">
            <w:r>
              <w:rPr>
                <w:webHidden/>
                <w:rStyle w:val="IndexLink"/>
                <w:rtl w:val="true"/>
              </w:rPr>
              <w:t>*</w:t>
            </w:r>
            <w:r>
              <w:rPr>
                <w:rStyle w:val="IndexLink"/>
                <w:rtl w:val="true"/>
              </w:rPr>
              <w:t>الشبهة الثالثة</w:t>
            </w:r>
            <w:r>
              <w:rPr>
                <w:rStyle w:val="IndexLink"/>
                <w:rtl w:val="true"/>
              </w:rPr>
              <w:t xml:space="preserve">: </w:t>
            </w:r>
            <w:r>
              <w:rPr>
                <w:rStyle w:val="IndexLink"/>
                <w:rtl w:val="true"/>
              </w:rPr>
              <w:t>إنكار المعاد من منطلق اللّهث وراء المال والشهوة والمقام</w:t>
            </w:r>
            <w:r>
              <w:rPr>
                <w:rStyle w:val="IndexLink"/>
                <w:rtl w:val="true"/>
              </w:rPr>
              <w:t>:</w:t>
              <w:tab/>
            </w:r>
            <w:r>
              <w:rPr>
                <w:rStyle w:val="IndexLink"/>
              </w:rPr>
              <w:t>238</w:t>
            </w:r>
          </w:hyperlink>
        </w:p>
        <w:p>
          <w:pPr>
            <w:pStyle w:val="Contents4"/>
            <w:tabs>
              <w:tab w:val="clear" w:pos="8176"/>
              <w:tab w:val="right" w:pos="9026" w:leader="dot"/>
            </w:tabs>
            <w:rPr/>
          </w:pPr>
          <w:hyperlink w:anchor="__RefHeading___Toc5369977_1280447820">
            <w:r>
              <w:rPr>
                <w:webHidden/>
                <w:rStyle w:val="IndexLink"/>
                <w:rtl w:val="true"/>
              </w:rPr>
              <w:t>*</w:t>
            </w:r>
            <w:r>
              <w:rPr>
                <w:rStyle w:val="IndexLink"/>
                <w:rtl w:val="true"/>
              </w:rPr>
              <w:t>الشبهة الرابعة</w:t>
            </w:r>
            <w:r>
              <w:rPr>
                <w:rStyle w:val="IndexLink"/>
                <w:rtl w:val="true"/>
              </w:rPr>
              <w:t xml:space="preserve">: </w:t>
            </w:r>
            <w:r>
              <w:rPr>
                <w:rStyle w:val="IndexLink"/>
                <w:rtl w:val="true"/>
              </w:rPr>
              <w:t xml:space="preserve">عدم حتمية المعاد </w:t>
            </w:r>
            <w:r>
              <w:rPr>
                <w:rStyle w:val="IndexLink"/>
                <w:rtl w:val="true"/>
              </w:rPr>
              <w:t>:</w:t>
              <w:tab/>
            </w:r>
            <w:r>
              <w:rPr>
                <w:rStyle w:val="IndexLink"/>
              </w:rPr>
              <w:t>239</w:t>
            </w:r>
          </w:hyperlink>
        </w:p>
        <w:p>
          <w:pPr>
            <w:pStyle w:val="Contents4"/>
            <w:tabs>
              <w:tab w:val="clear" w:pos="8176"/>
              <w:tab w:val="right" w:pos="9026" w:leader="dot"/>
            </w:tabs>
            <w:rPr/>
          </w:pPr>
          <w:hyperlink w:anchor="__RefHeading___Toc5369979_1280447820">
            <w:r>
              <w:rPr>
                <w:webHidden/>
                <w:rStyle w:val="IndexLink"/>
                <w:rtl w:val="true"/>
              </w:rPr>
              <w:t xml:space="preserve">* </w:t>
            </w:r>
            <w:r>
              <w:rPr>
                <w:rStyle w:val="IndexLink"/>
                <w:rtl w:val="true"/>
              </w:rPr>
              <w:t xml:space="preserve">الشبهة الخامسة </w:t>
            </w:r>
            <w:r>
              <w:rPr>
                <w:rStyle w:val="IndexLink"/>
                <w:rtl w:val="true"/>
              </w:rPr>
              <w:t xml:space="preserve">: </w:t>
            </w:r>
            <w:r>
              <w:rPr>
                <w:rStyle w:val="IndexLink"/>
                <w:rtl w:val="true"/>
              </w:rPr>
              <w:t>اشتراط الإقرار بالمعاد بتلبية طلباتٍ غير معقولةٍ</w:t>
            </w:r>
            <w:r>
              <w:rPr>
                <w:rStyle w:val="IndexLink"/>
                <w:rtl w:val="true"/>
              </w:rPr>
              <w:t>:</w:t>
              <w:tab/>
            </w:r>
            <w:r>
              <w:rPr>
                <w:rStyle w:val="IndexLink"/>
              </w:rPr>
              <w:t>239</w:t>
            </w:r>
          </w:hyperlink>
        </w:p>
        <w:p>
          <w:pPr>
            <w:pStyle w:val="Contents4"/>
            <w:tabs>
              <w:tab w:val="clear" w:pos="8176"/>
              <w:tab w:val="right" w:pos="9026" w:leader="dot"/>
            </w:tabs>
            <w:rPr/>
          </w:pPr>
          <w:hyperlink w:anchor="__RefHeading___Toc5369981_1280447820">
            <w:r>
              <w:rPr>
                <w:webHidden/>
                <w:rStyle w:val="IndexLink"/>
                <w:rtl w:val="true"/>
              </w:rPr>
              <w:t>*</w:t>
            </w:r>
            <w:r>
              <w:rPr>
                <w:rStyle w:val="IndexLink"/>
                <w:rtl w:val="true"/>
              </w:rPr>
              <w:t xml:space="preserve">الشبهة السادسة </w:t>
            </w:r>
            <w:r>
              <w:rPr>
                <w:rStyle w:val="IndexLink"/>
                <w:rtl w:val="true"/>
              </w:rPr>
              <w:t xml:space="preserve">: </w:t>
            </w:r>
            <w:r>
              <w:rPr>
                <w:rStyle w:val="IndexLink"/>
                <w:rtl w:val="true"/>
              </w:rPr>
              <w:t xml:space="preserve">إحياء الموتى ضربٌ من السحر </w:t>
            </w:r>
            <w:r>
              <w:rPr>
                <w:rStyle w:val="IndexLink"/>
                <w:rtl w:val="true"/>
              </w:rPr>
              <w:t>:</w:t>
              <w:tab/>
            </w:r>
            <w:r>
              <w:rPr>
                <w:rStyle w:val="IndexLink"/>
              </w:rPr>
              <w:t>240</w:t>
            </w:r>
          </w:hyperlink>
        </w:p>
        <w:p>
          <w:pPr>
            <w:pStyle w:val="Contents4"/>
            <w:tabs>
              <w:tab w:val="clear" w:pos="8176"/>
              <w:tab w:val="right" w:pos="9026" w:leader="dot"/>
            </w:tabs>
            <w:rPr/>
          </w:pPr>
          <w:hyperlink w:anchor="__RefHeading___Toc5369983_1280447820">
            <w:r>
              <w:rPr>
                <w:webHidden/>
                <w:rStyle w:val="IndexLink"/>
                <w:rtl w:val="true"/>
              </w:rPr>
              <w:t>*</w:t>
            </w:r>
            <w:r>
              <w:rPr>
                <w:rStyle w:val="IndexLink"/>
                <w:rtl w:val="true"/>
              </w:rPr>
              <w:t>الشبهة السابعة</w:t>
            </w:r>
            <w:r>
              <w:rPr>
                <w:rStyle w:val="IndexLink"/>
                <w:rtl w:val="true"/>
              </w:rPr>
              <w:t xml:space="preserve">: </w:t>
            </w:r>
            <w:r>
              <w:rPr>
                <w:rStyle w:val="IndexLink"/>
                <w:rtl w:val="true"/>
              </w:rPr>
              <w:t xml:space="preserve">استحالة جمع أعضاء البدن ومكوناته المتناثرة </w:t>
            </w:r>
            <w:r>
              <w:rPr>
                <w:rStyle w:val="IndexLink"/>
                <w:rtl w:val="true"/>
              </w:rPr>
              <w:t>:</w:t>
              <w:tab/>
            </w:r>
            <w:r>
              <w:rPr>
                <w:rStyle w:val="IndexLink"/>
              </w:rPr>
              <w:t>240</w:t>
            </w:r>
          </w:hyperlink>
        </w:p>
        <w:p>
          <w:pPr>
            <w:pStyle w:val="Contents4"/>
            <w:tabs>
              <w:tab w:val="clear" w:pos="8176"/>
              <w:tab w:val="right" w:pos="9026" w:leader="dot"/>
            </w:tabs>
            <w:rPr/>
          </w:pPr>
          <w:hyperlink w:anchor="__RefHeading___Toc5369985_1280447820">
            <w:r>
              <w:rPr>
                <w:webHidden/>
                <w:rStyle w:val="IndexLink"/>
                <w:rtl w:val="true"/>
              </w:rPr>
              <w:t>*</w:t>
            </w:r>
            <w:r>
              <w:rPr>
                <w:rStyle w:val="IndexLink"/>
                <w:rtl w:val="true"/>
              </w:rPr>
              <w:t xml:space="preserve">الشبهة الثامنة </w:t>
            </w:r>
            <w:r>
              <w:rPr>
                <w:rStyle w:val="IndexLink"/>
                <w:rtl w:val="true"/>
              </w:rPr>
              <w:t xml:space="preserve">: </w:t>
            </w:r>
            <w:r>
              <w:rPr>
                <w:rStyle w:val="IndexLink"/>
                <w:rtl w:val="true"/>
              </w:rPr>
              <w:t xml:space="preserve">امتزاج خلايا البدن بعد موته مع أبدان حيّة أخرى </w:t>
            </w:r>
            <w:r>
              <w:rPr>
                <w:rStyle w:val="IndexLink"/>
                <w:rtl w:val="true"/>
              </w:rPr>
              <w:t>(</w:t>
            </w:r>
            <w:r>
              <w:rPr>
                <w:rStyle w:val="IndexLink"/>
                <w:rtl w:val="true"/>
              </w:rPr>
              <w:t xml:space="preserve">شبهة الآكل والمأكول </w:t>
            </w:r>
            <w:r>
              <w:rPr>
                <w:rStyle w:val="IndexLink"/>
                <w:rtl w:val="true"/>
              </w:rPr>
              <w:t>):</w:t>
              <w:tab/>
            </w:r>
            <w:r>
              <w:rPr>
                <w:rStyle w:val="IndexLink"/>
              </w:rPr>
              <w:t>241</w:t>
            </w:r>
          </w:hyperlink>
        </w:p>
        <w:p>
          <w:pPr>
            <w:pStyle w:val="Contents4"/>
            <w:tabs>
              <w:tab w:val="clear" w:pos="8176"/>
              <w:tab w:val="right" w:pos="9026" w:leader="dot"/>
            </w:tabs>
            <w:rPr/>
          </w:pPr>
          <w:hyperlink w:anchor="__RefHeading___Toc5369987_1280447820">
            <w:r>
              <w:rPr>
                <w:webHidden/>
                <w:rStyle w:val="IndexLink"/>
                <w:rtl w:val="true"/>
              </w:rPr>
              <w:t xml:space="preserve">* </w:t>
            </w:r>
            <w:r>
              <w:rPr>
                <w:rStyle w:val="IndexLink"/>
                <w:rtl w:val="true"/>
              </w:rPr>
              <w:t xml:space="preserve">الشبهة التاسعة التناسخ </w:t>
            </w:r>
            <w:r>
              <w:rPr>
                <w:rStyle w:val="IndexLink"/>
                <w:rtl w:val="true"/>
              </w:rPr>
              <w:t>:</w:t>
              <w:tab/>
            </w:r>
            <w:r>
              <w:rPr>
                <w:rStyle w:val="IndexLink"/>
              </w:rPr>
              <w:t>243</w:t>
            </w:r>
          </w:hyperlink>
        </w:p>
        <w:p>
          <w:pPr>
            <w:pStyle w:val="Contents3"/>
            <w:tabs>
              <w:tab w:val="clear" w:pos="8459"/>
              <w:tab w:val="right" w:pos="9026" w:leader="dot"/>
            </w:tabs>
            <w:rPr/>
          </w:pPr>
          <w:hyperlink w:anchor="__RefHeading___Toc5369989_1280447820">
            <w:r>
              <w:rPr>
                <w:webHidden/>
                <w:rStyle w:val="IndexLink"/>
              </w:rPr>
              <w:t>39</w:t>
            </w:r>
            <w:r>
              <w:rPr>
                <w:rStyle w:val="IndexLink"/>
                <w:rtl w:val="true"/>
              </w:rPr>
              <w:t xml:space="preserve">. </w:t>
            </w:r>
            <w:r>
              <w:rPr>
                <w:rStyle w:val="IndexLink"/>
                <w:rtl w:val="true"/>
              </w:rPr>
              <w:t>منازل الآخرة</w:t>
            </w:r>
            <w:r>
              <w:rPr>
                <w:rStyle w:val="IndexLink"/>
                <w:rtl w:val="true"/>
              </w:rPr>
              <w:tab/>
            </w:r>
            <w:r>
              <w:rPr>
                <w:rStyle w:val="IndexLink"/>
              </w:rPr>
              <w:t>249</w:t>
            </w:r>
          </w:hyperlink>
        </w:p>
        <w:p>
          <w:pPr>
            <w:pStyle w:val="Contents4"/>
            <w:tabs>
              <w:tab w:val="clear" w:pos="8176"/>
              <w:tab w:val="right" w:pos="9026" w:leader="dot"/>
            </w:tabs>
            <w:rPr/>
          </w:pPr>
          <w:hyperlink w:anchor="__RefHeading___Toc5369991_1280447820">
            <w:r>
              <w:rPr>
                <w:webHidden/>
                <w:rStyle w:val="IndexLink"/>
                <w:rtl w:val="true"/>
              </w:rPr>
              <w:t>إشارة</w:t>
            </w:r>
            <w:r>
              <w:rPr>
                <w:rStyle w:val="IndexLink"/>
                <w:rtl w:val="true"/>
              </w:rPr>
              <w:tab/>
            </w:r>
            <w:r>
              <w:rPr>
                <w:rStyle w:val="IndexLink"/>
              </w:rPr>
              <w:t>249</w:t>
            </w:r>
          </w:hyperlink>
        </w:p>
        <w:p>
          <w:pPr>
            <w:pStyle w:val="Contents4"/>
            <w:tabs>
              <w:tab w:val="clear" w:pos="8176"/>
              <w:tab w:val="right" w:pos="9026" w:leader="dot"/>
            </w:tabs>
            <w:rPr/>
          </w:pPr>
          <w:hyperlink w:anchor="__RefHeading___Toc5369993_1280447820">
            <w:r>
              <w:rPr>
                <w:webHidden/>
                <w:rStyle w:val="IndexLink"/>
                <w:rtl w:val="true"/>
              </w:rPr>
              <w:t>المنزل الأوّل</w:t>
            </w:r>
            <w:r>
              <w:rPr>
                <w:rStyle w:val="IndexLink"/>
                <w:rtl w:val="true"/>
              </w:rPr>
              <w:t xml:space="preserve">: </w:t>
            </w:r>
            <w:r>
              <w:rPr>
                <w:rStyle w:val="IndexLink"/>
                <w:rtl w:val="true"/>
              </w:rPr>
              <w:t xml:space="preserve">الموت </w:t>
            </w:r>
            <w:r>
              <w:rPr>
                <w:rStyle w:val="IndexLink"/>
                <w:rtl w:val="true"/>
              </w:rPr>
              <w:t>:</w:t>
              <w:tab/>
            </w:r>
            <w:r>
              <w:rPr>
                <w:rStyle w:val="IndexLink"/>
              </w:rPr>
              <w:t>249</w:t>
            </w:r>
          </w:hyperlink>
        </w:p>
        <w:p>
          <w:pPr>
            <w:pStyle w:val="Contents4"/>
            <w:tabs>
              <w:tab w:val="clear" w:pos="8176"/>
              <w:tab w:val="right" w:pos="9026" w:leader="dot"/>
            </w:tabs>
            <w:rPr/>
          </w:pPr>
          <w:hyperlink w:anchor="__RefHeading___Toc5369995_1280447820">
            <w:r>
              <w:rPr>
                <w:webHidden/>
                <w:rStyle w:val="IndexLink"/>
                <w:rtl w:val="true"/>
              </w:rPr>
              <w:t>المنزل الثاني</w:t>
            </w:r>
            <w:r>
              <w:rPr>
                <w:rStyle w:val="IndexLink"/>
                <w:rtl w:val="true"/>
              </w:rPr>
              <w:t xml:space="preserve">: </w:t>
            </w:r>
            <w:r>
              <w:rPr>
                <w:rStyle w:val="IndexLink"/>
                <w:rtl w:val="true"/>
              </w:rPr>
              <w:t xml:space="preserve">القبر والبرزخ </w:t>
            </w:r>
            <w:r>
              <w:rPr>
                <w:rStyle w:val="IndexLink"/>
                <w:rtl w:val="true"/>
              </w:rPr>
              <w:t>:</w:t>
              <w:tab/>
            </w:r>
            <w:r>
              <w:rPr>
                <w:rStyle w:val="IndexLink"/>
              </w:rPr>
              <w:t>255</w:t>
            </w:r>
          </w:hyperlink>
        </w:p>
        <w:p>
          <w:pPr>
            <w:pStyle w:val="Contents4"/>
            <w:tabs>
              <w:tab w:val="clear" w:pos="8176"/>
              <w:tab w:val="right" w:pos="9026" w:leader="dot"/>
            </w:tabs>
            <w:rPr/>
          </w:pPr>
          <w:hyperlink w:anchor="__RefHeading___Toc5369997_1280447820">
            <w:r>
              <w:rPr>
                <w:webHidden/>
                <w:rStyle w:val="IndexLink"/>
                <w:rtl w:val="true"/>
              </w:rPr>
              <w:t>المنزل الثالث</w:t>
            </w:r>
            <w:r>
              <w:rPr>
                <w:rStyle w:val="IndexLink"/>
                <w:rtl w:val="true"/>
              </w:rPr>
              <w:t xml:space="preserve">: </w:t>
            </w:r>
            <w:r>
              <w:rPr>
                <w:rStyle w:val="IndexLink"/>
                <w:rtl w:val="true"/>
              </w:rPr>
              <w:t xml:space="preserve">القيامة </w:t>
            </w:r>
            <w:r>
              <w:rPr>
                <w:rStyle w:val="IndexLink"/>
                <w:rtl w:val="true"/>
              </w:rPr>
              <w:t>:</w:t>
              <w:tab/>
            </w:r>
            <w:r>
              <w:rPr>
                <w:rStyle w:val="IndexLink"/>
              </w:rPr>
              <w:t>258</w:t>
            </w:r>
          </w:hyperlink>
        </w:p>
        <w:p>
          <w:pPr>
            <w:pStyle w:val="Contents4"/>
            <w:tabs>
              <w:tab w:val="clear" w:pos="8176"/>
              <w:tab w:val="right" w:pos="9026" w:leader="dot"/>
            </w:tabs>
            <w:rPr/>
          </w:pPr>
          <w:hyperlink w:anchor="__RefHeading___Toc5369999_1280447820">
            <w:r>
              <w:rPr>
                <w:webHidden/>
                <w:rStyle w:val="IndexLink"/>
                <w:rtl w:val="true"/>
              </w:rPr>
              <w:t>المنزل الرابع</w:t>
            </w:r>
            <w:r>
              <w:rPr>
                <w:rStyle w:val="IndexLink"/>
                <w:rtl w:val="true"/>
              </w:rPr>
              <w:t xml:space="preserve">: </w:t>
            </w:r>
            <w:r>
              <w:rPr>
                <w:rStyle w:val="IndexLink"/>
                <w:rtl w:val="true"/>
              </w:rPr>
              <w:t>النَّفخ في الصور</w:t>
            </w:r>
            <w:r>
              <w:rPr>
                <w:rStyle w:val="IndexLink"/>
                <w:rtl w:val="true"/>
              </w:rPr>
              <w:t>:</w:t>
              <w:tab/>
            </w:r>
            <w:r>
              <w:rPr>
                <w:rStyle w:val="IndexLink"/>
              </w:rPr>
              <w:t>260</w:t>
            </w:r>
          </w:hyperlink>
        </w:p>
        <w:p>
          <w:pPr>
            <w:pStyle w:val="Contents4"/>
            <w:tabs>
              <w:tab w:val="clear" w:pos="8176"/>
              <w:tab w:val="right" w:pos="9026" w:leader="dot"/>
            </w:tabs>
            <w:rPr/>
          </w:pPr>
          <w:hyperlink w:anchor="__RefHeading___Toc5370001_1280447820">
            <w:r>
              <w:rPr>
                <w:webHidden/>
                <w:rStyle w:val="IndexLink"/>
                <w:rtl w:val="true"/>
              </w:rPr>
              <w:t xml:space="preserve">المنزل الخامس </w:t>
            </w:r>
            <w:r>
              <w:rPr>
                <w:rStyle w:val="IndexLink"/>
                <w:rtl w:val="true"/>
              </w:rPr>
              <w:t>:</w:t>
            </w:r>
            <w:r>
              <w:rPr>
                <w:rStyle w:val="IndexLink"/>
                <w:rtl w:val="true"/>
              </w:rPr>
              <w:t xml:space="preserve">الحساب </w:t>
            </w:r>
            <w:r>
              <w:rPr>
                <w:rStyle w:val="IndexLink"/>
                <w:rtl w:val="true"/>
              </w:rPr>
              <w:t>:</w:t>
              <w:tab/>
            </w:r>
            <w:r>
              <w:rPr>
                <w:rStyle w:val="IndexLink"/>
              </w:rPr>
              <w:t>261</w:t>
            </w:r>
          </w:hyperlink>
        </w:p>
        <w:p>
          <w:pPr>
            <w:pStyle w:val="Contents5"/>
            <w:tabs>
              <w:tab w:val="clear" w:pos="7892"/>
              <w:tab w:val="right" w:pos="9026" w:leader="dot"/>
            </w:tabs>
            <w:rPr/>
          </w:pPr>
          <w:hyperlink w:anchor="__RefHeading___Toc5370003_1280447820">
            <w:r>
              <w:rPr>
                <w:webHidden/>
                <w:rStyle w:val="IndexLink"/>
                <w:rtl w:val="true"/>
              </w:rPr>
              <w:t>إشارة</w:t>
            </w:r>
            <w:r>
              <w:rPr>
                <w:rStyle w:val="IndexLink"/>
                <w:rtl w:val="true"/>
              </w:rPr>
              <w:tab/>
            </w:r>
            <w:r>
              <w:rPr>
                <w:rStyle w:val="IndexLink"/>
              </w:rPr>
              <w:t>261</w:t>
            </w:r>
          </w:hyperlink>
        </w:p>
        <w:p>
          <w:pPr>
            <w:pStyle w:val="Contents5"/>
            <w:tabs>
              <w:tab w:val="clear" w:pos="7892"/>
              <w:tab w:val="right" w:pos="9026" w:leader="dot"/>
            </w:tabs>
            <w:rPr/>
          </w:pPr>
          <w:hyperlink w:anchor="__RefHeading___Toc5370005_1280447820">
            <w:r>
              <w:rPr>
                <w:webHidden/>
                <w:rStyle w:val="IndexLink"/>
                <w:rtl w:val="true"/>
              </w:rPr>
              <w:t xml:space="preserve">- </w:t>
            </w:r>
            <w:r>
              <w:rPr>
                <w:rStyle w:val="IndexLink"/>
                <w:rtl w:val="true"/>
              </w:rPr>
              <w:t>الأسس الأربعة في محكمة العدل الإلهيّ</w:t>
            </w:r>
            <w:r>
              <w:rPr>
                <w:rStyle w:val="IndexLink"/>
                <w:rtl w:val="true"/>
              </w:rPr>
              <w:t>:</w:t>
              <w:tab/>
            </w:r>
            <w:r>
              <w:rPr>
                <w:rStyle w:val="IndexLink"/>
              </w:rPr>
              <w:t>264</w:t>
            </w:r>
          </w:hyperlink>
        </w:p>
        <w:p>
          <w:pPr>
            <w:pStyle w:val="Contents6"/>
            <w:tabs>
              <w:tab w:val="clear" w:pos="7609"/>
              <w:tab w:val="right" w:pos="9026" w:leader="dot"/>
            </w:tabs>
            <w:rPr/>
          </w:pPr>
          <w:hyperlink w:anchor="__RefHeading___Toc5370007_1280447820">
            <w:r>
              <w:rPr>
                <w:webHidden/>
                <w:rStyle w:val="IndexLink"/>
                <w:rtl w:val="true"/>
              </w:rPr>
              <w:t>إشارة</w:t>
            </w:r>
            <w:r>
              <w:rPr>
                <w:rStyle w:val="IndexLink"/>
                <w:rtl w:val="true"/>
              </w:rPr>
              <w:tab/>
            </w:r>
            <w:r>
              <w:rPr>
                <w:rStyle w:val="IndexLink"/>
              </w:rPr>
              <w:t>264</w:t>
            </w:r>
          </w:hyperlink>
        </w:p>
        <w:p>
          <w:pPr>
            <w:pStyle w:val="Contents6"/>
            <w:tabs>
              <w:tab w:val="clear" w:pos="7609"/>
              <w:tab w:val="right" w:pos="9026" w:leader="dot"/>
            </w:tabs>
            <w:rPr/>
          </w:pPr>
          <w:hyperlink w:anchor="__RefHeading___Toc5370009_1280447820">
            <w:r>
              <w:rPr>
                <w:webHidden/>
                <w:rStyle w:val="IndexLink"/>
                <w:rtl w:val="true"/>
              </w:rPr>
              <w:t>أوّلاً</w:t>
            </w:r>
            <w:r>
              <w:rPr>
                <w:rStyle w:val="IndexLink"/>
                <w:rtl w:val="true"/>
              </w:rPr>
              <w:t xml:space="preserve">: </w:t>
            </w:r>
            <w:r>
              <w:rPr>
                <w:rStyle w:val="IndexLink"/>
                <w:rtl w:val="true"/>
              </w:rPr>
              <w:t>الكتاب</w:t>
            </w:r>
            <w:r>
              <w:rPr>
                <w:rStyle w:val="IndexLink"/>
                <w:rtl w:val="true"/>
              </w:rPr>
              <w:tab/>
            </w:r>
            <w:r>
              <w:rPr>
                <w:rStyle w:val="IndexLink"/>
              </w:rPr>
              <w:t>265</w:t>
            </w:r>
          </w:hyperlink>
        </w:p>
        <w:p>
          <w:pPr>
            <w:pStyle w:val="Contents6"/>
            <w:tabs>
              <w:tab w:val="clear" w:pos="7609"/>
              <w:tab w:val="right" w:pos="9026" w:leader="dot"/>
            </w:tabs>
            <w:rPr/>
          </w:pPr>
          <w:hyperlink w:anchor="__RefHeading___Toc5370011_1280447820">
            <w:r>
              <w:rPr>
                <w:webHidden/>
                <w:rStyle w:val="IndexLink"/>
                <w:rtl w:val="true"/>
              </w:rPr>
              <w:t>ثانياً</w:t>
            </w:r>
            <w:r>
              <w:rPr>
                <w:rStyle w:val="IndexLink"/>
                <w:rtl w:val="true"/>
              </w:rPr>
              <w:t xml:space="preserve">: </w:t>
            </w:r>
            <w:r>
              <w:rPr>
                <w:rStyle w:val="IndexLink"/>
                <w:rtl w:val="true"/>
              </w:rPr>
              <w:t xml:space="preserve">الميزان </w:t>
            </w:r>
            <w:r>
              <w:rPr>
                <w:rStyle w:val="IndexLink"/>
                <w:rtl w:val="true"/>
              </w:rPr>
              <w:t>:</w:t>
              <w:tab/>
            </w:r>
            <w:r>
              <w:rPr>
                <w:rStyle w:val="IndexLink"/>
              </w:rPr>
              <w:t>266</w:t>
            </w:r>
          </w:hyperlink>
        </w:p>
        <w:p>
          <w:pPr>
            <w:pStyle w:val="Contents6"/>
            <w:tabs>
              <w:tab w:val="clear" w:pos="7609"/>
              <w:tab w:val="right" w:pos="9026" w:leader="dot"/>
            </w:tabs>
            <w:rPr/>
          </w:pPr>
          <w:hyperlink w:anchor="__RefHeading___Toc5370013_1280447820">
            <w:r>
              <w:rPr>
                <w:webHidden/>
                <w:rStyle w:val="IndexLink"/>
                <w:rtl w:val="true"/>
              </w:rPr>
              <w:t>ثالثاً</w:t>
            </w:r>
            <w:r>
              <w:rPr>
                <w:rStyle w:val="IndexLink"/>
                <w:rtl w:val="true"/>
              </w:rPr>
              <w:t xml:space="preserve">: </w:t>
            </w:r>
            <w:r>
              <w:rPr>
                <w:rStyle w:val="IndexLink"/>
                <w:rtl w:val="true"/>
              </w:rPr>
              <w:t xml:space="preserve">الشهود </w:t>
            </w:r>
            <w:r>
              <w:rPr>
                <w:rStyle w:val="IndexLink"/>
                <w:rtl w:val="true"/>
              </w:rPr>
              <w:t>:</w:t>
              <w:tab/>
            </w:r>
            <w:r>
              <w:rPr>
                <w:rStyle w:val="IndexLink"/>
              </w:rPr>
              <w:t>267</w:t>
            </w:r>
          </w:hyperlink>
        </w:p>
        <w:p>
          <w:pPr>
            <w:pStyle w:val="Contents6"/>
            <w:tabs>
              <w:tab w:val="clear" w:pos="7609"/>
              <w:tab w:val="right" w:pos="9026" w:leader="dot"/>
            </w:tabs>
            <w:rPr/>
          </w:pPr>
          <w:hyperlink w:anchor="__RefHeading___Toc5370015_1280447820">
            <w:r>
              <w:rPr>
                <w:webHidden/>
                <w:rStyle w:val="IndexLink"/>
                <w:rtl w:val="true"/>
              </w:rPr>
              <w:t>إشارة</w:t>
            </w:r>
            <w:r>
              <w:rPr>
                <w:rStyle w:val="IndexLink"/>
                <w:rtl w:val="true"/>
              </w:rPr>
              <w:tab/>
            </w:r>
            <w:r>
              <w:rPr>
                <w:rStyle w:val="IndexLink"/>
              </w:rPr>
              <w:t>267</w:t>
            </w:r>
          </w:hyperlink>
        </w:p>
        <w:p>
          <w:pPr>
            <w:pStyle w:val="Contents6"/>
            <w:tabs>
              <w:tab w:val="clear" w:pos="7609"/>
              <w:tab w:val="right" w:pos="9026" w:leader="dot"/>
            </w:tabs>
            <w:rPr/>
          </w:pPr>
          <w:hyperlink w:anchor="__RefHeading___Toc5370017_1280447820">
            <w:r>
              <w:rPr>
                <w:webHidden/>
                <w:rStyle w:val="IndexLink"/>
                <w:rtl w:val="true"/>
              </w:rPr>
              <w:t>(</w:t>
            </w:r>
            <w:r>
              <w:rPr>
                <w:rStyle w:val="IndexLink"/>
              </w:rPr>
              <w:t>1</w:t>
            </w:r>
            <w:r>
              <w:rPr>
                <w:rStyle w:val="IndexLink"/>
                <w:rtl w:val="true"/>
              </w:rPr>
              <w:t>شهودٌ محيطون بأعمال الناس</w:t>
            </w:r>
            <w:r>
              <w:rPr>
                <w:rStyle w:val="IndexLink"/>
                <w:rtl w:val="true"/>
              </w:rPr>
              <w:t>.</w:t>
              <w:tab/>
            </w:r>
            <w:r>
              <w:rPr>
                <w:rStyle w:val="IndexLink"/>
              </w:rPr>
              <w:t>267</w:t>
            </w:r>
          </w:hyperlink>
        </w:p>
        <w:p>
          <w:pPr>
            <w:pStyle w:val="Contents6"/>
            <w:tabs>
              <w:tab w:val="clear" w:pos="7609"/>
              <w:tab w:val="right" w:pos="9026" w:leader="dot"/>
            </w:tabs>
            <w:rPr/>
          </w:pPr>
          <w:hyperlink w:anchor="__RefHeading___Toc5370019_1280447820">
            <w:r>
              <w:rPr>
                <w:webHidden/>
                <w:rStyle w:val="IndexLink"/>
              </w:rPr>
              <w:t>2</w:t>
            </w:r>
            <w:r>
              <w:rPr>
                <w:rStyle w:val="IndexLink"/>
                <w:rtl w:val="true"/>
              </w:rPr>
              <w:t xml:space="preserve">) </w:t>
            </w:r>
            <w:r>
              <w:rPr>
                <w:rStyle w:val="IndexLink"/>
                <w:rtl w:val="true"/>
              </w:rPr>
              <w:t>أعضاء بدن الإنسان وجوارحه</w:t>
            </w:r>
            <w:r>
              <w:rPr>
                <w:rStyle w:val="IndexLink"/>
                <w:rtl w:val="true"/>
              </w:rPr>
              <w:t>.</w:t>
              <w:tab/>
            </w:r>
            <w:r>
              <w:rPr>
                <w:rStyle w:val="IndexLink"/>
              </w:rPr>
              <w:t>268</w:t>
            </w:r>
          </w:hyperlink>
        </w:p>
        <w:p>
          <w:pPr>
            <w:pStyle w:val="Contents6"/>
            <w:tabs>
              <w:tab w:val="clear" w:pos="7609"/>
              <w:tab w:val="right" w:pos="9026" w:leader="dot"/>
            </w:tabs>
            <w:rPr/>
          </w:pPr>
          <w:hyperlink w:anchor="__RefHeading___Toc5370021_1280447820">
            <w:r>
              <w:rPr>
                <w:webHidden/>
                <w:rStyle w:val="IndexLink"/>
                <w:rtl w:val="true"/>
              </w:rPr>
              <w:t>رابعاً</w:t>
            </w:r>
            <w:r>
              <w:rPr>
                <w:rStyle w:val="IndexLink"/>
                <w:rtl w:val="true"/>
              </w:rPr>
              <w:t xml:space="preserve">: </w:t>
            </w:r>
            <w:r>
              <w:rPr>
                <w:rStyle w:val="IndexLink"/>
                <w:rtl w:val="true"/>
              </w:rPr>
              <w:t>تجسّم الأعمال</w:t>
            </w:r>
            <w:r>
              <w:rPr>
                <w:rStyle w:val="IndexLink"/>
                <w:rtl w:val="true"/>
              </w:rPr>
              <w:t>:</w:t>
              <w:tab/>
            </w:r>
            <w:r>
              <w:rPr>
                <w:rStyle w:val="IndexLink"/>
              </w:rPr>
              <w:t>269</w:t>
            </w:r>
          </w:hyperlink>
        </w:p>
        <w:p>
          <w:pPr>
            <w:pStyle w:val="Contents4"/>
            <w:tabs>
              <w:tab w:val="clear" w:pos="8176"/>
              <w:tab w:val="right" w:pos="9026" w:leader="dot"/>
            </w:tabs>
            <w:rPr/>
          </w:pPr>
          <w:hyperlink w:anchor="__RefHeading___Toc5370023_1280447820">
            <w:r>
              <w:rPr>
                <w:webHidden/>
                <w:rStyle w:val="IndexLink"/>
                <w:rtl w:val="true"/>
              </w:rPr>
              <w:t>المنزل السادس</w:t>
            </w:r>
            <w:r>
              <w:rPr>
                <w:rStyle w:val="IndexLink"/>
                <w:rtl w:val="true"/>
              </w:rPr>
              <w:t xml:space="preserve">: </w:t>
            </w:r>
            <w:r>
              <w:rPr>
                <w:rStyle w:val="IndexLink"/>
                <w:rtl w:val="true"/>
              </w:rPr>
              <w:t>الصّراط</w:t>
            </w:r>
            <w:r>
              <w:rPr>
                <w:rStyle w:val="IndexLink"/>
                <w:rtl w:val="true"/>
              </w:rPr>
              <w:t>:</w:t>
              <w:tab/>
            </w:r>
            <w:r>
              <w:rPr>
                <w:rStyle w:val="IndexLink"/>
              </w:rPr>
              <w:t>271</w:t>
            </w:r>
          </w:hyperlink>
        </w:p>
        <w:p>
          <w:pPr>
            <w:pStyle w:val="Contents4"/>
            <w:tabs>
              <w:tab w:val="clear" w:pos="8176"/>
              <w:tab w:val="right" w:pos="9026" w:leader="dot"/>
            </w:tabs>
            <w:rPr/>
          </w:pPr>
          <w:hyperlink w:anchor="__RefHeading___Toc5370025_1280447820">
            <w:r>
              <w:rPr>
                <w:webHidden/>
                <w:rStyle w:val="IndexLink"/>
                <w:rtl w:val="true"/>
              </w:rPr>
              <w:t>المنزل السابع</w:t>
            </w:r>
            <w:r>
              <w:rPr>
                <w:rStyle w:val="IndexLink"/>
                <w:rtl w:val="true"/>
              </w:rPr>
              <w:t xml:space="preserve">: </w:t>
            </w:r>
            <w:r>
              <w:rPr>
                <w:rStyle w:val="IndexLink"/>
                <w:rtl w:val="true"/>
              </w:rPr>
              <w:t xml:space="preserve">الجنّة وجهنّم والأعراف </w:t>
            </w:r>
            <w:r>
              <w:rPr>
                <w:rStyle w:val="IndexLink"/>
                <w:rtl w:val="true"/>
              </w:rPr>
              <w:t>:</w:t>
              <w:tab/>
            </w:r>
            <w:r>
              <w:rPr>
                <w:rStyle w:val="IndexLink"/>
              </w:rPr>
              <w:t>272</w:t>
            </w:r>
          </w:hyperlink>
        </w:p>
        <w:p>
          <w:pPr>
            <w:pStyle w:val="Contents5"/>
            <w:tabs>
              <w:tab w:val="clear" w:pos="7892"/>
              <w:tab w:val="right" w:pos="9026" w:leader="dot"/>
            </w:tabs>
            <w:rPr/>
          </w:pPr>
          <w:hyperlink w:anchor="__RefHeading___Toc5370027_1280447820">
            <w:r>
              <w:rPr>
                <w:webHidden/>
                <w:rStyle w:val="IndexLink"/>
                <w:rtl w:val="true"/>
              </w:rPr>
              <w:t>إشارة</w:t>
            </w:r>
            <w:r>
              <w:rPr>
                <w:rStyle w:val="IndexLink"/>
                <w:rtl w:val="true"/>
              </w:rPr>
              <w:tab/>
            </w:r>
            <w:r>
              <w:rPr>
                <w:rStyle w:val="IndexLink"/>
              </w:rPr>
              <w:t>272</w:t>
            </w:r>
          </w:hyperlink>
        </w:p>
        <w:p>
          <w:pPr>
            <w:pStyle w:val="Contents5"/>
            <w:tabs>
              <w:tab w:val="clear" w:pos="7892"/>
              <w:tab w:val="right" w:pos="9026" w:leader="dot"/>
            </w:tabs>
            <w:rPr/>
          </w:pPr>
          <w:hyperlink w:anchor="__RefHeading___Toc5370029_1280447820">
            <w:r>
              <w:rPr>
                <w:webHidden/>
                <w:rStyle w:val="IndexLink"/>
                <w:rtl w:val="true"/>
              </w:rPr>
              <w:t>أوّلاً</w:t>
            </w:r>
            <w:r>
              <w:rPr>
                <w:rStyle w:val="IndexLink"/>
                <w:rtl w:val="true"/>
              </w:rPr>
              <w:t xml:space="preserve">: </w:t>
            </w:r>
            <w:r>
              <w:rPr>
                <w:rStyle w:val="IndexLink"/>
                <w:rtl w:val="true"/>
              </w:rPr>
              <w:t>الآيات التي تحدثت عن جهنّم الأبدية</w:t>
            </w:r>
            <w:r>
              <w:rPr>
                <w:rStyle w:val="IndexLink"/>
                <w:rtl w:val="true"/>
              </w:rPr>
              <w:tab/>
            </w:r>
            <w:r>
              <w:rPr>
                <w:rStyle w:val="IndexLink"/>
              </w:rPr>
              <w:t>273</w:t>
            </w:r>
          </w:hyperlink>
        </w:p>
        <w:p>
          <w:pPr>
            <w:pStyle w:val="Contents5"/>
            <w:tabs>
              <w:tab w:val="clear" w:pos="7892"/>
              <w:tab w:val="right" w:pos="9026" w:leader="dot"/>
            </w:tabs>
            <w:rPr/>
          </w:pPr>
          <w:hyperlink w:anchor="__RefHeading___Toc5370031_1280447820">
            <w:r>
              <w:rPr>
                <w:webHidden/>
                <w:rStyle w:val="IndexLink"/>
                <w:rtl w:val="true"/>
              </w:rPr>
              <w:t>ثانياً</w:t>
            </w:r>
            <w:r>
              <w:rPr>
                <w:rStyle w:val="IndexLink"/>
                <w:rtl w:val="true"/>
              </w:rPr>
              <w:t xml:space="preserve">: </w:t>
            </w:r>
            <w:r>
              <w:rPr>
                <w:rStyle w:val="IndexLink"/>
                <w:rtl w:val="true"/>
              </w:rPr>
              <w:t>الآيات التي تحدّثت عن الجنّة الأبدية</w:t>
            </w:r>
            <w:r>
              <w:rPr>
                <w:rStyle w:val="IndexLink"/>
                <w:rtl w:val="true"/>
              </w:rPr>
              <w:t>:</w:t>
              <w:tab/>
            </w:r>
            <w:r>
              <w:rPr>
                <w:rStyle w:val="IndexLink"/>
              </w:rPr>
              <w:t>279</w:t>
            </w:r>
          </w:hyperlink>
        </w:p>
        <w:p>
          <w:pPr>
            <w:pStyle w:val="Contents6"/>
            <w:tabs>
              <w:tab w:val="clear" w:pos="7609"/>
              <w:tab w:val="right" w:pos="9026" w:leader="dot"/>
            </w:tabs>
            <w:rPr/>
          </w:pPr>
          <w:hyperlink w:anchor="__RefHeading___Toc5370033_1280447820">
            <w:r>
              <w:rPr>
                <w:webHidden/>
                <w:rStyle w:val="IndexLink"/>
                <w:rtl w:val="true"/>
              </w:rPr>
              <w:t>إشارة</w:t>
            </w:r>
            <w:r>
              <w:rPr>
                <w:rStyle w:val="IndexLink"/>
                <w:rtl w:val="true"/>
              </w:rPr>
              <w:tab/>
            </w:r>
            <w:r>
              <w:rPr>
                <w:rStyle w:val="IndexLink"/>
              </w:rPr>
              <w:t>279</w:t>
            </w:r>
          </w:hyperlink>
        </w:p>
        <w:p>
          <w:pPr>
            <w:pStyle w:val="Contents6"/>
            <w:tabs>
              <w:tab w:val="clear" w:pos="7609"/>
              <w:tab w:val="right" w:pos="9026" w:leader="dot"/>
            </w:tabs>
            <w:rPr/>
          </w:pPr>
          <w:hyperlink w:anchor="__RefHeading___Toc5370035_1280447820">
            <w:r>
              <w:rPr>
                <w:webHidden/>
                <w:rStyle w:val="IndexLink"/>
              </w:rPr>
              <w:t>1</w:t>
            </w:r>
            <w:r>
              <w:rPr>
                <w:rStyle w:val="IndexLink"/>
                <w:rtl w:val="true"/>
              </w:rPr>
              <w:t xml:space="preserve">) </w:t>
            </w:r>
            <w:r>
              <w:rPr>
                <w:rStyle w:val="IndexLink"/>
                <w:rtl w:val="true"/>
              </w:rPr>
              <w:t xml:space="preserve">وصف الجنة </w:t>
            </w:r>
            <w:r>
              <w:rPr>
                <w:rStyle w:val="IndexLink"/>
                <w:rtl w:val="true"/>
              </w:rPr>
              <w:t>(</w:t>
            </w:r>
            <w:r>
              <w:rPr>
                <w:rStyle w:val="IndexLink"/>
                <w:rtl w:val="true"/>
              </w:rPr>
              <w:t>طبيعتها وهيئتها</w:t>
            </w:r>
            <w:r>
              <w:rPr>
                <w:rStyle w:val="IndexLink"/>
                <w:rtl w:val="true"/>
              </w:rPr>
              <w:t>):</w:t>
              <w:tab/>
            </w:r>
            <w:r>
              <w:rPr>
                <w:rStyle w:val="IndexLink"/>
              </w:rPr>
              <w:t>279</w:t>
            </w:r>
          </w:hyperlink>
        </w:p>
        <w:p>
          <w:pPr>
            <w:pStyle w:val="Contents6"/>
            <w:tabs>
              <w:tab w:val="clear" w:pos="7609"/>
              <w:tab w:val="right" w:pos="9026" w:leader="dot"/>
            </w:tabs>
            <w:rPr/>
          </w:pPr>
          <w:hyperlink w:anchor="__RefHeading___Toc5370037_1280447820">
            <w:r>
              <w:rPr>
                <w:webHidden/>
                <w:rStyle w:val="IndexLink"/>
              </w:rPr>
              <w:t>2</w:t>
            </w:r>
            <w:r>
              <w:rPr>
                <w:rStyle w:val="IndexLink"/>
                <w:rtl w:val="true"/>
              </w:rPr>
              <w:t xml:space="preserve">) </w:t>
            </w:r>
            <w:r>
              <w:rPr>
                <w:rStyle w:val="IndexLink"/>
                <w:rtl w:val="true"/>
              </w:rPr>
              <w:t>النّعم الجسمانية والمعنوية التي سينالها المخلّدون في الجنّة</w:t>
            </w:r>
            <w:r>
              <w:rPr>
                <w:rStyle w:val="IndexLink"/>
                <w:rtl w:val="true"/>
              </w:rPr>
              <w:t>:</w:t>
              <w:tab/>
            </w:r>
            <w:r>
              <w:rPr>
                <w:rStyle w:val="IndexLink"/>
              </w:rPr>
              <w:t>280</w:t>
            </w:r>
          </w:hyperlink>
        </w:p>
        <w:p>
          <w:pPr>
            <w:pStyle w:val="Contents6"/>
            <w:tabs>
              <w:tab w:val="clear" w:pos="7609"/>
              <w:tab w:val="right" w:pos="9026" w:leader="dot"/>
            </w:tabs>
            <w:rPr/>
          </w:pPr>
          <w:hyperlink w:anchor="__RefHeading___Toc5370039_1280447820">
            <w:r>
              <w:rPr>
                <w:webHidden/>
                <w:rStyle w:val="IndexLink"/>
              </w:rPr>
              <w:t>3</w:t>
            </w:r>
            <w:r>
              <w:rPr>
                <w:rStyle w:val="IndexLink"/>
                <w:rtl w:val="true"/>
              </w:rPr>
              <w:t>)</w:t>
            </w:r>
            <w:r>
              <w:rPr>
                <w:rStyle w:val="IndexLink"/>
                <w:rtl w:val="true"/>
              </w:rPr>
              <w:t xml:space="preserve">الشروط اللازم توفّرها لدخول جنّة الخلد </w:t>
            </w:r>
            <w:r>
              <w:rPr>
                <w:rStyle w:val="IndexLink"/>
                <w:rtl w:val="true"/>
              </w:rPr>
              <w:t>:</w:t>
              <w:tab/>
            </w:r>
            <w:r>
              <w:rPr>
                <w:rStyle w:val="IndexLink"/>
              </w:rPr>
              <w:t>283</w:t>
            </w:r>
          </w:hyperlink>
        </w:p>
        <w:p>
          <w:pPr>
            <w:pStyle w:val="Contents5"/>
            <w:tabs>
              <w:tab w:val="clear" w:pos="7892"/>
              <w:tab w:val="right" w:pos="9026" w:leader="dot"/>
            </w:tabs>
            <w:rPr/>
          </w:pPr>
          <w:hyperlink w:anchor="__RefHeading___Toc5370041_1280447820">
            <w:r>
              <w:rPr>
                <w:webHidden/>
                <w:rStyle w:val="IndexLink"/>
                <w:rtl w:val="true"/>
              </w:rPr>
              <w:t>ثالثاً</w:t>
            </w:r>
            <w:r>
              <w:rPr>
                <w:rStyle w:val="IndexLink"/>
                <w:rtl w:val="true"/>
              </w:rPr>
              <w:t xml:space="preserve">: </w:t>
            </w:r>
            <w:r>
              <w:rPr>
                <w:rStyle w:val="IndexLink"/>
                <w:rtl w:val="true"/>
              </w:rPr>
              <w:t>الأعراف</w:t>
            </w:r>
            <w:r>
              <w:rPr>
                <w:rStyle w:val="IndexLink"/>
                <w:rtl w:val="true"/>
              </w:rPr>
              <w:t>:</w:t>
              <w:tab/>
            </w:r>
            <w:r>
              <w:rPr>
                <w:rStyle w:val="IndexLink"/>
              </w:rPr>
              <w:t>285</w:t>
            </w:r>
          </w:hyperlink>
        </w:p>
        <w:p>
          <w:pPr>
            <w:pStyle w:val="Contents3"/>
            <w:tabs>
              <w:tab w:val="clear" w:pos="8459"/>
              <w:tab w:val="right" w:pos="9026" w:leader="dot"/>
            </w:tabs>
            <w:rPr/>
          </w:pPr>
          <w:hyperlink w:anchor="__RefHeading___Toc5370043_1280447820">
            <w:r>
              <w:rPr>
                <w:webHidden/>
                <w:rStyle w:val="IndexLink"/>
              </w:rPr>
              <w:t>40</w:t>
            </w:r>
            <w:r>
              <w:rPr>
                <w:rStyle w:val="IndexLink"/>
                <w:rtl w:val="true"/>
              </w:rPr>
              <w:t>.</w:t>
            </w:r>
            <w:r>
              <w:rPr>
                <w:rStyle w:val="IndexLink"/>
                <w:rtl w:val="true"/>
              </w:rPr>
              <w:t xml:space="preserve">الرجعة </w:t>
            </w:r>
            <w:r>
              <w:rPr>
                <w:rStyle w:val="IndexLink"/>
                <w:rtl w:val="true"/>
              </w:rPr>
              <w:t>:</w:t>
              <w:tab/>
            </w:r>
            <w:r>
              <w:rPr>
                <w:rStyle w:val="IndexLink"/>
              </w:rPr>
              <w:t>286</w:t>
            </w:r>
          </w:hyperlink>
        </w:p>
        <w:p>
          <w:pPr>
            <w:pStyle w:val="Contents4"/>
            <w:tabs>
              <w:tab w:val="clear" w:pos="8176"/>
              <w:tab w:val="right" w:pos="9026" w:leader="dot"/>
            </w:tabs>
            <w:rPr/>
          </w:pPr>
          <w:hyperlink w:anchor="__RefHeading___Toc5370045_1280447820">
            <w:r>
              <w:rPr>
                <w:webHidden/>
                <w:rStyle w:val="IndexLink"/>
                <w:rtl w:val="true"/>
              </w:rPr>
              <w:t>إشارة</w:t>
            </w:r>
            <w:r>
              <w:rPr>
                <w:rStyle w:val="IndexLink"/>
                <w:rtl w:val="true"/>
              </w:rPr>
              <w:tab/>
            </w:r>
            <w:r>
              <w:rPr>
                <w:rStyle w:val="IndexLink"/>
              </w:rPr>
              <w:t>286</w:t>
            </w:r>
          </w:hyperlink>
        </w:p>
        <w:p>
          <w:pPr>
            <w:pStyle w:val="Contents4"/>
            <w:tabs>
              <w:tab w:val="clear" w:pos="8176"/>
              <w:tab w:val="right" w:pos="9026" w:leader="dot"/>
            </w:tabs>
            <w:rPr/>
          </w:pPr>
          <w:hyperlink w:anchor="__RefHeading___Toc5370047_1280447820">
            <w:r>
              <w:rPr>
                <w:webHidden/>
                <w:rStyle w:val="IndexLink"/>
                <w:rtl w:val="true"/>
              </w:rPr>
              <w:t xml:space="preserve">- </w:t>
            </w:r>
            <w:r>
              <w:rPr>
                <w:rStyle w:val="IndexLink"/>
                <w:rtl w:val="true"/>
              </w:rPr>
              <w:t xml:space="preserve">معنى الرجعة </w:t>
            </w:r>
            <w:r>
              <w:rPr>
                <w:rStyle w:val="IndexLink"/>
                <w:rtl w:val="true"/>
              </w:rPr>
              <w:t>:</w:t>
              <w:tab/>
            </w:r>
            <w:r>
              <w:rPr>
                <w:rStyle w:val="IndexLink"/>
              </w:rPr>
              <w:t>286</w:t>
            </w:r>
          </w:hyperlink>
        </w:p>
        <w:p>
          <w:pPr>
            <w:pStyle w:val="Contents5"/>
            <w:tabs>
              <w:tab w:val="clear" w:pos="7892"/>
              <w:tab w:val="right" w:pos="9026" w:leader="dot"/>
            </w:tabs>
            <w:rPr/>
          </w:pPr>
          <w:hyperlink w:anchor="__RefHeading___Toc5370049_1280447820">
            <w:r>
              <w:rPr>
                <w:webHidden/>
                <w:rStyle w:val="IndexLink"/>
                <w:rtl w:val="true"/>
              </w:rPr>
              <w:t>أوّلاً</w:t>
            </w:r>
            <w:r>
              <w:rPr>
                <w:rStyle w:val="IndexLink"/>
                <w:rtl w:val="true"/>
              </w:rPr>
              <w:t xml:space="preserve">: </w:t>
            </w:r>
            <w:r>
              <w:rPr>
                <w:rStyle w:val="IndexLink"/>
                <w:rtl w:val="true"/>
              </w:rPr>
              <w:t xml:space="preserve">المعنى اللغوي </w:t>
            </w:r>
            <w:r>
              <w:rPr>
                <w:rStyle w:val="IndexLink"/>
                <w:rtl w:val="true"/>
              </w:rPr>
              <w:t>:</w:t>
              <w:tab/>
            </w:r>
            <w:r>
              <w:rPr>
                <w:rStyle w:val="IndexLink"/>
              </w:rPr>
              <w:t>286</w:t>
            </w:r>
          </w:hyperlink>
        </w:p>
        <w:p>
          <w:pPr>
            <w:pStyle w:val="Contents5"/>
            <w:tabs>
              <w:tab w:val="clear" w:pos="7892"/>
              <w:tab w:val="right" w:pos="9026" w:leader="dot"/>
            </w:tabs>
            <w:rPr/>
          </w:pPr>
          <w:hyperlink w:anchor="__RefHeading___Toc5370051_1280447820">
            <w:r>
              <w:rPr>
                <w:webHidden/>
                <w:rStyle w:val="IndexLink"/>
                <w:rtl w:val="true"/>
              </w:rPr>
              <w:t>ثانياً</w:t>
            </w:r>
            <w:r>
              <w:rPr>
                <w:rStyle w:val="IndexLink"/>
                <w:rtl w:val="true"/>
              </w:rPr>
              <w:t xml:space="preserve">: </w:t>
            </w:r>
            <w:r>
              <w:rPr>
                <w:rStyle w:val="IndexLink"/>
                <w:rtl w:val="true"/>
              </w:rPr>
              <w:t xml:space="preserve">المعنى الاصطلاحي </w:t>
            </w:r>
            <w:r>
              <w:rPr>
                <w:rStyle w:val="IndexLink"/>
                <w:rtl w:val="true"/>
              </w:rPr>
              <w:t>:</w:t>
              <w:tab/>
            </w:r>
            <w:r>
              <w:rPr>
                <w:rStyle w:val="IndexLink"/>
              </w:rPr>
              <w:t>287</w:t>
            </w:r>
          </w:hyperlink>
        </w:p>
        <w:p>
          <w:pPr>
            <w:pStyle w:val="Contents4"/>
            <w:tabs>
              <w:tab w:val="clear" w:pos="8176"/>
              <w:tab w:val="right" w:pos="9026" w:leader="dot"/>
            </w:tabs>
            <w:rPr/>
          </w:pPr>
          <w:hyperlink w:anchor="__RefHeading___Toc5370053_1280447820">
            <w:r>
              <w:rPr>
                <w:webHidden/>
                <w:rStyle w:val="IndexLink"/>
                <w:rtl w:val="true"/>
              </w:rPr>
              <w:t xml:space="preserve">- </w:t>
            </w:r>
            <w:r>
              <w:rPr>
                <w:rStyle w:val="IndexLink"/>
                <w:rtl w:val="true"/>
              </w:rPr>
              <w:t xml:space="preserve">معارضو الرجعة </w:t>
            </w:r>
            <w:r>
              <w:rPr>
                <w:rStyle w:val="IndexLink"/>
                <w:rtl w:val="true"/>
              </w:rPr>
              <w:t>:</w:t>
              <w:tab/>
            </w:r>
            <w:r>
              <w:rPr>
                <w:rStyle w:val="IndexLink"/>
              </w:rPr>
              <w:t>287</w:t>
            </w:r>
          </w:hyperlink>
        </w:p>
        <w:p>
          <w:pPr>
            <w:pStyle w:val="Contents4"/>
            <w:tabs>
              <w:tab w:val="clear" w:pos="8176"/>
              <w:tab w:val="right" w:pos="9026" w:leader="dot"/>
            </w:tabs>
            <w:rPr/>
          </w:pPr>
          <w:hyperlink w:anchor="__RefHeading___Toc5370055_1280447820">
            <w:r>
              <w:rPr>
                <w:webHidden/>
                <w:rStyle w:val="IndexLink"/>
                <w:rtl w:val="true"/>
              </w:rPr>
              <w:t xml:space="preserve">- </w:t>
            </w:r>
            <w:r>
              <w:rPr>
                <w:rStyle w:val="IndexLink"/>
                <w:rtl w:val="true"/>
              </w:rPr>
              <w:t xml:space="preserve">إمكانية تحقّق الرجعة </w:t>
            </w:r>
            <w:r>
              <w:rPr>
                <w:rStyle w:val="IndexLink"/>
                <w:rtl w:val="true"/>
              </w:rPr>
              <w:t>:</w:t>
              <w:tab/>
            </w:r>
            <w:r>
              <w:rPr>
                <w:rStyle w:val="IndexLink"/>
              </w:rPr>
              <w:t>289</w:t>
            </w:r>
          </w:hyperlink>
        </w:p>
        <w:p>
          <w:pPr>
            <w:pStyle w:val="Contents4"/>
            <w:tabs>
              <w:tab w:val="clear" w:pos="8176"/>
              <w:tab w:val="right" w:pos="9026" w:leader="dot"/>
            </w:tabs>
            <w:rPr/>
          </w:pPr>
          <w:hyperlink w:anchor="__RefHeading___Toc5370057_1280447820">
            <w:r>
              <w:rPr>
                <w:webHidden/>
                <w:rStyle w:val="IndexLink"/>
                <w:rtl w:val="true"/>
              </w:rPr>
              <w:t xml:space="preserve">- </w:t>
            </w:r>
            <w:r>
              <w:rPr>
                <w:rStyle w:val="IndexLink"/>
                <w:rtl w:val="true"/>
              </w:rPr>
              <w:t xml:space="preserve">إثبات تحقّق الرجعة </w:t>
            </w:r>
            <w:r>
              <w:rPr>
                <w:rStyle w:val="IndexLink"/>
                <w:rtl w:val="true"/>
              </w:rPr>
              <w:t>:</w:t>
              <w:tab/>
            </w:r>
            <w:r>
              <w:rPr>
                <w:rStyle w:val="IndexLink"/>
              </w:rPr>
              <w:t>290</w:t>
            </w:r>
          </w:hyperlink>
        </w:p>
        <w:p>
          <w:pPr>
            <w:pStyle w:val="Contents4"/>
            <w:tabs>
              <w:tab w:val="clear" w:pos="8176"/>
              <w:tab w:val="right" w:pos="9026" w:leader="dot"/>
            </w:tabs>
            <w:rPr/>
          </w:pPr>
          <w:hyperlink w:anchor="__RefHeading___Toc5370059_1280447820">
            <w:r>
              <w:rPr>
                <w:webHidden/>
                <w:rStyle w:val="IndexLink"/>
                <w:rtl w:val="true"/>
              </w:rPr>
              <w:t>-</w:t>
            </w:r>
            <w:r>
              <w:rPr>
                <w:rStyle w:val="IndexLink"/>
                <w:rtl w:val="true"/>
              </w:rPr>
              <w:t xml:space="preserve">أهل الرجعة </w:t>
            </w:r>
            <w:r>
              <w:rPr>
                <w:rStyle w:val="IndexLink"/>
                <w:rtl w:val="true"/>
              </w:rPr>
              <w:t>:</w:t>
              <w:tab/>
            </w:r>
            <w:r>
              <w:rPr>
                <w:rStyle w:val="IndexLink"/>
              </w:rPr>
              <w:t>294</w:t>
            </w:r>
          </w:hyperlink>
        </w:p>
        <w:p>
          <w:pPr>
            <w:pStyle w:val="Contents4"/>
            <w:tabs>
              <w:tab w:val="clear" w:pos="8176"/>
              <w:tab w:val="right" w:pos="9026" w:leader="dot"/>
            </w:tabs>
            <w:rPr/>
          </w:pPr>
          <w:hyperlink w:anchor="__RefHeading___Toc5370061_1280447820">
            <w:r>
              <w:rPr>
                <w:webHidden/>
                <w:rStyle w:val="IndexLink"/>
                <w:rtl w:val="true"/>
              </w:rPr>
              <w:t xml:space="preserve">- </w:t>
            </w:r>
            <w:r>
              <w:rPr>
                <w:rStyle w:val="IndexLink"/>
                <w:rtl w:val="true"/>
              </w:rPr>
              <w:t xml:space="preserve">الهدف من الرجعة </w:t>
            </w:r>
            <w:r>
              <w:rPr>
                <w:rStyle w:val="IndexLink"/>
                <w:rtl w:val="true"/>
              </w:rPr>
              <w:t>:</w:t>
              <w:tab/>
            </w:r>
            <w:r>
              <w:rPr>
                <w:rStyle w:val="IndexLink"/>
              </w:rPr>
              <w:t>296</w:t>
            </w:r>
          </w:hyperlink>
        </w:p>
        <w:p>
          <w:pPr>
            <w:pStyle w:val="Contents4"/>
            <w:tabs>
              <w:tab w:val="clear" w:pos="8176"/>
              <w:tab w:val="right" w:pos="9026" w:leader="dot"/>
            </w:tabs>
            <w:rPr/>
          </w:pPr>
          <w:hyperlink w:anchor="__RefHeading___Toc5370063_1280447820">
            <w:r>
              <w:rPr>
                <w:webHidden/>
                <w:rStyle w:val="IndexLink"/>
                <w:rtl w:val="true"/>
              </w:rPr>
              <w:t xml:space="preserve">- </w:t>
            </w:r>
            <w:r>
              <w:rPr>
                <w:rStyle w:val="IndexLink"/>
                <w:rtl w:val="true"/>
              </w:rPr>
              <w:t xml:space="preserve">الشبهات التي أثيرت حول الرجعة </w:t>
            </w:r>
            <w:r>
              <w:rPr>
                <w:rStyle w:val="IndexLink"/>
                <w:rtl w:val="true"/>
              </w:rPr>
              <w:t>:</w:t>
              <w:tab/>
            </w:r>
            <w:r>
              <w:rPr>
                <w:rStyle w:val="IndexLink"/>
              </w:rPr>
              <w:t>297</w:t>
            </w:r>
          </w:hyperlink>
        </w:p>
        <w:p>
          <w:pPr>
            <w:pStyle w:val="Contents5"/>
            <w:tabs>
              <w:tab w:val="clear" w:pos="7892"/>
              <w:tab w:val="right" w:pos="9026" w:leader="dot"/>
            </w:tabs>
            <w:rPr/>
          </w:pPr>
          <w:hyperlink w:anchor="__RefHeading___Toc5370065_1280447820">
            <w:r>
              <w:rPr>
                <w:webHidden/>
                <w:rStyle w:val="IndexLink"/>
                <w:rtl w:val="true"/>
              </w:rPr>
              <w:t>إشارة</w:t>
            </w:r>
            <w:r>
              <w:rPr>
                <w:rStyle w:val="IndexLink"/>
                <w:rtl w:val="true"/>
              </w:rPr>
              <w:tab/>
            </w:r>
            <w:r>
              <w:rPr>
                <w:rStyle w:val="IndexLink"/>
              </w:rPr>
              <w:t>297</w:t>
            </w:r>
          </w:hyperlink>
        </w:p>
        <w:p>
          <w:pPr>
            <w:pStyle w:val="Contents5"/>
            <w:tabs>
              <w:tab w:val="clear" w:pos="7892"/>
              <w:tab w:val="right" w:pos="9026" w:leader="dot"/>
            </w:tabs>
            <w:rPr/>
          </w:pPr>
          <w:hyperlink w:anchor="__RefHeading___Toc5370067_1280447820">
            <w:r>
              <w:rPr>
                <w:webHidden/>
                <w:rStyle w:val="IndexLink"/>
                <w:rtl w:val="true"/>
              </w:rPr>
              <w:t xml:space="preserve">* </w:t>
            </w:r>
            <w:r>
              <w:rPr>
                <w:rStyle w:val="IndexLink"/>
                <w:rtl w:val="true"/>
              </w:rPr>
              <w:t xml:space="preserve">الشبهة الأولى </w:t>
            </w:r>
            <w:r>
              <w:rPr>
                <w:rStyle w:val="IndexLink"/>
                <w:rtl w:val="true"/>
              </w:rPr>
              <w:t xml:space="preserve">: </w:t>
            </w:r>
            <w:r>
              <w:rPr>
                <w:rStyle w:val="IndexLink"/>
                <w:rtl w:val="true"/>
              </w:rPr>
              <w:t xml:space="preserve">الرجعة ضربٌ من الإعجاز والإعجاز من مختصّات الأنبياء </w:t>
            </w:r>
            <w:r>
              <w:rPr>
                <w:rStyle w:val="IndexLink"/>
                <w:rtl w:val="true"/>
              </w:rPr>
              <w:t>(</w:t>
            </w:r>
            <w:r>
              <w:rPr>
                <w:rStyle w:val="IndexLink"/>
                <w:rtl w:val="true"/>
              </w:rPr>
              <w:t>علیهم السلام</w:t>
            </w:r>
            <w:r>
              <w:rPr>
                <w:rStyle w:val="IndexLink"/>
                <w:rtl w:val="true"/>
              </w:rPr>
              <w:t>):</w:t>
              <w:tab/>
            </w:r>
            <w:r>
              <w:rPr>
                <w:rStyle w:val="IndexLink"/>
              </w:rPr>
              <w:t>297</w:t>
            </w:r>
          </w:hyperlink>
        </w:p>
        <w:p>
          <w:pPr>
            <w:pStyle w:val="Contents6"/>
            <w:tabs>
              <w:tab w:val="clear" w:pos="7609"/>
              <w:tab w:val="right" w:pos="9026" w:leader="dot"/>
            </w:tabs>
            <w:rPr/>
          </w:pPr>
          <w:hyperlink w:anchor="__RefHeading___Toc5370069_1280447820">
            <w:r>
              <w:rPr>
                <w:webHidden/>
                <w:rStyle w:val="IndexLink"/>
                <w:rtl w:val="true"/>
              </w:rPr>
              <w:t>إشارة</w:t>
            </w:r>
            <w:r>
              <w:rPr>
                <w:rStyle w:val="IndexLink"/>
                <w:rtl w:val="true"/>
              </w:rPr>
              <w:tab/>
            </w:r>
            <w:r>
              <w:rPr>
                <w:rStyle w:val="IndexLink"/>
              </w:rPr>
              <w:t>297</w:t>
            </w:r>
          </w:hyperlink>
        </w:p>
        <w:p>
          <w:pPr>
            <w:pStyle w:val="Contents6"/>
            <w:tabs>
              <w:tab w:val="clear" w:pos="7609"/>
              <w:tab w:val="right" w:pos="9026" w:leader="dot"/>
            </w:tabs>
            <w:rPr/>
          </w:pPr>
          <w:hyperlink w:anchor="__RefHeading___Toc5370071_1280447820">
            <w:r>
              <w:rPr>
                <w:webHidden/>
                <w:rStyle w:val="IndexLink"/>
                <w:rtl w:val="true"/>
              </w:rPr>
              <w:t>-</w:t>
            </w:r>
            <w:r>
              <w:rPr>
                <w:rStyle w:val="IndexLink"/>
                <w:rtl w:val="true"/>
              </w:rPr>
              <w:t xml:space="preserve">تحليل الشبهة ونقضها </w:t>
            </w:r>
            <w:r>
              <w:rPr>
                <w:rStyle w:val="IndexLink"/>
                <w:rtl w:val="true"/>
              </w:rPr>
              <w:t>:</w:t>
              <w:tab/>
            </w:r>
            <w:r>
              <w:rPr>
                <w:rStyle w:val="IndexLink"/>
              </w:rPr>
              <w:t>297</w:t>
            </w:r>
          </w:hyperlink>
        </w:p>
        <w:p>
          <w:pPr>
            <w:pStyle w:val="Contents5"/>
            <w:tabs>
              <w:tab w:val="clear" w:pos="7892"/>
              <w:tab w:val="right" w:pos="9026" w:leader="dot"/>
            </w:tabs>
            <w:rPr/>
          </w:pPr>
          <w:hyperlink w:anchor="__RefHeading___Toc5370073_1280447820">
            <w:r>
              <w:rPr>
                <w:webHidden/>
                <w:rStyle w:val="IndexLink"/>
                <w:rtl w:val="true"/>
              </w:rPr>
              <w:t>*</w:t>
            </w:r>
            <w:r>
              <w:rPr>
                <w:rStyle w:val="IndexLink"/>
                <w:rtl w:val="true"/>
              </w:rPr>
              <w:t>الشبهة الثانية</w:t>
            </w:r>
            <w:r>
              <w:rPr>
                <w:rStyle w:val="IndexLink"/>
                <w:rtl w:val="true"/>
              </w:rPr>
              <w:t xml:space="preserve">: </w:t>
            </w:r>
            <w:r>
              <w:rPr>
                <w:rStyle w:val="IndexLink"/>
                <w:rtl w:val="true"/>
              </w:rPr>
              <w:t xml:space="preserve">الرجعة وازعٌ لارتكاب المعاصي </w:t>
            </w:r>
            <w:r>
              <w:rPr>
                <w:rStyle w:val="IndexLink"/>
                <w:rtl w:val="true"/>
              </w:rPr>
              <w:t>:</w:t>
              <w:tab/>
            </w:r>
            <w:r>
              <w:rPr>
                <w:rStyle w:val="IndexLink"/>
              </w:rPr>
              <w:t>297</w:t>
            </w:r>
          </w:hyperlink>
        </w:p>
        <w:p>
          <w:pPr>
            <w:pStyle w:val="Contents6"/>
            <w:tabs>
              <w:tab w:val="clear" w:pos="7609"/>
              <w:tab w:val="right" w:pos="9026" w:leader="dot"/>
            </w:tabs>
            <w:rPr/>
          </w:pPr>
          <w:hyperlink w:anchor="__RefHeading___Toc5370075_1280447820">
            <w:r>
              <w:rPr>
                <w:webHidden/>
                <w:rStyle w:val="IndexLink"/>
                <w:rtl w:val="true"/>
              </w:rPr>
              <w:t>إشارة</w:t>
            </w:r>
            <w:r>
              <w:rPr>
                <w:rStyle w:val="IndexLink"/>
                <w:rtl w:val="true"/>
              </w:rPr>
              <w:tab/>
            </w:r>
            <w:r>
              <w:rPr>
                <w:rStyle w:val="IndexLink"/>
              </w:rPr>
              <w:t>297</w:t>
            </w:r>
          </w:hyperlink>
        </w:p>
        <w:p>
          <w:pPr>
            <w:pStyle w:val="Contents6"/>
            <w:tabs>
              <w:tab w:val="clear" w:pos="7609"/>
              <w:tab w:val="right" w:pos="9026" w:leader="dot"/>
            </w:tabs>
            <w:rPr/>
          </w:pPr>
          <w:hyperlink w:anchor="__RefHeading___Toc5370077_1280447820">
            <w:r>
              <w:rPr>
                <w:webHidden/>
                <w:rStyle w:val="IndexLink"/>
                <w:rtl w:val="true"/>
              </w:rPr>
              <w:t>-</w:t>
            </w:r>
            <w:r>
              <w:rPr>
                <w:rStyle w:val="IndexLink"/>
                <w:rtl w:val="true"/>
              </w:rPr>
              <w:t xml:space="preserve">تحليل الشبهة ونقضها </w:t>
            </w:r>
            <w:r>
              <w:rPr>
                <w:rStyle w:val="IndexLink"/>
                <w:rtl w:val="true"/>
              </w:rPr>
              <w:t>:</w:t>
              <w:tab/>
            </w:r>
            <w:r>
              <w:rPr>
                <w:rStyle w:val="IndexLink"/>
              </w:rPr>
              <w:t>298</w:t>
            </w:r>
          </w:hyperlink>
        </w:p>
        <w:p>
          <w:pPr>
            <w:pStyle w:val="Contents5"/>
            <w:tabs>
              <w:tab w:val="clear" w:pos="7892"/>
              <w:tab w:val="right" w:pos="9026" w:leader="dot"/>
            </w:tabs>
            <w:rPr/>
          </w:pPr>
          <w:hyperlink w:anchor="__RefHeading___Toc5370079_1280447820">
            <w:r>
              <w:rPr>
                <w:webHidden/>
                <w:rStyle w:val="IndexLink"/>
                <w:rtl w:val="true"/>
              </w:rPr>
              <w:t xml:space="preserve">* </w:t>
            </w:r>
            <w:r>
              <w:rPr>
                <w:rStyle w:val="IndexLink"/>
                <w:rtl w:val="true"/>
              </w:rPr>
              <w:t>الشبهة الثالثة</w:t>
            </w:r>
            <w:r>
              <w:rPr>
                <w:rStyle w:val="IndexLink"/>
                <w:rtl w:val="true"/>
              </w:rPr>
              <w:t xml:space="preserve">: </w:t>
            </w:r>
            <w:r>
              <w:rPr>
                <w:rStyle w:val="IndexLink"/>
                <w:rtl w:val="true"/>
              </w:rPr>
              <w:t xml:space="preserve">الرجعة والتكليف </w:t>
            </w:r>
            <w:r>
              <w:rPr>
                <w:rStyle w:val="IndexLink"/>
                <w:rtl w:val="true"/>
              </w:rPr>
              <w:t>:</w:t>
              <w:tab/>
            </w:r>
            <w:r>
              <w:rPr>
                <w:rStyle w:val="IndexLink"/>
              </w:rPr>
              <w:t>299</w:t>
            </w:r>
          </w:hyperlink>
        </w:p>
        <w:p>
          <w:pPr>
            <w:pStyle w:val="Contents6"/>
            <w:tabs>
              <w:tab w:val="clear" w:pos="7609"/>
              <w:tab w:val="right" w:pos="9026" w:leader="dot"/>
            </w:tabs>
            <w:rPr/>
          </w:pPr>
          <w:hyperlink w:anchor="__RefHeading___Toc5370081_1280447820">
            <w:r>
              <w:rPr>
                <w:webHidden/>
                <w:rStyle w:val="IndexLink"/>
                <w:rtl w:val="true"/>
              </w:rPr>
              <w:t>إشارة</w:t>
            </w:r>
            <w:r>
              <w:rPr>
                <w:rStyle w:val="IndexLink"/>
                <w:rtl w:val="true"/>
              </w:rPr>
              <w:tab/>
            </w:r>
            <w:r>
              <w:rPr>
                <w:rStyle w:val="IndexLink"/>
              </w:rPr>
              <w:t>299</w:t>
            </w:r>
          </w:hyperlink>
        </w:p>
        <w:p>
          <w:pPr>
            <w:pStyle w:val="Contents6"/>
            <w:tabs>
              <w:tab w:val="clear" w:pos="7609"/>
              <w:tab w:val="right" w:pos="9026" w:leader="dot"/>
            </w:tabs>
            <w:rPr/>
          </w:pPr>
          <w:hyperlink w:anchor="__RefHeading___Toc5370083_1280447820">
            <w:r>
              <w:rPr>
                <w:webHidden/>
                <w:rStyle w:val="IndexLink"/>
                <w:rtl w:val="true"/>
              </w:rPr>
              <w:t xml:space="preserve">- </w:t>
            </w:r>
            <w:r>
              <w:rPr>
                <w:rStyle w:val="IndexLink"/>
                <w:rtl w:val="true"/>
              </w:rPr>
              <w:t xml:space="preserve">تحليل الشبهة ونقضها </w:t>
            </w:r>
            <w:r>
              <w:rPr>
                <w:rStyle w:val="IndexLink"/>
                <w:rtl w:val="true"/>
              </w:rPr>
              <w:t>:</w:t>
              <w:tab/>
            </w:r>
            <w:r>
              <w:rPr>
                <w:rStyle w:val="IndexLink"/>
              </w:rPr>
              <w:t>299</w:t>
            </w:r>
          </w:hyperlink>
        </w:p>
        <w:p>
          <w:pPr>
            <w:pStyle w:val="Contents5"/>
            <w:tabs>
              <w:tab w:val="clear" w:pos="7892"/>
              <w:tab w:val="right" w:pos="9026" w:leader="dot"/>
            </w:tabs>
            <w:rPr/>
          </w:pPr>
          <w:hyperlink w:anchor="__RefHeading___Toc5370085_1280447820">
            <w:r>
              <w:rPr>
                <w:webHidden/>
                <w:rStyle w:val="IndexLink"/>
                <w:rtl w:val="true"/>
              </w:rPr>
              <w:t>*</w:t>
            </w:r>
            <w:r>
              <w:rPr>
                <w:rStyle w:val="IndexLink"/>
                <w:rtl w:val="true"/>
              </w:rPr>
              <w:t>الشبهة الرابعة</w:t>
            </w:r>
            <w:r>
              <w:rPr>
                <w:rStyle w:val="IndexLink"/>
                <w:rtl w:val="true"/>
              </w:rPr>
              <w:t xml:space="preserve">: </w:t>
            </w:r>
            <w:r>
              <w:rPr>
                <w:rStyle w:val="IndexLink"/>
                <w:rtl w:val="true"/>
              </w:rPr>
              <w:t xml:space="preserve">الرجعة والتوبة </w:t>
            </w:r>
            <w:r>
              <w:rPr>
                <w:rStyle w:val="IndexLink"/>
                <w:rtl w:val="true"/>
              </w:rPr>
              <w:t>:</w:t>
              <w:tab/>
            </w:r>
            <w:r>
              <w:rPr>
                <w:rStyle w:val="IndexLink"/>
              </w:rPr>
              <w:t>300</w:t>
            </w:r>
          </w:hyperlink>
        </w:p>
        <w:p>
          <w:pPr>
            <w:pStyle w:val="Contents6"/>
            <w:tabs>
              <w:tab w:val="clear" w:pos="7609"/>
              <w:tab w:val="right" w:pos="9026" w:leader="dot"/>
            </w:tabs>
            <w:rPr/>
          </w:pPr>
          <w:hyperlink w:anchor="__RefHeading___Toc5370087_1280447820">
            <w:r>
              <w:rPr>
                <w:webHidden/>
                <w:rStyle w:val="IndexLink"/>
                <w:rtl w:val="true"/>
              </w:rPr>
              <w:t>إشارة</w:t>
            </w:r>
            <w:r>
              <w:rPr>
                <w:rStyle w:val="IndexLink"/>
                <w:rtl w:val="true"/>
              </w:rPr>
              <w:tab/>
            </w:r>
            <w:r>
              <w:rPr>
                <w:rStyle w:val="IndexLink"/>
              </w:rPr>
              <w:t>300</w:t>
            </w:r>
          </w:hyperlink>
        </w:p>
        <w:p>
          <w:pPr>
            <w:pStyle w:val="Contents6"/>
            <w:tabs>
              <w:tab w:val="clear" w:pos="7609"/>
              <w:tab w:val="right" w:pos="9026" w:leader="dot"/>
            </w:tabs>
            <w:rPr/>
          </w:pPr>
          <w:hyperlink w:anchor="__RefHeading___Toc5370089_1280447820">
            <w:r>
              <w:rPr>
                <w:webHidden/>
                <w:rStyle w:val="IndexLink"/>
                <w:rtl w:val="true"/>
              </w:rPr>
              <w:t xml:space="preserve">- </w:t>
            </w:r>
            <w:r>
              <w:rPr>
                <w:rStyle w:val="IndexLink"/>
                <w:rtl w:val="true"/>
              </w:rPr>
              <w:t xml:space="preserve">تحليل الشبهة ونقضها </w:t>
            </w:r>
            <w:r>
              <w:rPr>
                <w:rStyle w:val="IndexLink"/>
                <w:rtl w:val="true"/>
              </w:rPr>
              <w:t>:</w:t>
              <w:tab/>
            </w:r>
            <w:r>
              <w:rPr>
                <w:rStyle w:val="IndexLink"/>
              </w:rPr>
              <w:t>300</w:t>
            </w:r>
          </w:hyperlink>
        </w:p>
        <w:p>
          <w:pPr>
            <w:pStyle w:val="Contents5"/>
            <w:tabs>
              <w:tab w:val="clear" w:pos="7892"/>
              <w:tab w:val="right" w:pos="9026" w:leader="dot"/>
            </w:tabs>
            <w:rPr/>
          </w:pPr>
          <w:hyperlink w:anchor="__RefHeading___Toc5370091_1280447820">
            <w:r>
              <w:rPr>
                <w:webHidden/>
                <w:rStyle w:val="IndexLink"/>
                <w:rtl w:val="true"/>
              </w:rPr>
              <w:t xml:space="preserve">* </w:t>
            </w:r>
            <w:r>
              <w:rPr>
                <w:rStyle w:val="IndexLink"/>
                <w:rtl w:val="true"/>
              </w:rPr>
              <w:t>الشبهة الخامسة</w:t>
            </w:r>
            <w:r>
              <w:rPr>
                <w:rStyle w:val="IndexLink"/>
                <w:rtl w:val="true"/>
              </w:rPr>
              <w:t xml:space="preserve">: </w:t>
            </w:r>
            <w:r>
              <w:rPr>
                <w:rStyle w:val="IndexLink"/>
                <w:rtl w:val="true"/>
              </w:rPr>
              <w:t xml:space="preserve">الرجعة والتناسخ </w:t>
            </w:r>
            <w:r>
              <w:rPr>
                <w:rStyle w:val="IndexLink"/>
                <w:rtl w:val="true"/>
              </w:rPr>
              <w:t>:</w:t>
              <w:tab/>
            </w:r>
            <w:r>
              <w:rPr>
                <w:rStyle w:val="IndexLink"/>
              </w:rPr>
              <w:t>301</w:t>
            </w:r>
          </w:hyperlink>
        </w:p>
        <w:p>
          <w:pPr>
            <w:pStyle w:val="Contents6"/>
            <w:tabs>
              <w:tab w:val="clear" w:pos="7609"/>
              <w:tab w:val="right" w:pos="9026" w:leader="dot"/>
            </w:tabs>
            <w:rPr/>
          </w:pPr>
          <w:hyperlink w:anchor="__RefHeading___Toc5370093_1280447820">
            <w:r>
              <w:rPr>
                <w:webHidden/>
                <w:rStyle w:val="IndexLink"/>
                <w:rtl w:val="true"/>
              </w:rPr>
              <w:t>إشارة</w:t>
            </w:r>
            <w:r>
              <w:rPr>
                <w:rStyle w:val="IndexLink"/>
                <w:rtl w:val="true"/>
              </w:rPr>
              <w:tab/>
            </w:r>
            <w:r>
              <w:rPr>
                <w:rStyle w:val="IndexLink"/>
              </w:rPr>
              <w:t>301</w:t>
            </w:r>
          </w:hyperlink>
        </w:p>
        <w:p>
          <w:pPr>
            <w:pStyle w:val="Contents6"/>
            <w:tabs>
              <w:tab w:val="clear" w:pos="7609"/>
              <w:tab w:val="right" w:pos="9026" w:leader="dot"/>
            </w:tabs>
            <w:rPr/>
          </w:pPr>
          <w:hyperlink w:anchor="__RefHeading___Toc5370095_1280447820">
            <w:r>
              <w:rPr>
                <w:webHidden/>
                <w:rStyle w:val="IndexLink"/>
                <w:rtl w:val="true"/>
              </w:rPr>
              <w:t xml:space="preserve">- </w:t>
            </w:r>
            <w:r>
              <w:rPr>
                <w:rStyle w:val="IndexLink"/>
                <w:rtl w:val="true"/>
              </w:rPr>
              <w:t xml:space="preserve">تحليل الشبهة ونقضها </w:t>
            </w:r>
            <w:r>
              <w:rPr>
                <w:rStyle w:val="IndexLink"/>
                <w:rtl w:val="true"/>
              </w:rPr>
              <w:t>:</w:t>
              <w:tab/>
            </w:r>
            <w:r>
              <w:rPr>
                <w:rStyle w:val="IndexLink"/>
              </w:rPr>
              <w:t>301</w:t>
            </w:r>
          </w:hyperlink>
        </w:p>
        <w:p>
          <w:pPr>
            <w:pStyle w:val="Contents5"/>
            <w:tabs>
              <w:tab w:val="clear" w:pos="7892"/>
              <w:tab w:val="right" w:pos="9026" w:leader="dot"/>
            </w:tabs>
            <w:rPr/>
          </w:pPr>
          <w:hyperlink w:anchor="__RefHeading___Toc5370097_1280447820">
            <w:r>
              <w:rPr>
                <w:webHidden/>
                <w:rStyle w:val="IndexLink"/>
                <w:rtl w:val="true"/>
              </w:rPr>
              <w:t>نتیجة البحث</w:t>
            </w:r>
            <w:r>
              <w:rPr>
                <w:rStyle w:val="IndexLink"/>
                <w:rtl w:val="true"/>
              </w:rPr>
              <w:t>:</w:t>
              <w:tab/>
            </w:r>
            <w:r>
              <w:rPr>
                <w:rStyle w:val="IndexLink"/>
              </w:rPr>
              <w:t>302</w:t>
            </w:r>
          </w:hyperlink>
        </w:p>
        <w:p>
          <w:pPr>
            <w:pStyle w:val="Contents2"/>
            <w:tabs>
              <w:tab w:val="clear" w:pos="8743"/>
              <w:tab w:val="right" w:pos="9026" w:leader="dot"/>
            </w:tabs>
            <w:rPr/>
          </w:pPr>
          <w:hyperlink w:anchor="__RefHeading___Toc5370099_1280447820">
            <w:r>
              <w:rPr>
                <w:webHidden/>
                <w:rStyle w:val="IndexLink"/>
                <w:rtl w:val="true"/>
              </w:rPr>
              <w:t>المصادر والمراجع</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8_219394"/>
      <w:bookmarkStart w:id="1" w:name="pg16298_219394"/>
      <w:bookmarkEnd w:id="1"/>
    </w:p>
    <w:p>
      <w:pPr>
        <w:pStyle w:val="Heading2"/>
        <w:numPr>
          <w:ilvl w:val="1"/>
          <w:numId w:val="1"/>
        </w:numPr>
        <w:rPr/>
      </w:pPr>
      <w:bookmarkStart w:id="2" w:name="pg16298_219394"/>
      <w:bookmarkStart w:id="3" w:name="__RefHeading___Toc5369565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خسروبناه، عبد الحسين 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الإسلامي المعاصر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كلامية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محمد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BP166 K46 2019</w:t>
      </w:r>
    </w:p>
    <w:p>
      <w:pPr>
        <w:pStyle w:val="BookText"/>
        <w:rPr/>
      </w:pPr>
      <w:r>
        <w:rPr>
          <w:rFonts w:ascii="Amiri" w:hAnsi="Amiri" w:eastAsia="Amiri" w:cs="Amiri"/>
          <w:color w:val="111111"/>
          <w:sz w:val="28"/>
          <w:sz w:val="28"/>
          <w:szCs w:val="28"/>
          <w:rtl w:val="true"/>
          <w:lang w:bidi="ar-SA"/>
        </w:rPr>
        <w:t>مركز الفهرسة ونظم المعلومات التابع لمكتبة ودار مخطوطات العتبة العباسية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6956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الكلام الإسلامي المعاصر</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خسرويناه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الواسطىّ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الكعبيّ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خسروبناه، عبد الحسين 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الإسلامي المعاصر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عبد الحسين خسروبناه ؛ ترجمة محمد حسين الواسطي، اسعد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المركز الإسلامي للدراسات الاستراتيجية،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سم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كلامية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يتضمن إرجاعات ببليوجرافية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محمد حسين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الكعبي، اسعد ،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LCC: BP166 K46 2019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الفهرسة ونظم المعلومات التابع لمكتبة ودار مخطوطات العتبة العباسية المقدسة </w:t>
      </w:r>
      <w:bookmarkStart w:id="7" w:name="pg16299_219398"/>
    </w:p>
    <w:p>
      <w:pPr>
        <w:pStyle w:val="Heading2"/>
        <w:numPr>
          <w:ilvl w:val="1"/>
          <w:numId w:val="1"/>
        </w:numPr>
        <w:rPr/>
      </w:pPr>
      <w:bookmarkStart w:id="8" w:name="__RefHeading___Toc5369569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الإمامة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المشتركة في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الإمامة التي انفردت بها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شرعيّة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تساؤلات رئيسية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 عبدالجبّار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العلّامة الحلّي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الإمامة على الله أو على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أهل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استدلال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أدلّة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العصمة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العصمة وسعة مفهومها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عصمة الأئمة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الإمام</w:t>
      </w:r>
      <w:r>
        <w:rPr>
          <w:rFonts w:eastAsia="IRNazanin" w:cs="IRNazanin"/>
          <w:color w:val="111111"/>
          <w:sz w:val="28"/>
          <w:szCs w:val="28"/>
          <w:rtl w:val="true"/>
          <w:lang w:bidi="fa-IR"/>
        </w:rPr>
        <w:t>.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براهين علم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نطاق علم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علم الإمام</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أفضلية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أفضلية الإمام ضرورة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العقليّة على الأفضلية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التعيين والنصّ على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أفضليّة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العامّة على آية التطهير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اللوح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الأئمة الاثني عشر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بمخلّص البشريّة في الديانات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المهدوية في رؤية الفريقين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سمات أصحاب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ما قبل الظهور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الجسماني والروحاني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نمطية تصنيف المعتقدات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أهميّة دراسة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النزعة إلى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الشخصية الإنسانية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الاعتقاد بالمعاد على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الاعتقاد بالمعاد من زاويةٍ 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نظريات المعاد الجسماني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براهين إثبات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التجريبية على إمكانية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الأدلّة العقليّة لإثبات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منكرو المعاد في مواجهة تحدّياتٍ تفنّد آراءهم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المنزل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المنزل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والبرزخ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المنزل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المنزل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المنزل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الحساب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المنزل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المنزل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وجهنّم والأعراف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معارضو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إمكانية تحقّق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تحققّ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الهدف من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الشبهات التي اُثيرت حول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10" w:name="pg16299_219403"/>
    </w:p>
    <w:p>
      <w:pPr>
        <w:pStyle w:val="Heading2"/>
        <w:numPr>
          <w:ilvl w:val="1"/>
          <w:numId w:val="1"/>
        </w:numPr>
        <w:rPr/>
      </w:pPr>
      <w:bookmarkStart w:id="11" w:name="__RefHeading___Toc5369571_1280447820"/>
      <w:bookmarkStart w:id="12" w:name="_Toc4"/>
      <w:bookmarkEnd w:id="10"/>
      <w:bookmarkEnd w:id="11"/>
      <w:r>
        <w:rPr>
          <w:rtl w:val="true"/>
        </w:rPr>
        <w:t xml:space="preserve">الباب الخامس </w:t>
      </w:r>
      <w:r>
        <w:rPr>
          <w:rtl w:val="true"/>
        </w:rPr>
        <w:t>:</w:t>
      </w:r>
      <w:r>
        <w:rPr>
          <w:rtl w:val="true"/>
        </w:rPr>
        <w:t>الإمامة</w:t>
      </w:r>
      <w:bookmarkEnd w:id="12"/>
    </w:p>
    <w:p>
      <w:pPr>
        <w:pStyle w:val="Heading3"/>
        <w:numPr>
          <w:ilvl w:val="2"/>
          <w:numId w:val="1"/>
        </w:numPr>
        <w:rPr/>
      </w:pPr>
      <w:bookmarkStart w:id="13" w:name="__RefHeading___Toc5369573_1280447820"/>
      <w:bookmarkStart w:id="14" w:name="_Toc5"/>
      <w:bookmarkEnd w:id="13"/>
      <w:r>
        <w:rPr>
          <w:rtl w:val="true"/>
        </w:rPr>
        <w:t>إشارة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شرعيّة الإمامة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أفضلية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الخاصة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المهدوية </w:t>
      </w:r>
      <w:bookmarkStart w:id="15" w:name="pg16299_219404"/>
    </w:p>
    <w:p>
      <w:pPr>
        <w:pStyle w:val="Heading3"/>
        <w:numPr>
          <w:ilvl w:val="2"/>
          <w:numId w:val="1"/>
        </w:numPr>
        <w:rPr/>
      </w:pPr>
      <w:bookmarkStart w:id="16" w:name="__RefHeading___Toc5369575_1280447820"/>
      <w:bookmarkStart w:id="17" w:name="_Toc6"/>
      <w:bookmarkEnd w:id="15"/>
      <w:bookmarkEnd w:id="16"/>
      <w:r>
        <w:rPr/>
        <w:t>18</w:t>
      </w:r>
      <w:r>
        <w:rPr>
          <w:rtl w:val="true"/>
        </w:rPr>
        <w:t>.</w:t>
      </w:r>
      <w:r>
        <w:rPr>
          <w:rtl w:val="true"/>
        </w:rPr>
        <w:t>الإمامة العامّة</w:t>
      </w:r>
      <w:bookmarkEnd w:id="17"/>
    </w:p>
    <w:p>
      <w:pPr>
        <w:pStyle w:val="Heading4"/>
        <w:numPr>
          <w:ilvl w:val="3"/>
          <w:numId w:val="1"/>
        </w:numPr>
        <w:rPr/>
      </w:pPr>
      <w:bookmarkStart w:id="18" w:name="__RefHeading___Toc5369577_1280447820"/>
      <w:bookmarkStart w:id="19" w:name="_Toc7"/>
      <w:bookmarkEnd w:id="18"/>
      <w:r>
        <w:rPr/>
        <w:t>18</w:t>
      </w:r>
      <w:r>
        <w:rPr>
          <w:rtl w:val="true"/>
        </w:rPr>
        <w:t xml:space="preserve">/ </w:t>
      </w:r>
      <w:r>
        <w:rPr/>
        <w:t>1</w:t>
      </w:r>
      <w:r>
        <w:rPr>
          <w:rtl w:val="true"/>
        </w:rPr>
        <w:t>.</w:t>
      </w:r>
      <w:r>
        <w:rPr>
          <w:rtl w:val="true"/>
        </w:rPr>
        <w:t>تمهید</w:t>
      </w:r>
      <w:bookmarkEnd w:id="19"/>
    </w:p>
    <w:p>
      <w:pPr>
        <w:pStyle w:val="Heading5"/>
        <w:numPr>
          <w:ilvl w:val="4"/>
          <w:numId w:val="1"/>
        </w:numPr>
        <w:rPr/>
      </w:pPr>
      <w:bookmarkStart w:id="20" w:name="__RefHeading___Toc5369579_1280447820"/>
      <w:bookmarkStart w:id="21" w:name="_Toc8"/>
      <w:bookmarkEnd w:id="20"/>
      <w:r>
        <w:rPr>
          <w:rtl w:val="true"/>
        </w:rPr>
        <w:t>إشارة</w:t>
      </w:r>
      <w:bookmarkEnd w:id="21"/>
    </w:p>
    <w:p>
      <w:pPr>
        <w:pStyle w:val="BookText"/>
        <w:rPr/>
      </w:pPr>
      <w:r>
        <w:rPr>
          <w:rFonts w:ascii="Amiri" w:hAnsi="Amiri" w:eastAsia="Amiri" w:cs="Amiri"/>
          <w:color w:val="111111"/>
          <w:sz w:val="28"/>
          <w:sz w:val="28"/>
          <w:szCs w:val="28"/>
          <w:rtl w:val="true"/>
          <w:lang w:bidi="ar-SA"/>
        </w:rPr>
        <w:t>قبل الولوج في خضمّ أبحاث الإمامة وصفاتها نمهّد هنا بمقدّمات</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5369581_1280447820"/>
      <w:bookmarkStart w:id="23" w:name="_Toc9"/>
      <w:bookmarkEnd w:id="22"/>
      <w:r>
        <w:rPr/>
        <w:t>18</w:t>
      </w:r>
      <w:r>
        <w:rPr>
          <w:rtl w:val="true"/>
        </w:rPr>
        <w:t xml:space="preserve"> /</w:t>
      </w:r>
      <w:r>
        <w:rPr/>
        <w:t>1</w:t>
      </w:r>
      <w:r>
        <w:rPr>
          <w:rtl w:val="true"/>
        </w:rPr>
        <w:t xml:space="preserve"> /</w:t>
      </w:r>
      <w:r>
        <w:rPr/>
        <w:t>1</w:t>
      </w:r>
      <w:r>
        <w:rPr>
          <w:rtl w:val="true"/>
        </w:rPr>
        <w:t>.</w:t>
      </w:r>
      <w:r>
        <w:rPr>
          <w:rtl w:val="true"/>
        </w:rPr>
        <w:t>المقدّمة الأولى</w:t>
      </w:r>
      <w:r>
        <w:rPr>
          <w:rtl w:val="true"/>
        </w:rPr>
        <w:t>:</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مطروحة على بساط البحث منذ القرون الإسلامية الأولى، وهي نقطة الخلاف المركزية بين الفريقين؛ من الشيعة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في القرون الأولى المخالفون لنظرية الإمامة عند الشيعة الإثني عشرية كتباً في الردّ على الإمامة، وكتب علماء الإماميّة أيضاً مصنّفات تدافع عن هذه النظرية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ابن النديم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التعريف ببعض ما كتبه أتباع أهل البيت </w:t>
      </w:r>
      <w:r>
        <w:rPr>
          <w:rStyle w:val="FootnoteAnchor"/>
          <w:rtl w:val="true"/>
        </w:rPr>
        <w:footnoteReference w:id="2"/>
      </w:r>
      <w:r>
        <w:rPr>
          <w:rFonts w:ascii="Amiri" w:hAnsi="Amiri" w:eastAsia="Amiri" w:cs="Amiri"/>
          <w:color w:val="111111"/>
          <w:sz w:val="28"/>
          <w:sz w:val="28"/>
          <w:szCs w:val="28"/>
          <w:rtl w:val="true"/>
          <w:lang w:bidi="ar-SA"/>
        </w:rPr>
        <w:t xml:space="preserve">في موضوع الإمامة، وعدّ في الفنّ الرابع من </w:t>
      </w:r>
    </w:p>
    <w:p>
      <w:pPr>
        <w:pStyle w:val="BookText"/>
        <w:rPr/>
      </w:pPr>
      <w:r>
        <w:rPr>
          <w:rFonts w:ascii="Amiri" w:hAnsi="Amiri" w:eastAsia="Amiri" w:cs="Amiri"/>
          <w:color w:val="111111"/>
          <w:sz w:val="28"/>
          <w:sz w:val="28"/>
          <w:szCs w:val="28"/>
          <w:rtl w:val="true"/>
          <w:lang w:bidi="ar-SA"/>
        </w:rPr>
        <w:t xml:space="preserve">كتابه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خالف الإماميّة، وأوّل من ألّف في هذا المجال</w:t>
      </w:r>
      <w:r>
        <w:rPr>
          <w:rStyle w:val="FootnoteAnchor"/>
          <w:rtl w:val="true"/>
        </w:rPr>
        <w:footnoteReference w:id="3"/>
      </w:r>
      <w:r>
        <w:rPr>
          <w:rFonts w:ascii="Amiri" w:hAnsi="Amiri" w:eastAsia="Amiri" w:cs="Amiri"/>
          <w:color w:val="111111"/>
          <w:sz w:val="28"/>
          <w:sz w:val="28"/>
          <w:szCs w:val="28"/>
          <w:rtl w:val="true"/>
          <w:lang w:bidi="ar-SA"/>
        </w:rPr>
        <w:t>وفضلاً عن الخوارج في صدر الإسلام، فإنّ سائر متكلّمي المذهب السنّي في العصور الغابرة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أبواب التوحيد والعدل، والفخر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الأربعين ، وابن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والقوشجيّ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تجريد العقائد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تصدّوا لنظرية الإمامة حسب ما يؤمن بها الشيعة الاثناعشرية، وقد بالغ أعلام الوهّابيّة أكثر من غيرهم في محاربة عقيدة الإمامة ونقدها بشتى الأساليب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الالتفات إلى أنّ التحدّيات التي تكتنف بحث الإمامة لا تنحصر على شبهات أهل السنّة، بل يمكن أن يضاف إليها المبادئ التي دعت إليها بعض التيارات الفكريّة المعاصرة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التيار الفارسي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الكسرويّة </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وهو تیّار رُوّج له إبان حكم النظام البهلوي البائد في إيران، والتيار الفكري الذي يطلق على نفسه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التنوير الديني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اشتدّ عوده بعد قيام الثورة الإسلامية في إيران وشهر سيفه لنقد نظريّة الإمامة عند الشيعة الإثني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يدلّنا إلى ضرورة تناول بحث الإمامة وسبر أغواره حسب الرؤية التي يتبنّاها مذهب أهل البيت </w:t>
      </w:r>
      <w:r>
        <w:rPr>
          <w:rFonts w:eastAsia="IRNazanin" w:cs="IRNazanin"/>
          <w:color w:val="111111"/>
          <w:sz w:val="28"/>
          <w:szCs w:val="28"/>
          <w:rtl w:val="true"/>
          <w:lang w:bidi="fa-IR"/>
        </w:rPr>
        <w:t xml:space="preserve">:. </w:t>
      </w:r>
      <w:bookmarkStart w:id="24" w:name="pg16299_219406"/>
    </w:p>
    <w:p>
      <w:pPr>
        <w:pStyle w:val="Heading5"/>
        <w:numPr>
          <w:ilvl w:val="4"/>
          <w:numId w:val="1"/>
        </w:numPr>
        <w:rPr/>
      </w:pPr>
      <w:bookmarkStart w:id="25" w:name="__RefHeading___Toc5369583_1280447820"/>
      <w:bookmarkStart w:id="26" w:name="_Toc10"/>
      <w:bookmarkEnd w:id="24"/>
      <w:bookmarkEnd w:id="25"/>
      <w:r>
        <w:rPr/>
        <w:t>18</w:t>
      </w:r>
      <w:r>
        <w:rPr>
          <w:rtl w:val="true"/>
        </w:rPr>
        <w:t xml:space="preserve"> /</w:t>
      </w:r>
      <w:r>
        <w:rPr/>
        <w:t>1</w:t>
      </w:r>
      <w:r>
        <w:rPr>
          <w:rtl w:val="true"/>
        </w:rPr>
        <w:t xml:space="preserve"> /</w:t>
      </w:r>
      <w:r>
        <w:rPr/>
        <w:t>2</w:t>
      </w:r>
      <w:r>
        <w:rPr>
          <w:rtl w:val="true"/>
        </w:rPr>
        <w:t>.</w:t>
      </w:r>
      <w:r>
        <w:rPr>
          <w:rtl w:val="true"/>
        </w:rPr>
        <w:t>المقدّمة الثانية</w:t>
      </w:r>
      <w:r>
        <w:rPr>
          <w:rtl w:val="true"/>
        </w:rPr>
        <w:t>:</w:t>
      </w:r>
      <w:bookmarkEnd w:id="26"/>
    </w:p>
    <w:p>
      <w:pPr>
        <w:pStyle w:val="BookText"/>
        <w:rPr/>
      </w:pPr>
      <w:r>
        <w:rPr>
          <w:rFonts w:ascii="Amiri" w:hAnsi="Amiri" w:eastAsia="Amiri" w:cs="Amiri"/>
          <w:color w:val="111111"/>
          <w:sz w:val="28"/>
          <w:sz w:val="28"/>
          <w:szCs w:val="28"/>
          <w:rtl w:val="true"/>
          <w:lang w:bidi="ar-SA"/>
        </w:rPr>
        <w:t xml:space="preserve">تُطرح مباحث الإمامة على ساحتي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مستويات؛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والإثبات، والدفاع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نتناول مباحث الدفاع عن الإمامة في أربعة فروع؛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الشبهات التقليدية ذات البيان التقليديّ المتداول؛ حيث تُستعرض هناك الشبهات الدارجة في كتب أهل السنّة على سبيل المثال، 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الشبهات التقليديّة ذات البيان الجديد الذي وُظّفت فيه المناهج والمبادئ التقليدية؛ ومثالها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العلماء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عرضها حسين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حُلّة حديثة، مستخدماً فيها المصادر الرجالية، والتاريخية، والكلاميّة التقليدية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الشبهات التقليدية ذات البيان الجديد الذي وُظّفت فيه المناهج والمبادئ والمصادر الحديثة؛ كما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اللاانسجام بين الخاتميّة والإمامة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أطلقها عبدالكريم سروش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مستخدماً فيها المناهج والمبادئ المتبنّاة في الهرمينوطيقا، والإبستمولوجيا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واللسانيّات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الشبهات الجديدة المبتنية على المناهج والمبادئ المتداولة في عصر الحداثة؛ كما في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الإمامة مع الديموقراطية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المهدويّة مع الحداثة والتعدديّة الدينيّة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وتنطوي كلّ ساحة من ساحات الإمامة العامّة والخاصّة على قضايا ومباحث خاصّة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القاضي عبد الجبار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مباحث الإمامة العامّة تنحصر في ثلاثة حقول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الإمامة، وصفاتها، وطرق تعيينها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7" w:name="pg16299_219407"/>
    </w:p>
    <w:p>
      <w:pPr>
        <w:pStyle w:val="BookText"/>
        <w:rPr/>
      </w:pPr>
      <w:bookmarkEnd w:id="27"/>
      <w:r>
        <w:rPr>
          <w:rFonts w:ascii="Amiri" w:hAnsi="Amiri" w:eastAsia="Amiri" w:cs="Amiri"/>
          <w:color w:val="111111"/>
          <w:sz w:val="28"/>
          <w:sz w:val="28"/>
          <w:szCs w:val="28"/>
          <w:rtl w:val="true"/>
          <w:lang w:bidi="ar-SA"/>
        </w:rPr>
        <w:t xml:space="preserve">أمّا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أنّ مباحث الإمامة تنشعب إلى خمس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ومطلب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ضرورة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مطلب 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الإمامة ووظائفها وآثارها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ومطلب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ومطلب 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مصدايق الإمامة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يجدر عرضه في مباحث الإمامة العامّة خمسة فروع؛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الإمامة، وتبيين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الإمامة، والفوائد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العامّة والخاصّة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نصب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مباحث الإمامة الخاصة فيجدر التطرّق لثلاثة فروع؛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إمامة الإمام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إمامة الأئمّة والخلفاء الاثني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المهدويّة</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5369585_1280447820"/>
      <w:bookmarkStart w:id="29" w:name="_Toc11"/>
      <w:bookmarkEnd w:id="28"/>
      <w:r>
        <w:rPr/>
        <w:t>18</w:t>
      </w:r>
      <w:r>
        <w:rPr>
          <w:rtl w:val="true"/>
        </w:rPr>
        <w:t xml:space="preserve"> /</w:t>
      </w:r>
      <w:r>
        <w:rPr/>
        <w:t>1</w:t>
      </w:r>
      <w:r>
        <w:rPr>
          <w:rtl w:val="true"/>
        </w:rPr>
        <w:t xml:space="preserve"> /</w:t>
      </w:r>
      <w:r>
        <w:rPr/>
        <w:t>3</w:t>
      </w:r>
      <w:r>
        <w:rPr>
          <w:rtl w:val="true"/>
        </w:rPr>
        <w:t>.</w:t>
      </w:r>
      <w:r>
        <w:rPr>
          <w:rtl w:val="true"/>
        </w:rPr>
        <w:t>المقدّمة الثالثة</w:t>
      </w:r>
      <w:r>
        <w:rPr>
          <w:rtl w:val="true"/>
        </w:rPr>
        <w:t>:</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أصول الدين أم من فروعه؟ وهل هي قضيّة كلاميّة، أم فقهيّة ؟ طرح المفكّرون المسلمون ثلاث نظريات في هذا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ذهبت إلى أنّ الإمامة 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عدّتها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التي نعتتها بأنّها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المذهب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المتكلّمون المنتمون للمدرسة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الأشاعرة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الكلاميّة؛ لما تتحلّى به من أهمّيّة، لكنّهم عدّوها في ضمن المباحث الفقهيّة، وفروع الدين وقد ابتنت هذه الرؤية على أساس فكرتهم وانطباعهم عن واقع الإمامة؛ إذ أوّلوها إلى نظريّة سياسيّة؛ فقد كتب إمام الحرمين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أصول الاعتقاد، والخطر على من يزلّ فيه يربى على الخطر على من يجهل أصله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حامد الغزالي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النظر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ليس من المهمّات، وليس أيضاً من فن المعقولات فيها من الفقهيات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جرى الرسم باختتام المعتقدات به أردنا أن نسلك المنهج المعتاد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سار الشهرستانيّ</w:t>
      </w:r>
      <w:r>
        <w:rPr>
          <w:rStyle w:val="FootnoteAnchor"/>
          <w:rtl w:val="true"/>
        </w:rPr>
        <w:footnoteReference w:id="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والتفتازانيّ</w:t>
      </w:r>
      <w:r>
        <w:rPr>
          <w:rStyle w:val="FootnoteAnchor"/>
          <w:rtl w:val="true"/>
        </w:rPr>
        <w:footnoteReference w:id="10"/>
      </w:r>
      <w:r>
        <w:rPr>
          <w:rFonts w:eastAsia="IRNazanin" w:cs="IRNazanin"/>
          <w:color w:val="111111"/>
          <w:sz w:val="28"/>
          <w:szCs w:val="28"/>
          <w:rtl w:val="true"/>
          <w:lang w:bidi="fa-IR"/>
        </w:rPr>
        <w:t>(</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خلدون</w:t>
      </w:r>
      <w:r>
        <w:rPr>
          <w:rStyle w:val="FootnoteAnchor"/>
          <w:rtl w:val="true"/>
        </w:rPr>
        <w:footnoteReference w:id="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وسائر الأشاعرة على هذا النهج، في حين لم يذكر المعتزلة كلاماً صريحاً في هذا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مفكرو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بعض الأشاعرة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الإمامة أصل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قال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يجب أن يعتقد أنّه يلزمنا من طاعة الإمام ما يلزمنا من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یعتقد أنّ المنكر للإمامة كالمنكر للنبوّة، والمنكر للنبوّة كالمنكر للتوحيد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واتّفقت الإماميّة على أنّ من أنكر إمامة أحد الأئمة، وجحد ما أوجب الله من فرض الطاعات، فهو كافر ضالّ، مستحقّ للخلود في النار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الإمامة تشترك مع النبوّة في كونها من أعظم أصول الدين </w:t>
      </w:r>
      <w:r>
        <w:rPr>
          <w:rStyle w:val="FootnoteAnchor"/>
          <w:rtl w:val="true"/>
        </w:rPr>
        <w:footnoteReference w:id="15"/>
      </w:r>
      <w:r>
        <w:rPr>
          <w:rFonts w:ascii="Amiri" w:hAnsi="Amiri" w:eastAsia="Amiri" w:cs="Amiri"/>
          <w:color w:val="111111"/>
          <w:sz w:val="28"/>
          <w:sz w:val="28"/>
          <w:szCs w:val="28"/>
          <w:rtl w:val="true"/>
          <w:lang w:bidi="ar-SA"/>
        </w:rPr>
        <w:t>، وقد صرّح في كتابه الذي عرض فيه الإمامة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أجبت الى ما سألنيه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مختصر محيط بما يجب اعتقاده من جميع أصول الدين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ينتهي إليه النظر 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ضرورة التنصيب فيها من قبل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كلاميّة تنتمي لأصول الدين أو لأصول المذهب والإيمان،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وباعتبار الوجوب الشرعيّ الذي يطال طاعة الناس للإمامة وشخص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بحث فقهي ينتمي لفروع الدين؛ فإنّ المناط في كون المسألة كلاميّة أو فقهيّة هو علاقته </w:t>
      </w:r>
      <w:bookmarkStart w:id="30" w:name="pg16299_219410"/>
    </w:p>
    <w:p>
      <w:pPr>
        <w:pStyle w:val="BookText"/>
        <w:rPr/>
      </w:pPr>
      <w:bookmarkEnd w:id="30"/>
      <w:r>
        <w:rPr>
          <w:rFonts w:ascii="Amiri" w:hAnsi="Amiri" w:eastAsia="Amiri" w:cs="Amiri"/>
          <w:color w:val="111111"/>
          <w:sz w:val="28"/>
          <w:sz w:val="28"/>
          <w:szCs w:val="28"/>
          <w:rtl w:val="true"/>
          <w:lang w:bidi="ar-SA"/>
        </w:rPr>
        <w:t>بالبحث عن وجود الله وصفاته وأفعاله، أو علاقته بفعل الإنسان؛ فإذا كان الأول، فهو بحث كلاميّ، و إلّا فهو بحث 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المحصّلة نقول كما تناول المتكّلمون الإماميّون بحث الإمامة في كتبهم الكلاميّة وأثبتوا فيها ضرورة الإمامة وصفات العلم والعصمة والولاية التكوينيّة والتشريعيّة والسياسية الاجتماعيّة للأئمة الاثني عشر، فعلى فقهاء الإماميّة أن يطرحوا بحثاً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يتطرّقون فيه إلى الوظائف الشرعيّة المناطة بالإمام؛ ومنها مراعاة حقوق الناس، وإلى الوظائف الشرعيّة الملقاة على عاتق الناس في طاعة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كلاميّ باعتبار أنّ تنصيب الإمام واجب على الله جَلَّ وَعَلا ، كما أنّها بحث فقهي أيضاً باعتبار أنّ هناك وظائف شرعيّة ملقاة على عاتق الإمام والمأموم </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369587_1280447820"/>
      <w:bookmarkStart w:id="32" w:name="_Toc12"/>
      <w:bookmarkEnd w:id="31"/>
      <w:r>
        <w:rPr/>
        <w:t>18</w:t>
      </w:r>
      <w:r>
        <w:rPr>
          <w:rtl w:val="true"/>
        </w:rPr>
        <w:t xml:space="preserve">/ </w:t>
      </w:r>
      <w:r>
        <w:rPr/>
        <w:t>2</w:t>
      </w:r>
      <w:r>
        <w:rPr>
          <w:rtl w:val="true"/>
        </w:rPr>
        <w:t>.</w:t>
      </w:r>
      <w:r>
        <w:rPr>
          <w:rtl w:val="true"/>
        </w:rPr>
        <w:t>حقيقة الإمامة</w:t>
      </w:r>
      <w:r>
        <w:rPr>
          <w:rtl w:val="true"/>
        </w:rPr>
        <w:t>:</w:t>
      </w:r>
      <w:bookmarkEnd w:id="32"/>
    </w:p>
    <w:p>
      <w:pPr>
        <w:pStyle w:val="Heading5"/>
        <w:numPr>
          <w:ilvl w:val="4"/>
          <w:numId w:val="1"/>
        </w:numPr>
        <w:rPr/>
      </w:pPr>
      <w:bookmarkStart w:id="33" w:name="__RefHeading___Toc5369589_1280447820"/>
      <w:bookmarkStart w:id="34" w:name="_Toc13"/>
      <w:bookmarkEnd w:id="33"/>
      <w:r>
        <w:rPr>
          <w:rtl w:val="true"/>
        </w:rPr>
        <w:t>إشارة</w:t>
      </w:r>
      <w:bookmarkEnd w:id="34"/>
    </w:p>
    <w:p>
      <w:pPr>
        <w:pStyle w:val="BookText"/>
        <w:rPr/>
      </w:pPr>
      <w:r>
        <w:rPr>
          <w:rFonts w:ascii="Amiri" w:hAnsi="Amiri" w:eastAsia="Amiri" w:cs="Amiri"/>
          <w:color w:val="111111"/>
          <w:sz w:val="28"/>
          <w:sz w:val="28"/>
          <w:szCs w:val="28"/>
          <w:rtl w:val="true"/>
          <w:lang w:bidi="ar-SA"/>
        </w:rPr>
        <w:t xml:space="preserve">أوّل أبحاث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الوقوف على تعريفها، وماهيّتها، وبيان عناصرها فتصوّر المفهوم مقدّم على تصديقه منطقيّاً، وإذا لم يتّضح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جليّ، فلا سبيل إلى أيّ بحث تصديقي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يلي إطلالة على أبرز 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5369591_1280447820"/>
      <w:bookmarkStart w:id="36" w:name="_Toc14"/>
      <w:bookmarkEnd w:id="35"/>
      <w:r>
        <w:rPr/>
        <w:t>18</w:t>
      </w:r>
      <w:r>
        <w:rPr>
          <w:rtl w:val="true"/>
        </w:rPr>
        <w:t xml:space="preserve"> /</w:t>
      </w:r>
      <w:r>
        <w:rPr/>
        <w:t>2</w:t>
      </w:r>
      <w:r>
        <w:rPr>
          <w:rtl w:val="true"/>
        </w:rPr>
        <w:t xml:space="preserve"> /</w:t>
      </w:r>
      <w:r>
        <w:rPr/>
        <w:t>1</w:t>
      </w:r>
      <w:r>
        <w:rPr>
          <w:rtl w:val="true"/>
        </w:rPr>
        <w:t>.</w:t>
      </w:r>
      <w:r>
        <w:rPr>
          <w:rtl w:val="true"/>
        </w:rPr>
        <w:t>تعريف الإمامة</w:t>
      </w:r>
      <w:r>
        <w:rPr>
          <w:rtl w:val="true"/>
        </w:rPr>
        <w:t>:</w:t>
      </w:r>
      <w:bookmarkEnd w:id="3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له رئاسة عامّة في أمور الدين والدنيا نيابةً عن النبيّ</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كتب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القائمين مقام الأنبياء في تنفيذ الأحكام وإقامة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منصب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وحفظ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التحريف بزيادة أو 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وتأديب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الثقافيّة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معصومون كعصمة الأنبياء</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أدرج الشيخ المفيد في تعريفه هذا 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من وظائف الإمام؛ خلافاً لما ذهب إليه العلمانيوّن الرافضون لأيّ تدخّل تمارسه الحكومة الدينيّة في الشؤون التربوية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القاضي عبد الجبار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لمن له الولاية على الأمة، والتصرف في أمورهم على وجه لا يكون فوق يده يد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عامّة في أمور الدين والدنيا خلافةً عن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لخلافة النبوّة في حراسة الدين، وسياسة الدنيا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ويتبيّن من خلال مراجعة التعاريف المتقدّمة أنّ طائفة من التعاريف تعاريف عامّة تشمل النبيّ والإمام؛ كما هو ملاحظ في مثل تعريف 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ذهب إلى أنّ الإمامة رئاسة عامّة في أمور الدين والدنيا بالأصالة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وبعض آخر من التعاريف يختصّ وينحصر في الإمامة؛ </w:t>
      </w:r>
      <w:bookmarkStart w:id="37" w:name="pg16299_219412"/>
    </w:p>
    <w:p>
      <w:pPr>
        <w:pStyle w:val="BookText"/>
        <w:rPr/>
      </w:pPr>
      <w:bookmarkEnd w:id="37"/>
      <w:r>
        <w:rPr>
          <w:rFonts w:ascii="Amiri" w:hAnsi="Amiri" w:eastAsia="Amiri" w:cs="Amiri"/>
          <w:color w:val="111111"/>
          <w:sz w:val="28"/>
          <w:sz w:val="28"/>
          <w:szCs w:val="28"/>
          <w:rtl w:val="true"/>
          <w:lang w:bidi="ar-SA"/>
        </w:rPr>
        <w:t xml:space="preserve">كما في تعريف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عرّفها بأنّها رئاسة عامّة في أمور الدين والدنيا نيابةً عن النبيّ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5369593_1280447820"/>
      <w:bookmarkStart w:id="39" w:name="_Toc15"/>
      <w:bookmarkEnd w:id="38"/>
      <w:r>
        <w:rPr/>
        <w:t>18</w:t>
      </w:r>
      <w:r>
        <w:rPr>
          <w:rtl w:val="true"/>
        </w:rPr>
        <w:t xml:space="preserve">/ </w:t>
      </w:r>
      <w:r>
        <w:rPr/>
        <w:t>3</w:t>
      </w:r>
      <w:r>
        <w:rPr>
          <w:rtl w:val="true"/>
        </w:rPr>
        <w:t>.</w:t>
      </w:r>
      <w:r>
        <w:rPr>
          <w:rtl w:val="true"/>
        </w:rPr>
        <w:t>العناصر المشتركة في الإمامة</w:t>
      </w:r>
      <w:bookmarkEnd w:id="39"/>
    </w:p>
    <w:p>
      <w:pPr>
        <w:pStyle w:val="BookText"/>
        <w:rPr/>
      </w:pPr>
      <w:r>
        <w:rPr>
          <w:rFonts w:ascii="Amiri" w:hAnsi="Amiri" w:eastAsia="Amiri" w:cs="Amiri"/>
          <w:color w:val="111111"/>
          <w:sz w:val="28"/>
          <w:sz w:val="28"/>
          <w:szCs w:val="28"/>
          <w:rtl w:val="true"/>
          <w:lang w:bidi="ar-SA"/>
        </w:rPr>
        <w:t>يمكن استنتاج العناصر المشتركة في الإمامة عند الفريقين من التعاريف التي أوردوها للإمامة؛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للناس في شؤون الدين والدنيا في جميع التعاريف، واستخدمت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وإن اختلف في تفسير الولاية أو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التي تعني تولّي الإمام زمام الرئاسة الحكومية والدنيوية مشتركة بين الإماميّة وأهل السنّة، لكنّ الولاية التي تعني الولاية التكوينيّة والتشريعيّة والاجتماعية منحصرة بالإمامية، ولا يعتقد أهل السنّة بهذا النطاق الواسع 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خلافة رسول الله و نيابته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يتّفق الفريقان على هذه الخصوصية؛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منضوية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أشار اللغويّون إلى ذلك، وألمح إليه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يخصّ مفهوم الخلافة والإمامة؛ هل هما مفهومان أم مفهوم واحد؟ فالحقّ أنّ الخلافة تختلف عن الإمامة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w:t>
      </w:r>
    </w:p>
    <w:p>
      <w:pPr>
        <w:pStyle w:val="BookText"/>
        <w:rPr/>
      </w:pPr>
      <w:r>
        <w:rPr>
          <w:rFonts w:ascii="IRNazanin" w:hAnsi="IRNazanin" w:eastAsia="IRNazanin"/>
          <w:color w:val="111111"/>
          <w:sz w:val="28"/>
          <w:sz w:val="28"/>
          <w:szCs w:val="28"/>
          <w:rtl w:val="true"/>
          <w:lang w:bidi="fa-IR"/>
        </w:rPr>
        <w:t>من أنّ الخلفاء بعد الرسول الأعظم هم خلفاء وأئمّة في الآن ذاته، لكنّ الأمر ليس على هذا النحو دائماً، فقد نجد من يتّصف بالإمامة ولا يكون خليفةً لأحد؛ كما في مثل إبراهيم الذي كان إماماً ؛ ولم يكن خليفة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مشتركات الفريقين؛ ولا خلاف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الكلينيّ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خِلَافَةُ الله وَخِلَافَةُ الرَّسُولِ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طاعة الإمام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تُستفاد هذه الخصوصية أيضاً من تعاريف العامّة والخاصّة بوجوب طاعة الإمام على الجميع؛ فالفارق بين النظرية الإماميّة ورؤية أهل السنّة في هذا الخصوص لا يتمحور حول وجوب اتباع إمام محدّد؛ وإنّما الاختلاف يعود إلى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الولاية أمر مقتصر على الحكومة فقط، أم أنّها تشمل في طيّاتها الولاية التكوينيّة والتشريعيّة أيضاً؟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 بعض علماء الإماميّة من قيد الأصالة والنيابة في التعاريف، فالسؤال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يتسلّم الإمام مقاليد الإمامة نيابةً عن الناس أم أنّ إمامته أصيلة؛ وليست بالنيابة عنهم؟ ومن المعلوم أنّ الإماميّة ترى في الإمامة نيابةً عن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النقاط المتقدّمة، فقد دلّت تعاريف الفريقين على قيادة الإمام؛ فالذي يذهب إلى أنّ الإمامة نيابة عن النبوّة فهو يُقرّ لها بقدسيّة وشرعيّة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عبّر ابن 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خلافة عن صاحب الشرع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شخص ؛ وليس حزباً، أو فئةً، أو شورى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تعاريف الإمامة على أنّ الإمام شخص؛ وليس حزباً، أو شورى محدّدة، أو طائفة بعينها، وقد حقّقت سيرة المتشرّعين هذا المفهوم على مرّ التاريخ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نطاق هذه الزعامّة والقيادة هي شؤون الدين والدنيا وردت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هذه التعاريف منفردةً، وفي البعض الآخر مقرونةً مع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الطائفة الأولى من التعاريف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استخدمت بمفردها دلّت على الآخرة ، فكما تقدّم ،إذن، في كلا الصورتين تكون الشؤون الدنيويّة والأخرويّة بمجموعها منضوية تحت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انعدام أيّ خلاف في هذا العنصر أيضاً؛ فالإمام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عقيدة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w:t>
      </w:r>
      <w:bookmarkStart w:id="40" w:name="pg16299_219414"/>
    </w:p>
    <w:p>
      <w:pPr>
        <w:pStyle w:val="BookText"/>
        <w:rPr/>
      </w:pPr>
      <w:bookmarkEnd w:id="40"/>
      <w:r>
        <w:rPr>
          <w:rFonts w:ascii="IRNazanin" w:hAnsi="IRNazanin" w:eastAsia="IRNazanin"/>
          <w:color w:val="111111"/>
          <w:sz w:val="28"/>
          <w:sz w:val="28"/>
          <w:szCs w:val="28"/>
          <w:rtl w:val="true"/>
          <w:lang w:bidi="fa-IR"/>
        </w:rPr>
        <w:t>أمر سعادة الناس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قسم أهل السنة الخلفاء إلى الراشدين وغير الراشدين، وآمنوا بأنّ الخلفاء الراشدين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بكر وعمر وعثمان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معنيّين بجميع شؤون الأمّة الدنيويّة والأخرويّة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معاوية وغيره فلا يطلق عليهم هذا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كونهم موضع احترام بسبب كونهم من كونهم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اهتمامهم بأمور الناس الدنيويّة والأخرويّة</w:t>
      </w:r>
      <w:r>
        <w:rPr>
          <w:rFonts w:eastAsia="IRNazanin" w:cs="IRNazanin"/>
          <w:color w:val="111111"/>
          <w:sz w:val="28"/>
          <w:szCs w:val="28"/>
          <w:rtl w:val="true"/>
          <w:lang w:bidi="fa-IR"/>
        </w:rPr>
        <w:t>.</w:t>
      </w:r>
    </w:p>
    <w:p>
      <w:pPr>
        <w:pStyle w:val="Heading4"/>
        <w:numPr>
          <w:ilvl w:val="3"/>
          <w:numId w:val="1"/>
        </w:numPr>
        <w:rPr/>
      </w:pPr>
      <w:bookmarkStart w:id="41" w:name="__RefHeading___Toc5369595_1280447820"/>
      <w:bookmarkStart w:id="42" w:name="_Toc16"/>
      <w:bookmarkEnd w:id="41"/>
      <w:r>
        <w:rPr/>
        <w:t>18</w:t>
      </w:r>
      <w:r>
        <w:rPr>
          <w:rtl w:val="true"/>
        </w:rPr>
        <w:t xml:space="preserve">/ </w:t>
      </w:r>
      <w:r>
        <w:rPr/>
        <w:t>4</w:t>
      </w:r>
      <w:r>
        <w:rPr>
          <w:rtl w:val="true"/>
        </w:rPr>
        <w:t>.</w:t>
      </w:r>
      <w:r>
        <w:rPr>
          <w:rtl w:val="true"/>
        </w:rPr>
        <w:t>عناصر الإمامة التي انفردت بها الإماميّة</w:t>
      </w:r>
      <w:bookmarkEnd w:id="42"/>
    </w:p>
    <w:p>
      <w:pPr>
        <w:pStyle w:val="Heading5"/>
        <w:numPr>
          <w:ilvl w:val="4"/>
          <w:numId w:val="1"/>
        </w:numPr>
        <w:rPr/>
      </w:pPr>
      <w:bookmarkStart w:id="43" w:name="__RefHeading___Toc5369597_1280447820"/>
      <w:bookmarkStart w:id="44" w:name="_Toc17"/>
      <w:bookmarkEnd w:id="43"/>
      <w:r>
        <w:rPr>
          <w:rtl w:val="true"/>
        </w:rPr>
        <w:t>إشارة</w:t>
      </w:r>
      <w:bookmarkEnd w:id="44"/>
    </w:p>
    <w:p>
      <w:pPr>
        <w:pStyle w:val="BookText"/>
        <w:rPr/>
      </w:pPr>
      <w:r>
        <w:rPr>
          <w:rFonts w:ascii="Amiri" w:hAnsi="Amiri" w:eastAsia="Amiri" w:cs="Amiri"/>
          <w:color w:val="111111"/>
          <w:sz w:val="28"/>
          <w:sz w:val="28"/>
          <w:szCs w:val="28"/>
          <w:rtl w:val="true"/>
          <w:lang w:bidi="ar-SA"/>
        </w:rPr>
        <w:t>تقدّم الحديث عن العناصر المشتركة للإمامة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العناصر الأخرى التي تنفرد بها النظريّة الإماميّة فهي تضمّ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اشتمال الولاية التي يتحلى بها الإمام على شتّى ألوان الولاية التكوينيّة، والتشريعية، والقيادية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شمولية نطاق العصمة لجميع دوائر المعرفة، والتبليغ، والعمل بالدين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الرئاسة الأصيلة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نفي النيابة عن الأمّة؛ فليست الأمّة هي من يختار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 بيعتهم ضرورية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البيعة هي العامل الذي يمنح الشرعيّة للإمام، خلافاً لما تذهب إليه رؤى الديموقراطيّة اللبراليّة؛ فمشاركة الشعب عندهم هو مصدر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يساهم في فعليّة وجوب طاعة الإمام، وتحقّق ذلك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الجهة المقابلة، يرى أهل السنّة أنّ الإمام نائب عن الأمّة، وأنّ شرعيّته الفلسفيّة منوطة باختيار الأمّة له بشروط إلهيّة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5369599_1280447820"/>
      <w:bookmarkStart w:id="46" w:name="_Toc18"/>
      <w:bookmarkEnd w:id="45"/>
      <w:r>
        <w:rPr/>
        <w:t>18</w:t>
      </w:r>
      <w:r>
        <w:rPr>
          <w:rtl w:val="true"/>
        </w:rPr>
        <w:t xml:space="preserve"> /</w:t>
      </w:r>
      <w:r>
        <w:rPr/>
        <w:t>4</w:t>
      </w:r>
      <w:r>
        <w:rPr>
          <w:rtl w:val="true"/>
        </w:rPr>
        <w:t xml:space="preserve"> /</w:t>
      </w:r>
      <w:r>
        <w:rPr/>
        <w:t>1</w:t>
      </w:r>
      <w:r>
        <w:rPr>
          <w:rtl w:val="true"/>
        </w:rPr>
        <w:t>.</w:t>
      </w:r>
      <w:r>
        <w:rPr>
          <w:rtl w:val="true"/>
        </w:rPr>
        <w:t xml:space="preserve">عنصران آخران </w:t>
      </w:r>
      <w:r>
        <w:rPr>
          <w:rtl w:val="true"/>
        </w:rPr>
        <w:t>:</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ألمح الشيخ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عنصرين خاصّين آخرین؛ 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قدوة الأمّة قولاً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الإمام قدوة للنّاس في القول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الجليّ ألّا فرق بين الإمام والنبيّ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الزعامة والحكومة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تعني أنّ الإمام يتولّى تدبير أمر المجتمع، ويدير دفّة السياسة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أنّ هذه الخصوصية منحصرة في الإمام؛ فلا يمكن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نبيّ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لا يمكن القول بأنّ كلّ إمام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الممكن أن يكون بعض الأنبياء أئمّة في الوقت ذاته؛ كما في الأنبياء من أولي العزم؛ فقد كانوا أئمّة بأسرهم، أو كما في بعض الأنبياء الآخرين من غير أولي العزم؛ كما في مثل سليمان وداوود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تولّيا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الزعامة السياسيّة 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مثل هذه النماذج تتطلّب دليلاً يدلّ عليها بخصوصها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على إثبات أنّ كلّ نبيّ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لا يمتنع أن يوجد إمامٌ ليس بنبيّ؛ أي أن يتولّى الإمام الزعامة والقيادة والهداية الدينيّة والدنيويّة؛ من دون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رأي الشيخ الطوسيّ تتمثل حقيقة النبوّة وجوهرها في تلقّي الوحي من دون واسطة 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حقيقة الإمامة وجوهرها فتتمثّل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الأمّة، وتدبير أمرها، وإدارة دفّة السياسة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ذلك، النسبة بين الإمام والنبيّ هي نسبة العموم والخصوص من وجه</w:t>
      </w:r>
      <w:r>
        <w:rPr>
          <w:rStyle w:val="FootnoteAnchor"/>
          <w:rtl w:val="true"/>
        </w:rPr>
        <w:footnoteReference w:id="25"/>
      </w:r>
      <w:r>
        <w:rPr>
          <w:rFonts w:ascii="Amiri" w:hAnsi="Amiri" w:eastAsia="Amiri" w:cs="Amiri"/>
          <w:color w:val="111111"/>
          <w:sz w:val="28"/>
          <w:sz w:val="28"/>
          <w:szCs w:val="28"/>
          <w:rtl w:val="true"/>
          <w:lang w:bidi="ar-SA"/>
        </w:rPr>
        <w:t>فليس كلّ نبيّ مأمور بالتدبير والسياسة؛ وإن كان قد نُصب ليكون قدوةً وأسوةً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من الممكن أن يبعث الله نبياًّ يتلقى الوحي، لكنّه لا يكون مأموراً بالحكم، فيدعو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وأمره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حاكم غيره ؛ كما في مثل طالوت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فارق آخر بين النبوّة والإمامة ممّا يكمل نظرية الشيخ الطوسيّ؛ إذ قال ببيان آخر </w:t>
      </w:r>
      <w:r>
        <w:rPr>
          <w:rFonts w:eastAsia="Amiri" w:cs="Amiri" w:ascii="Amiri" w:hAnsi="Amiri"/>
          <w:color w:val="111111"/>
          <w:sz w:val="28"/>
          <w:szCs w:val="28"/>
          <w:rtl w:val="true"/>
          <w:lang w:bidi="ar-SA"/>
        </w:rPr>
        <w:t xml:space="preserve">: </w:t>
      </w:r>
      <w:bookmarkStart w:id="47" w:name="pg16299_219416"/>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فواجب الهادي أن يري الطريق، لكنّ البشريّة تحتاج القيادة فضلاً عن حاجتها إلى الهداية؛ بمعنى أنّها محتاجة إلى أشخاص، أو فئات، أو نظام يستجمع قوى الإنسان وطاقاته، ويحرّكها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يتولّى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تفعيل المواهب والطاقات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فمهمّته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إراءة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ختام الهداية التي تنير درب الإنسان بتقديم الأطروحة الإلهيّة، أمّا الإمام فهو الموكَّل بتطبيق هذه الأطروحة عمليّاً على أرض الواقع</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5369601_1280447820"/>
      <w:bookmarkStart w:id="49" w:name="_Toc19"/>
      <w:bookmarkEnd w:id="48"/>
      <w:r>
        <w:rPr/>
        <w:t>18</w:t>
      </w:r>
      <w:r>
        <w:rPr>
          <w:rtl w:val="true"/>
        </w:rPr>
        <w:t xml:space="preserve"> /</w:t>
      </w:r>
      <w:r>
        <w:rPr/>
        <w:t>4</w:t>
      </w:r>
      <w:r>
        <w:rPr>
          <w:rtl w:val="true"/>
        </w:rPr>
        <w:t xml:space="preserve"> /</w:t>
      </w:r>
      <w:r>
        <w:rPr/>
        <w:t>2</w:t>
      </w:r>
      <w:r>
        <w:rPr>
          <w:rtl w:val="true"/>
        </w:rPr>
        <w:t>.</w:t>
      </w:r>
      <w:r>
        <w:rPr>
          <w:rtl w:val="true"/>
        </w:rPr>
        <w:t xml:space="preserve">محصّلة القول </w:t>
      </w:r>
      <w:r>
        <w:rPr>
          <w:rtl w:val="true"/>
        </w:rPr>
        <w:t>:</w:t>
      </w:r>
      <w:bookmarkEnd w:id="49"/>
    </w:p>
    <w:p>
      <w:pPr>
        <w:pStyle w:val="BookText"/>
        <w:rPr/>
      </w:pPr>
      <w:r>
        <w:rPr>
          <w:rFonts w:ascii="Amiri" w:hAnsi="Amiri" w:eastAsia="Amiri" w:cs="Amiri"/>
          <w:color w:val="111111"/>
          <w:sz w:val="28"/>
          <w:sz w:val="28"/>
          <w:szCs w:val="28"/>
          <w:rtl w:val="true"/>
          <w:lang w:bidi="ar-SA"/>
        </w:rPr>
        <w:t xml:space="preserve">يمكن أن نختصر الوظائف الإلهيّة التي أُنيطت بالأنبياء التشريعيين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العزم من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رأسهم الرسول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وظائف رئيسيّة؛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تلقّي الوحي وإبلاغه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نشر الأطروحة الدينيّة التي تشمل القرآن الكريم والبيان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يعني الولاية التشريعيّة، أو بيان الوحي وتفسيره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تعني القدرة على فعل المعجزات، والولاية المعنويّة والعرفانية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ومعناها الولاية السياسية والاجتماعية والقضائيّة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النبوّة التبليغيّة فلا تنطوي إلّا على ثلاث من هذه الوظائف؛ باستثناء بعض الأنبياء المبلغين الذين ورد فيهم نصّ خاص يستثنيهم من هذه القاعدة؛ فعلى الرغم من وجود وجوه الاشتراك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التبليغية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تلقّي الوحي </w:t>
      </w:r>
    </w:p>
    <w:p>
      <w:pPr>
        <w:pStyle w:val="BookText"/>
        <w:rPr/>
      </w:pPr>
      <w:r>
        <w:rPr>
          <w:rFonts w:ascii="IRNazanin" w:hAnsi="IRNazanin" w:eastAsia="IRNazanin"/>
          <w:color w:val="111111"/>
          <w:sz w:val="28"/>
          <w:sz w:val="28"/>
          <w:szCs w:val="28"/>
          <w:rtl w:val="true"/>
          <w:lang w:bidi="fa-IR"/>
        </w:rPr>
        <w:t>وإبلاغه إلّا أنّ الفارق بينهما يكمن في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يبيّن أحكاماً جديدةً لم یرد لها ذكر في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حصل في زبور داوود الذي وردت فيه أحكام لم تذكرها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ظهور هذه الأحكام لا يستوجب حدوث تجديد في الشريعة، بل هو مجرّد تكميل وتتميم للشريعة السابقة؛ لا سيّما في النبوّة التبليغيّة التي يتولّى نبيّها منصب الإمامة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وتجدر الإشارة هنا إلى أنّ المناط في كون النبيّ من أولي العزم هو امتلاكه لكتاب يشتمل على شريعة مستقلّة وجديدة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نستنتج ممّا تقدّم أنّ النبوّة التبليغيّة تنطوي على 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المباشرة مع الله عَزَّ وَجَلَّ، وتلقّي الوحي التشريعيّ منه؛ من دون أيّ وسيط 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تلقّي النبيّ التبليغيّ شريعة مغايرة لما عند النبيّ الذي سبقه من أولي العزم؛ وإن تلقّى أحكاماً جديدةً؛ إذ لا يستلزم نزول بعض الأحكام الجديدة تجديداً في الشريعة، فعندئذٍ يكون هذا النبيّ والنبيّ الذي سبقه قد بلّغ كلّ منهما جزءاً من الوحي الإلهيّ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هي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تعريف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المسلمون على تحديد وظائفها؛ فذهب أهل السنّة إلى أنّها منحصرة في الوظيفة الرابعة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السياسية والاجتماعيّة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وأثبتت الإماميّة للإمام الوظيفة الثانية والثالثة والرابعة، متمسكين ببعض الأدلّة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المنزلة؛ إذ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دليل يُستنبط منه أنّ جوهر النبوّة يتمثّل في تلقّي الوحي المباشر من الله عَزَّ </w:t>
      </w:r>
      <w:bookmarkStart w:id="50" w:name="pg16299_219418"/>
    </w:p>
    <w:p>
      <w:pPr>
        <w:pStyle w:val="BookText"/>
        <w:rPr/>
      </w:pPr>
      <w:bookmarkEnd w:id="50"/>
      <w:r>
        <w:rPr>
          <w:rFonts w:ascii="IRNazanin" w:hAnsi="IRNazanin" w:eastAsia="IRNazanin"/>
          <w:color w:val="111111"/>
          <w:sz w:val="28"/>
          <w:sz w:val="28"/>
          <w:szCs w:val="28"/>
          <w:rtl w:val="true"/>
          <w:lang w:bidi="fa-IR"/>
        </w:rPr>
        <w:t xml:space="preserve">وَجَلَّ، وهي خصوصيّة لم تتوافر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بيان الوحي وتفسيره فهو من شؤون الولاية التشريعيّة للنبيّ</w:t>
      </w:r>
      <w:r>
        <w:rPr>
          <w:rFonts w:eastAsia="IRNazanin" w:cs="IRNazanin"/>
          <w:color w:val="111111"/>
          <w:sz w:val="28"/>
          <w:szCs w:val="28"/>
          <w:rtl w:val="true"/>
          <w:lang w:bidi="fa-IR"/>
        </w:rPr>
        <w:t>.</w:t>
      </w:r>
    </w:p>
    <w:p>
      <w:pPr>
        <w:pStyle w:val="Heading4"/>
        <w:numPr>
          <w:ilvl w:val="3"/>
          <w:numId w:val="1"/>
        </w:numPr>
        <w:rPr/>
      </w:pPr>
      <w:bookmarkStart w:id="51" w:name="__RefHeading___Toc5369603_1280447820"/>
      <w:bookmarkStart w:id="52" w:name="_Toc20"/>
      <w:bookmarkEnd w:id="51"/>
      <w:r>
        <w:rPr/>
        <w:t>18</w:t>
      </w:r>
      <w:r>
        <w:rPr>
          <w:rtl w:val="true"/>
        </w:rPr>
        <w:t xml:space="preserve"> /</w:t>
      </w:r>
      <w:r>
        <w:rPr/>
        <w:t>5</w:t>
      </w:r>
      <w:r>
        <w:rPr>
          <w:rtl w:val="true"/>
        </w:rPr>
        <w:t>.</w:t>
      </w:r>
      <w:r>
        <w:rPr>
          <w:rtl w:val="true"/>
        </w:rPr>
        <w:t xml:space="preserve">ثلاثة تساؤلات رئيسيّة </w:t>
      </w:r>
      <w:r>
        <w:rPr>
          <w:rtl w:val="true"/>
        </w:rPr>
        <w:t>:</w:t>
      </w:r>
      <w:bookmarkEnd w:id="52"/>
    </w:p>
    <w:p>
      <w:pPr>
        <w:pStyle w:val="Heading5"/>
        <w:numPr>
          <w:ilvl w:val="4"/>
          <w:numId w:val="1"/>
        </w:numPr>
        <w:rPr/>
      </w:pPr>
      <w:bookmarkStart w:id="53" w:name="__RefHeading___Toc5369605_1280447820"/>
      <w:bookmarkStart w:id="54" w:name="_Toc21"/>
      <w:bookmarkEnd w:id="53"/>
      <w:r>
        <w:rPr/>
        <w:t>18</w:t>
      </w:r>
      <w:r>
        <w:rPr>
          <w:rtl w:val="true"/>
        </w:rPr>
        <w:t xml:space="preserve"> /</w:t>
      </w:r>
      <w:r>
        <w:rPr/>
        <w:t>5</w:t>
      </w:r>
      <w:r>
        <w:rPr>
          <w:rtl w:val="true"/>
        </w:rPr>
        <w:t xml:space="preserve"> /</w:t>
      </w:r>
      <w:r>
        <w:rPr/>
        <w:t>1</w:t>
      </w:r>
      <w:r>
        <w:rPr>
          <w:rtl w:val="true"/>
        </w:rPr>
        <w:t>.</w:t>
      </w:r>
      <w:r>
        <w:rPr>
          <w:rtl w:val="true"/>
        </w:rPr>
        <w:t>السؤال الأوّل</w:t>
      </w:r>
      <w:r>
        <w:rPr>
          <w:rtl w:val="true"/>
        </w:rPr>
        <w:t>:</w:t>
      </w:r>
      <w:bookmarkEnd w:id="54"/>
    </w:p>
    <w:p>
      <w:pPr>
        <w:pStyle w:val="BookText"/>
        <w:rPr/>
      </w:pPr>
      <w:r>
        <w:rPr>
          <w:rFonts w:ascii="Amiri" w:hAnsi="Amiri" w:eastAsia="Amiri" w:cs="Amiri"/>
          <w:color w:val="111111"/>
          <w:sz w:val="28"/>
          <w:sz w:val="28"/>
          <w:szCs w:val="28"/>
          <w:rtl w:val="true"/>
          <w:lang w:bidi="ar-SA"/>
        </w:rPr>
        <w:t>إذا كانت خصوصية الإمام أن يتلقّى الحقائق من النبيّ مباشرةً، فما هو الفارق بينه وبين راوي الحديث في تلقّي الحقائق الدينيّة؟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يكمن الفارق بين الإمام وراوي الحديث في ثلاث جهات؛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الإمام بولاية سياسية واجتماعيّة، والرواة ليسوا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يمكن للراوي أن يقوم به هو تلقّي الحقائق الدينيّة من النبيّ من خلال أدوات المعرفة الاعتياديّة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يجالس النبيّ، ويسمع المعارف الدينيّة منه، ولعلّه يدوّنها، ويسجّلها، ثمّ ينشرها بين الناس حسب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الرواة عاجزون عن نيل جميع الحقائق الدينيّة، أمّا الإمام المعصوم فهو مطلع على الحقائق الدينيّة بأسرها، وبإمكانه أن يقوم بدور الهداية الإلهيّة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نفي الخطأ في أداء الرواة؛ فهو أمر محتمل و وارد؛ في حين أنّ هذا الاحتمال منتفٍ بالنسبة إلى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يتحتّم على عالم الدين أن يطبّق قواعد علمي الدراية والرجال؛ ليعرف الرواية الصحيحة سنداً ودلالةً، بينما لا يحتاج الإمام المعصوم إلى 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يتلقّى الحقائق الدينيّة من طرق غير اعتياديّة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أَلْفَ بَابٍ كُلُّ بَابٍ يَفتَحُ أَلْفَ بَاب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وبطبيعة الحال، فإنّنا لا ندرك حقيقة هذا التلقّي؛ أهو من سنخ العلم الحضوريّ، أم الحصوليّ؟ كما أنّنا لا نعرف حقيقة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فإنّنا نعلم من الأدلّة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الحقائق الدينيّة إلى الإمام المعصوم بواسطة ما، وأنّ الإمام قد تلقّى من النبیّ تلك الحقائق كاملةً بنهج معيّن، وهو يعرضها على الناس حين الحاجة وعلى مرّ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العلّامة المطهّريّ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بعد النّبیّ من يكون مرجعاً حقيقياًّ للأحكام الدينيّة، كما كان النبيّ مرجعاً ومبيّناً ومفسّراً؟ هل كان هناك إنسان كامل يتمتّع بهذه الصفات، أم 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متحقّقاً؛ ولكن بفارق أنّ ما كان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القضايا كان مستنداً إلى الوحي مباشرةً، أمّا ما يقوله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مستند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أنّ النبيّ قد درّسهم ذلك، بل بالطريقة التي أفصح عنها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كُلُّ بَابٍ يَفْتَحُ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نستطيع تفسير كيفیّة تلقّى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من الله، لا يمكننا تفسير كيفية العلاقة المعنويّة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أفضت إلى تعليم النبيّ له جميع الحقائق حقّ التعليم، من دون أن يعلّمها لغيره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المحصّلة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الإمام هو الدين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للإمام ولاية تشريعيّة، لكن حديث عالم الدين ليس إلّا تفسيراً للدين والمعرفة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فهو فاقد للولاية التشريعيّة؛ وإن كانت معرفته الدينيّة حجّة بالدليل العقلي والنقلي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فإنّ طريقة تلقّي الإمام من النبيّ تختلف عن طريقة تلقي الرواة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ونوعاً؛ فالإمام من حيث نوعيّة التلقّي، يأخذ الحقائق من خلال الأداة الإلهيّة عن النبيّ دفعةً واحدةً، ومن جهة الكميّة فهو يجد كلّ الحقائق الدينيّة عنده؛ بينما يفتقر رواة الحديث إلى كلا الجهتين كمّاً ونوعاً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التخطيط الآتي</w:t>
      </w:r>
      <w:r>
        <w:rPr>
          <w:rFonts w:eastAsia="Amiri" w:cs="Amiri" w:ascii="Amiri" w:hAnsi="Amiri"/>
          <w:color w:val="111111"/>
          <w:sz w:val="28"/>
          <w:szCs w:val="28"/>
          <w:rtl w:val="true"/>
          <w:lang w:bidi="ar-SA"/>
        </w:rPr>
        <w:t xml:space="preserve">: </w:t>
      </w:r>
      <w:bookmarkStart w:id="55" w:name="pg16299_219420"/>
    </w:p>
    <w:p>
      <w:pPr>
        <w:pStyle w:val="BookText"/>
        <w:rPr/>
      </w:pPr>
      <w:bookmarkEnd w:id="55"/>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Heading5"/>
        <w:numPr>
          <w:ilvl w:val="4"/>
          <w:numId w:val="1"/>
        </w:numPr>
        <w:rPr/>
      </w:pPr>
      <w:bookmarkStart w:id="56" w:name="__RefHeading___Toc5369607_1280447820"/>
      <w:bookmarkStart w:id="57" w:name="_Toc22"/>
      <w:bookmarkEnd w:id="56"/>
      <w:r>
        <w:rPr/>
        <w:t>18</w:t>
      </w:r>
      <w:r>
        <w:rPr>
          <w:rtl w:val="true"/>
        </w:rPr>
        <w:t xml:space="preserve"> /</w:t>
      </w:r>
      <w:r>
        <w:rPr/>
        <w:t>5</w:t>
      </w:r>
      <w:r>
        <w:rPr>
          <w:rtl w:val="true"/>
        </w:rPr>
        <w:t xml:space="preserve"> /</w:t>
      </w:r>
      <w:r>
        <w:rPr/>
        <w:t>2</w:t>
      </w:r>
      <w:r>
        <w:rPr>
          <w:rtl w:val="true"/>
        </w:rPr>
        <w:t>.</w:t>
      </w:r>
      <w:r>
        <w:rPr>
          <w:rtl w:val="true"/>
        </w:rPr>
        <w:t>السؤال الثاني</w:t>
      </w:r>
      <w:r>
        <w:rPr>
          <w:rtl w:val="true"/>
        </w:rPr>
        <w:t>:</w:t>
      </w:r>
      <w:bookmarkEnd w:id="57"/>
    </w:p>
    <w:p>
      <w:pPr>
        <w:pStyle w:val="BookText"/>
        <w:rPr/>
      </w:pPr>
      <w:r>
        <w:rPr>
          <w:rFonts w:ascii="Amiri" w:hAnsi="Amiri" w:eastAsia="Amiri" w:cs="Amiri"/>
          <w:color w:val="111111"/>
          <w:sz w:val="28"/>
          <w:sz w:val="28"/>
          <w:szCs w:val="28"/>
          <w:rtl w:val="true"/>
          <w:lang w:bidi="ar-SA"/>
        </w:rPr>
        <w:t xml:space="preserve">بالنظر إلى ما تقدّم ، ألا يمكن القول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في إبلاغ رسالته؟ فقد يتصوّر بعضهم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قصّر في تلقّي الوحي أو في إبلاغه، فلم يحدّث الناس بجميع الحقائق الدينيّة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يحدث أيّ تقصير في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وإن لم يبلغ الناس بكل ما جاء به الوحي لبعض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الناس بتمام الوحي القرآنيّ، وبعض الوحي التبيينيّ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أودع جميع الحقائق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الوحي القرآنيّ والتبيينيّ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مباشر أو غير مباشر، ليبيّنوه للناس في الوقت المناسب</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فإنّ قضيّتي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لعملة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أبلغ الله عَزَّ وَجَلَّ نبيه بجميع الحقائق، لكنّ كمال الدين لا يتحقّق إلّا بعد أن 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بأنّ قسطاً من الحقائق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بعض بيان القرآن وتفسيره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يُفصَح عنه بعد، وأنّه قد أودع علمه إلى الإمام؛ فإن كان الناس طالبين لكمال الدين، فعليهم إذن بالإمام؛ فهو بيان الدين 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كمال الدين بالإمامة؛ لأنّ بيان الوحي بنحو كامل في قبضة الإمام،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فإنّ جميع الحقائق الدينيّة موجودة في القرآن الكريم، وتمام تفسيره وبيانه متوافر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أورثت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تفسير للقرآن الكريم، وما قاله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ويتبيّن بذلك، أنّ أهل البيت هم من خوطب بالقرآن؛ كما ورد في بعض الأحاديث الشريفة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وبطبيعة الحال، ليس المقصود مما 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ليس مكتملاً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الدين ناقص طالما أنّنا نعيش عصر الغيبة، وأنّ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لنا ببقية الحقائق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كامل من دون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لو رحل أحد من المؤمنين عن دار الدنيا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قبل إمامة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قبل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دينه ومعتقده مكتمل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 الله سُبحَانَهُ وَتَعَالى الدين مكتملاً؛ غاية الأمر أنّ الآيات القرآنيّة والأحكام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شرب الخمر، وما إلى ذلك من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بنحو تدريجيّ، وعلى مراحل زمنيّة، وقد أبلغ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ببيان الوحي وتفسيره بنحو تدريجيّ، حسب مقتضيات العصر، وسوف يُعرض بظهور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تفسير وبيان جديدين لم يرد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الأئمة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وجود ما يقتضيه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المعارف التي وصلتنا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ثلاثة أنواع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الآيات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الحديث النبويّ وشرحه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تطبيق الكلّي على مصداقه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 الكبرى على الصغرى؛ مثل ما </w:t>
      </w:r>
    </w:p>
    <w:p>
      <w:pPr>
        <w:pStyle w:val="BookText"/>
        <w:rPr/>
      </w:pPr>
      <w:r>
        <w:rPr>
          <w:rFonts w:ascii="Amiri" w:hAnsi="Amiri" w:eastAsia="Amiri" w:cs="Amiri"/>
          <w:color w:val="111111"/>
          <w:sz w:val="28"/>
          <w:sz w:val="28"/>
          <w:szCs w:val="28"/>
          <w:rtl w:val="true"/>
          <w:lang w:bidi="ar-SA"/>
        </w:rPr>
        <w:t>يفعله المجتهدون، لكن من دون 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سئل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معاملة لم تكن موجودة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 هي حلال أم حرام؟ قد يجيب الإمام بأنّها محلَّلة؛ بناءً على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الإبداع الظاهريّ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هي مطالب جديدة؛ ليست بتطبيق ولا تفسير ومن أمثلتها بعض الأحكام الواصلة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هي تفسير لآية، ولا تعدّ تطبيقاً للكلّيّ على الجزئيّ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يبدو للملاحظ أنّها حكم جديد، وأنّ الإمام جاء بشريعة جديدة؛ في حين أنّها بأسرها بيان للقرآن الكريم؛ فإنّ جميع حقائق الدين موجودة في القرآن، وإنّ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 تفسير القرآن؛ وإن كنّا لا نفقه بعض الحقائق التفسيرية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استعرضناه من تحليل يحلّ مشكلة النوع الثالث من هذه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فإنّ النوع الثالث من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يتعارض مع الخاتمية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حقيقة الدين للأمة، والإمام هو من يقوم بهذا المرحلة من الأطروحة الإلهيّة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بصفته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تتناقض مع الخاتميّة، بل هي تبيان وتكميل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وختم النبوّة يعني ختام أطروحة الشريعة التي لم يبلّغ بعضها للناس، ولمّا ينفّذ بعد، وسوف يقوم الإمام المعصوم بإبلاغ هذا البعض، وتنفيذه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يتبيّن أنّ المرجعيّة الدينيّة للإمام إثباتيّة؛ وليست ثبوتيّة، أنّ مرجعيّة النبيّ الدينيّة ثبوتيّة؛ لأنّ الوحي التشريعي يُلقى إلى النبيّ؛ وليس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مرجعيّة الإمام إثباتيّة يعني أنّ المعارف الدينيّة موجودة لدى الإمام، والإمام يبينها عندما تقتضي الظروف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هناك اختلافاً بين مضمون الولاية </w:t>
      </w:r>
      <w:bookmarkStart w:id="58" w:name="pg16299_219423"/>
    </w:p>
    <w:p>
      <w:pPr>
        <w:pStyle w:val="BookText"/>
        <w:rPr/>
      </w:pPr>
      <w:bookmarkEnd w:id="58"/>
      <w:r>
        <w:rPr>
          <w:rFonts w:ascii="Amiri" w:hAnsi="Amiri" w:eastAsia="Amiri" w:cs="Amiri"/>
          <w:color w:val="111111"/>
          <w:sz w:val="28"/>
          <w:sz w:val="28"/>
          <w:szCs w:val="28"/>
          <w:rtl w:val="true"/>
          <w:lang w:bidi="ar-SA"/>
        </w:rPr>
        <w:t xml:space="preserve">التشريعيّة عند النبيّ وعند الإمام أمّا مضمون الولاية التشريعيّة النبويّة فهو من عند الله جَلَّ وَعَلا مباشرةً ، وأمّا المحتوى التشريعي عند الإمام فهو قادم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الرغم من أنّ أصل الولاية التشريعيّة للإمام ثابتة من قبل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تكون الولاية التشريعيّة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 والولاية التشريعيّة للإمام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ما قاله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فهذا يعني وجود عبارات مقدّرة في المقام؛ فكأنّ الإمام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عن جدّي،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الكلينيّ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شَيْءٍ إِلَّا وفِيه كِتَابٌ أَوْ سُنَّة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أنّ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لدى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الإمام يبيّنها حسب ما تقتضيه الظروف</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369609_1280447820"/>
      <w:bookmarkStart w:id="60" w:name="_Toc23"/>
      <w:bookmarkEnd w:id="59"/>
      <w:r>
        <w:rPr/>
        <w:t>18</w:t>
      </w:r>
      <w:r>
        <w:rPr>
          <w:rtl w:val="true"/>
        </w:rPr>
        <w:t xml:space="preserve"> /</w:t>
      </w:r>
      <w:r>
        <w:rPr/>
        <w:t>5</w:t>
      </w:r>
      <w:r>
        <w:rPr>
          <w:rtl w:val="true"/>
        </w:rPr>
        <w:t xml:space="preserve"> /</w:t>
      </w:r>
      <w:r>
        <w:rPr/>
        <w:t>3</w:t>
      </w:r>
      <w:r>
        <w:rPr>
          <w:rtl w:val="true"/>
        </w:rPr>
        <w:t>.</w:t>
      </w:r>
      <w:r>
        <w:rPr>
          <w:rtl w:val="true"/>
        </w:rPr>
        <w:t xml:space="preserve">السؤال الثالث </w:t>
      </w:r>
      <w:r>
        <w:rPr>
          <w:rtl w:val="true"/>
        </w:rPr>
        <w:t>:</w:t>
      </w:r>
      <w:bookmarkEnd w:id="60"/>
    </w:p>
    <w:p>
      <w:pPr>
        <w:pStyle w:val="BookText"/>
        <w:rPr/>
      </w:pPr>
      <w:r>
        <w:rPr>
          <w:rFonts w:ascii="IRNazanin" w:hAnsi="IRNazanin" w:eastAsia="IRNazanin"/>
          <w:color w:val="111111"/>
          <w:sz w:val="28"/>
          <w:sz w:val="28"/>
          <w:szCs w:val="28"/>
          <w:rtl w:val="true"/>
          <w:lang w:bidi="fa-IR"/>
        </w:rPr>
        <w:t xml:space="preserve">قيل في الفرق بين النبيّ والإمام أنّ النبيّ يتلقى الوحي من الله عَزَّ وَجَلَّ من دون واسطة بشريّة، لكنّ الإمام يتلقّى الحقائق الدينيّة بواسطة النبيّ؛ فكيف يمكن الجمع بين هذا القول وبين الروايات التي أوردت نزول الملائكة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ونزول ملك أعظم من جبرئيل على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لبيان بعض الحقائق؟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بينهما أنّ الذي 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حقيقة دينيّة تنزّلت عليه، فأودع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الحقائق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ليبلّغها للناس حسب ما تقتضيه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مرجعيّة الإمام الدينيّة مرجعيّة وولاية تشريعيّة </w:t>
      </w:r>
    </w:p>
    <w:p>
      <w:pPr>
        <w:pStyle w:val="BookText"/>
        <w:rPr/>
      </w:pPr>
      <w:r>
        <w:rPr>
          <w:rFonts w:ascii="IRNazanin" w:hAnsi="IRNazanin" w:eastAsia="IRNazanin"/>
          <w:color w:val="111111"/>
          <w:sz w:val="28"/>
          <w:sz w:val="28"/>
          <w:szCs w:val="28"/>
          <w:rtl w:val="true"/>
          <w:lang w:bidi="fa-IR"/>
        </w:rPr>
        <w:t>إثباتيّة وليست ثبوتيّة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يعملون على وفق هذه الحقائق الدينيّة، ويرتقون درجات القرب الإلهيّ من خلال العمل بذلك؛ فإنّ تقوى الله سُبحَانَهُ وَتَعَالَى توصل الإنسان إلى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لقد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يبلغون في سيرهم وسلوكم نحو الله سُبحَانَهُ وَتَعَالَى إلى مقام يؤهّلهم ليكونوا معه مهبطاً للملائكة، فيتواصلون مع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من هو أعظم منه ، غير أنّ السماء لم تشأ أن تُنزّل على الإنسان وحياً جديداً، أو أطروحة إلهيّة جديدةً تتخلّل هذا التواصل، بل كان تلقّي المعصومين منحصراً بالحقائق غير الدينيّة، وحسب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ما تقدّم ، ينبغي الجمع بين مطالب عدّة؛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حسب الرؤية الشيعيّة الإثني عشريّة؛ وهي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امتلاك الولاية التكوينيّة والتشريعيّة والقياديّة، علاوةً على التواصل مع الملائكة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وعدم الجمع بين هذه النقاط قد أدّى ببعض الكتاب إلى استنتاج خاطئ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من عقائد غلاة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مشكلتهم في هذا البحث أنّهم يضعون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مصاف المجتهدين؛ لأنّهم وجدوا أنفسهم محاصرين بين فرضيتين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يذهبوا إلى نبوّة هؤلاء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لا يتلاءم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أن ينتهوا إلى أنّهم مجتهدون، لا يمتنع صدور الخطأ منهم ، و المجتهد المعصوم مفهوم متناقض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من أبحاث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تضاهي مقام النبوّة، ولا تساوي الاجتهاد، بل هي حقيقة مستقلّة، يتلقّى معها الإمام الحقائق الدينيّة مباشرة بالعلم اللدنّيّ القادم من النبيّ، ويتمكّن معها الإمام من التواصل مع الملائكة لتلقّي أمور غير دينيّة</w:t>
      </w:r>
      <w:r>
        <w:rPr>
          <w:rFonts w:eastAsia="Amiri" w:cs="Amiri" w:ascii="Amiri" w:hAnsi="Amiri"/>
          <w:color w:val="111111"/>
          <w:sz w:val="28"/>
          <w:szCs w:val="28"/>
          <w:rtl w:val="true"/>
          <w:lang w:bidi="ar-SA"/>
        </w:rPr>
        <w:t>.</w:t>
      </w:r>
      <w:bookmarkStart w:id="61" w:name="pg16299_219426"/>
    </w:p>
    <w:p>
      <w:pPr>
        <w:pStyle w:val="Heading3"/>
        <w:numPr>
          <w:ilvl w:val="2"/>
          <w:numId w:val="1"/>
        </w:numPr>
        <w:rPr/>
      </w:pPr>
      <w:bookmarkStart w:id="62" w:name="__RefHeading___Toc5369611_1280447820"/>
      <w:bookmarkStart w:id="63" w:name="_Toc24"/>
      <w:bookmarkEnd w:id="61"/>
      <w:bookmarkEnd w:id="62"/>
      <w:r>
        <w:rPr/>
        <w:t>19</w:t>
      </w:r>
      <w:r>
        <w:rPr>
          <w:rtl w:val="true"/>
        </w:rPr>
        <w:t>.</w:t>
      </w:r>
      <w:r>
        <w:rPr>
          <w:rtl w:val="true"/>
        </w:rPr>
        <w:t>شرعيّة الإمامة</w:t>
      </w:r>
      <w:bookmarkEnd w:id="63"/>
    </w:p>
    <w:p>
      <w:pPr>
        <w:pStyle w:val="Heading4"/>
        <w:numPr>
          <w:ilvl w:val="3"/>
          <w:numId w:val="1"/>
        </w:numPr>
        <w:rPr/>
      </w:pPr>
      <w:bookmarkStart w:id="64" w:name="__RefHeading___Toc5369613_1280447820"/>
      <w:bookmarkStart w:id="65" w:name="_Toc25"/>
      <w:bookmarkEnd w:id="64"/>
      <w:r>
        <w:rPr/>
        <w:t>19</w:t>
      </w:r>
      <w:r>
        <w:rPr>
          <w:rtl w:val="true"/>
        </w:rPr>
        <w:t xml:space="preserve"> /</w:t>
      </w:r>
      <w:r>
        <w:rPr/>
        <w:t>1</w:t>
      </w:r>
      <w:r>
        <w:rPr>
          <w:rtl w:val="true"/>
        </w:rPr>
        <w:t xml:space="preserve"> .</w:t>
      </w:r>
      <w:r>
        <w:rPr>
          <w:rtl w:val="true"/>
        </w:rPr>
        <w:t>تقرير عبد الجبار المعتزليّ</w:t>
      </w:r>
      <w:r>
        <w:rPr>
          <w:rtl w:val="true"/>
        </w:rPr>
        <w:t>:</w:t>
      </w:r>
      <w:bookmarkEnd w:id="65"/>
    </w:p>
    <w:p>
      <w:pPr>
        <w:pStyle w:val="BookText"/>
        <w:rPr/>
      </w:pPr>
      <w:r>
        <w:rPr>
          <w:rFonts w:ascii="Amiri" w:hAnsi="Amiri" w:eastAsia="Amiri" w:cs="Amiri"/>
          <w:color w:val="111111"/>
          <w:sz w:val="28"/>
          <w:sz w:val="28"/>
          <w:szCs w:val="28"/>
          <w:rtl w:val="true"/>
          <w:lang w:bidi="ar-SA"/>
        </w:rPr>
        <w:t xml:space="preserve">يقول القاضي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الناس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بوجوب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لم يوجبها أصلاً؛ وهم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أوجبها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أوجبها سمعاً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يمكن القول بأنّ الشرعيّة الفلسفيّة والكلاميّة للإمامة تنقسم إلى نظريّتين رئيستين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عدم وجوب الإمامة؛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لا تمتلك شرعيّة فلسفيّة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وجوب الإمامة؛ بمعنى أنّ للإمامة شرعيّة فلسفيّة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وجوب الإمامة وضرورتها هنالك ثلاثة مدّعيات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النقليّ السمعيّ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العقليّ السمعيّ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السؤال الذي نواجهه في الإمامة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الإمامة واجبة أم لا؟</w:t>
      </w:r>
    </w:p>
    <w:p>
      <w:pPr>
        <w:pStyle w:val="BookText"/>
        <w:rPr/>
      </w:pPr>
      <w:r>
        <w:rPr>
          <w:rFonts w:ascii="Amiri" w:hAnsi="Amiri" w:eastAsia="Amiri" w:cs="Amiri"/>
          <w:color w:val="111111"/>
          <w:sz w:val="28"/>
          <w:sz w:val="28"/>
          <w:szCs w:val="28"/>
          <w:rtl w:val="true"/>
          <w:lang w:bidi="ar-SA"/>
        </w:rPr>
        <w:t>يقول القاضي عبدالجبار في بحث الإمامة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اعتمدا وغيرهما على ما ثبت من إجماع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يبيّن صحّة الإجماع في </w:t>
      </w:r>
      <w:bookmarkStart w:id="66" w:name="pg16299_219427"/>
    </w:p>
    <w:p>
      <w:pPr>
        <w:pStyle w:val="BookText"/>
        <w:rPr/>
      </w:pPr>
      <w:bookmarkEnd w:id="66"/>
      <w:r>
        <w:rPr>
          <w:rFonts w:ascii="Amiri" w:hAnsi="Amiri" w:eastAsia="Amiri" w:cs="Amiri"/>
          <w:color w:val="111111"/>
          <w:sz w:val="28"/>
          <w:sz w:val="28"/>
          <w:szCs w:val="28"/>
          <w:rtl w:val="true"/>
          <w:lang w:bidi="ar-SA"/>
        </w:rPr>
        <w:t>ذلك أنّ كلّ من خالف فيه لا يُعدّ في الإجماع؛ لأنّه إنّما خالف في ذلك بعض الخوارج، وقد ثبت أنّهم لا يُعدّون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ضرار فأبعدُ من أن يُعدّ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الأصمّ فقد سبقه الإجماع؛ وإن كان شيخنا أبو عليّ حكى عنه ما يدلّ على أنّه غير مخالف في ذلك، وأنّه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أنصف الناس بعضهم بعضاً، وزال التظالم، وما يوجب إقامة الحدّ، لاستغنى الناس عن إمام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وحسب هذا النصّ فإنّ القائلين بعدم الوجوب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إنكار الشرعيّة الفلسفيّة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الخوارج، وشخص من المعتزلة هو أبو بكر الأصمّ </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 يستدرك قائلاً بأنّه سمع من أستاذه أبي علي الجبائيّ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تفسيراً مغايراً لنظرية الأصمّ؛ فهو لم یكن ينكر الإمامة، بل أراد القول بأنّ الناس لو عاشوا بالعدل والإنصاف، ولم يظلموا أنفسهم، لاستغنوا عن وجود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مدّعاه في قضيّة إنكار وجوب الإمام مأخوذ على نحو القضيّة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القضية الشرطيّة متوقف على صدق التلازم بين المقدم والتالي،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التلازم بين الشرط والجزاء، وليس مرتهناً بصدق المقدّم والتالي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أنّ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وبتبعه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القضية الشرطيّة لا يتحقّق خارجياًّ، فلنا أن ندعي بأنّ هذه النظرية لا تستلزم إنكار وجوب الإمام في عالم الواقع، ولا تدلّ على استغناء الناس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القاضي عبد الجبار يستثني أبابكر الأصمّ عن الخوارج؛ لأنّه من المعتزلة، فيبقى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المطاف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المسلمة الوحيدة التي تؤمن بنظريّة عدم وجوب الإمامة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5369615_1280447820"/>
      <w:bookmarkStart w:id="68" w:name="_Toc26"/>
      <w:bookmarkEnd w:id="67"/>
      <w:r>
        <w:rPr/>
        <w:t>19</w:t>
      </w:r>
      <w:r>
        <w:rPr>
          <w:rtl w:val="true"/>
        </w:rPr>
        <w:t xml:space="preserve">/ </w:t>
      </w:r>
      <w:r>
        <w:rPr/>
        <w:t>2</w:t>
      </w:r>
      <w:r>
        <w:rPr>
          <w:rtl w:val="true"/>
        </w:rPr>
        <w:t>.</w:t>
      </w:r>
      <w:r>
        <w:rPr>
          <w:rtl w:val="true"/>
        </w:rPr>
        <w:t>تقرير العلّامة الحلّي</w:t>
      </w:r>
      <w:r>
        <w:rPr>
          <w:rtl w:val="true"/>
        </w:rPr>
        <w:t>:</w:t>
      </w:r>
      <w:bookmarkEnd w:id="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وجوب الإمامة أو عدم الوجوب شارحاً كلام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69" w:name="pg16299_219428"/>
    </w:p>
    <w:p>
      <w:pPr>
        <w:pStyle w:val="BookText"/>
        <w:rPr/>
      </w:pPr>
      <w:bookmarkEnd w:id="69"/>
      <w:r>
        <w:rPr>
          <w:rFonts w:ascii="Amiri" w:hAnsi="Amiri" w:eastAsia="Amiri" w:cs="Amiri"/>
          <w:color w:val="111111"/>
          <w:sz w:val="28"/>
          <w:sz w:val="28"/>
          <w:szCs w:val="28"/>
          <w:rtl w:val="true"/>
          <w:lang w:bidi="ar-SA"/>
        </w:rPr>
        <w:t xml:space="preserve">اختلف الناس هنا؛ فذهب الأصمّ من المعتزلة وجماعة من الخوارج إلى نفي وجوب نصب الإمام، وذهب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باقي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اختلفوا فالجبائيّان وأصحاب الحديث، والأشعريّة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سمعاً؛ 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الحسين البصري، والبغداديّون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نصب الإمام واجب على الله تعالى، أم على الناس؟ في نظريّتين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أبوالحسين والبغداديّون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على العقلاء</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5369617_1280447820"/>
      <w:bookmarkStart w:id="71" w:name="_Toc27"/>
      <w:bookmarkEnd w:id="70"/>
      <w:r>
        <w:rPr/>
        <w:t>19</w:t>
      </w:r>
      <w:r>
        <w:rPr>
          <w:rtl w:val="true"/>
        </w:rPr>
        <w:t xml:space="preserve">/ </w:t>
      </w:r>
      <w:r>
        <w:rPr/>
        <w:t>3</w:t>
      </w:r>
      <w:r>
        <w:rPr>
          <w:rtl w:val="true"/>
        </w:rPr>
        <w:t>.</w:t>
      </w:r>
      <w:r>
        <w:rPr>
          <w:rtl w:val="true"/>
        </w:rPr>
        <w:t>وجوب الإمامة على الله أو على الأمّة</w:t>
      </w:r>
      <w:r>
        <w:rPr>
          <w:rtl w:val="true"/>
        </w:rPr>
        <w:t>:</w:t>
      </w:r>
      <w:bookmarkEnd w:id="71"/>
    </w:p>
    <w:p>
      <w:pPr>
        <w:pStyle w:val="BookText"/>
        <w:rPr/>
      </w:pPr>
      <w:r>
        <w:rPr>
          <w:rFonts w:ascii="Amiri" w:hAnsi="Amiri" w:eastAsia="Amiri" w:cs="Amiri"/>
          <w:color w:val="111111"/>
          <w:sz w:val="28"/>
          <w:sz w:val="28"/>
          <w:szCs w:val="28"/>
          <w:rtl w:val="true"/>
          <w:lang w:bidi="ar-SA"/>
        </w:rPr>
        <w:t>أحد الأسئلة المهمّة التي يجب أن تُعالج في هذه البحوث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الإمامة واجبة على الناس؟ أم أنّ وجوبها متوجّه لله جَلَّ وَعَلا ؟</w:t>
      </w:r>
    </w:p>
    <w:p>
      <w:pPr>
        <w:pStyle w:val="BookText"/>
        <w:rPr/>
      </w:pPr>
      <w:r>
        <w:rPr>
          <w:rFonts w:ascii="Amiri" w:hAnsi="Amiri" w:eastAsia="Amiri" w:cs="Amiri"/>
          <w:color w:val="111111"/>
          <w:sz w:val="28"/>
          <w:sz w:val="28"/>
          <w:szCs w:val="28"/>
          <w:rtl w:val="true"/>
          <w:lang w:bidi="ar-SA"/>
        </w:rPr>
        <w:t xml:space="preserve">يصنّف القاضي عبدالجبار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بوجوب الإمامة إلى فريقين؛ فأهل السنّة يرون وجوبها على الأمّة؛ بمعنى أنّ نصب الإمام أمر واجب على النّاس، بينما ترى الإماميّة أنّ الوجوب متوجّه لله تَبَارَكَ وَتَعَالى؛ أي إنّ نصب الإمام واجب على الله عَزَّ وَجَلَّ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الأسباب التي أدّت إلى بروز هذين الاتجاهين أنّ الشروط اللازمة في الإمامة لو كانت تدور حول صفات 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امتلاك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 بالشجاعة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إلى ذلك مما ورد في كتب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الأصول الخمسة </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الطبيعيّ أنّ الأمّة ستكون قادرة على تشخيص مصاديق الإمامة واختيار الإمام، أما لو ذهبنا إلى </w:t>
      </w:r>
    </w:p>
    <w:p>
      <w:pPr>
        <w:pStyle w:val="BookText"/>
        <w:rPr/>
      </w:pP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فلا ريب بضرورة الرجوع إلى النصّ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يعبّر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تقتضي النصّ</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اشتراط العصمة يستلزم وجود النصّ الإلهيّ، وتشريع الشارع المقدّس</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وعلماء الإماميّة مجمعون على نظرية الوجوب على الله سُبحَانَهُ وَتَعَالى؛ لأنّ نصب الإمام فعل إلهيّ، وكون القضيّة كلاميّة، وأنّها من فعل الله يتلازم مع الوجوب على الله جَلَّ وَعَلا؛ مثل أصل التكليف؛ فإنّه يجب على الله تَبَارَكَ وَتَعَالى من حيث أنّه فعل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فإنّ المقصود من الوجوب على الله ليس فرض تكليف على الله عَزّ وَجَلَّ، بل المراد أنّ الوجوب الإلهيّ يُستكشف من خلال الضرورة العقليّة أو النقليّة، مثله في ذلك مثل قاعدة ضرورة العليّة التي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العلّة التامّة فالمعلول يتحقّق بالضرورة العقليّة، والوجوب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الحسين البصري، والبغداديّون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عقلاً، ثمّ اختلفوا؛ فقالت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نصبه 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أبوالحسين والبغداديّون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على العقلاء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الرغم من أنّ المعتزلة أذعنوا بالوجوب العقليّ، إلّا أنّهم ذهبوا إلى وجوب النصب على الناس؛ لا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الإماميّة فقد رأوا أنّ الوجوب متوجّه إلى الله جَلَّ وَعَلا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تقرير 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فرقة تُصنّف في ضمن الفرق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الوجوب على الله جَلَّ وَعَلا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72" w:name="pg16299_219430"/>
    </w:p>
    <w:p>
      <w:pPr>
        <w:pStyle w:val="BookText"/>
        <w:rPr/>
      </w:pPr>
      <w:bookmarkEnd w:id="72"/>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القائلون بوجوبه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الغلاة والإسماعيليّة، وأمّا القائلون بوجوبه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الشيعة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ذلك، يمكن استنتاج أنّ الإماميّة تعتقد بالوجوب الإلهيّ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الممكن إثبات الشرعيّة الفلسفيّة والكلاميّة للإمامة بالأدلّة العقليّة المحضة، والأدلّة النقليّة المحضة، والأدلّة العقليّة 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الأدلّة النقليّة فهي الآيات والأحاديث الشريفة المروية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تستلزم وجود الإمام في المجتمع الإسلامي وتحقّقه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العقليّة فهي المقدّمات التي تنتهي إمّا إلى نتائج عقليّة أو إلى فوائد عقلانيّة؛ فالمرابطة على حدود المجتمع ، وتجهيز القوات الدفاعية، وتنفيذ الإجراءات الاقتصاديّة، وقمع المشاغبين، وإقامة صلوات الأعياد والجمعات، وفصل الخصومات، وتقسيم الغنائم، وحفظ النظام الاجتماعيّ الإسلاميّ، واستقرار العدل، وما إلى ذلك، من شأنه أي يُعدّ من أدلّة وجوب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يأتي إلماحة إلى بعض الأدلّة النقليّة والعقليّة لشرعيّة الإمامة فلسفياًّ وكلاميّاً </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5369619_1280447820"/>
      <w:bookmarkStart w:id="74" w:name="_Toc28"/>
      <w:bookmarkEnd w:id="73"/>
      <w:r>
        <w:rPr/>
        <w:t>19</w:t>
      </w:r>
      <w:r>
        <w:rPr>
          <w:rtl w:val="true"/>
        </w:rPr>
        <w:t xml:space="preserve"> /</w:t>
      </w:r>
      <w:r>
        <w:rPr/>
        <w:t>4</w:t>
      </w:r>
      <w:r>
        <w:rPr>
          <w:rtl w:val="true"/>
        </w:rPr>
        <w:t>.</w:t>
      </w:r>
      <w:r>
        <w:rPr>
          <w:rtl w:val="true"/>
        </w:rPr>
        <w:t xml:space="preserve">استدلال أهل الحديث </w:t>
      </w:r>
      <w:r>
        <w:rPr>
          <w:rtl w:val="true"/>
        </w:rPr>
        <w:t>:</w:t>
      </w:r>
      <w:bookmarkEnd w:id="74"/>
    </w:p>
    <w:p>
      <w:pPr>
        <w:pStyle w:val="BookText"/>
        <w:rPr/>
      </w:pPr>
      <w:r>
        <w:rPr>
          <w:rFonts w:ascii="Amiri" w:hAnsi="Amiri" w:eastAsia="Amiri" w:cs="Amiri"/>
          <w:color w:val="111111"/>
          <w:sz w:val="28"/>
          <w:sz w:val="28"/>
          <w:szCs w:val="28"/>
          <w:rtl w:val="true"/>
          <w:lang w:bidi="ar-SA"/>
        </w:rPr>
        <w:t xml:space="preserve">استدلّ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إمام الحنابلة والظاهريّين، ومن أبرز ناقدي المنهج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عقليّ أراد منه إثبات وجوب الإمامة نقليّاً؛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إذا لم يكن إمام يقوم بأمر الناس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بذلك أنّ الناس إن لم يكن لهم إمام يدير شؤونهم، فستحلّ الفتنة في مجتمعهم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فإنّ وجود الإمام ضروريّ لاجتناب وقوع الفتن</w:t>
      </w:r>
      <w:r>
        <w:rPr>
          <w:rFonts w:eastAsia="Amiri" w:cs="Amiri" w:ascii="Amiri" w:hAnsi="Amiri"/>
          <w:color w:val="111111"/>
          <w:sz w:val="28"/>
          <w:szCs w:val="28"/>
          <w:rtl w:val="true"/>
          <w:lang w:bidi="ar-SA"/>
        </w:rPr>
        <w:t xml:space="preserve">. </w:t>
      </w:r>
      <w:bookmarkStart w:id="75" w:name="pg16299_219431"/>
    </w:p>
    <w:p>
      <w:pPr>
        <w:pStyle w:val="Heading4"/>
        <w:numPr>
          <w:ilvl w:val="3"/>
          <w:numId w:val="1"/>
        </w:numPr>
        <w:rPr/>
      </w:pPr>
      <w:bookmarkStart w:id="76" w:name="__RefHeading___Toc5369621_1280447820"/>
      <w:bookmarkStart w:id="77" w:name="_Toc29"/>
      <w:bookmarkEnd w:id="75"/>
      <w:bookmarkEnd w:id="76"/>
      <w:r>
        <w:rPr/>
        <w:t>19</w:t>
      </w:r>
      <w:r>
        <w:rPr>
          <w:rtl w:val="true"/>
        </w:rPr>
        <w:t xml:space="preserve"> /</w:t>
      </w:r>
      <w:r>
        <w:rPr/>
        <w:t>5</w:t>
      </w:r>
      <w:r>
        <w:rPr>
          <w:rtl w:val="true"/>
        </w:rPr>
        <w:t>.</w:t>
      </w:r>
      <w:r>
        <w:rPr>
          <w:rtl w:val="true"/>
        </w:rPr>
        <w:t xml:space="preserve">استدلال المعتزلة </w:t>
      </w:r>
      <w:r>
        <w:rPr>
          <w:rtl w:val="true"/>
        </w:rPr>
        <w:t>:</w:t>
      </w:r>
      <w:bookmarkEnd w:id="77"/>
    </w:p>
    <w:p>
      <w:pPr>
        <w:pStyle w:val="BookText"/>
        <w:rPr/>
      </w:pPr>
      <w:r>
        <w:rPr>
          <w:rFonts w:ascii="Amiri" w:hAnsi="Amiri" w:eastAsia="Amiri" w:cs="Amiri"/>
          <w:color w:val="111111"/>
          <w:sz w:val="28"/>
          <w:sz w:val="28"/>
          <w:szCs w:val="28"/>
          <w:rtl w:val="true"/>
          <w:lang w:bidi="ar-SA"/>
        </w:rPr>
        <w:t xml:space="preserve">أقام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متكلّمي المعتزلة في القرن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الكلاميّة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الأدلّة على الوجوب العقليّ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بيان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كان لا بدّ للعباد من أن يكونوا مأمورين منهيين بين عدوّ عاص ومطيع وليّ، علمنا أنّ الناس لا يستطيعون مدافعة طبائعهم ومخالفة أهوائهم إلّا بالزجر الشديد والتوعّد بالعقاب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عقول الناس لا تبلغ جميع مصالحهم في دنياهم فهم عن مصالح دينهم أعجز ؛ إذ كان علم الدين مستنبطاً من علم الدنيا، وإذا كان العلم مباشرةً، أو سبباً بالمباشرة، وعلم الدين غامض لا يتخلّص إلى معرفته إلّا بالطبيعة الفائقة والعناية الشديدة مع تلقين الأئمّة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بذلك أنّ المجتمع الإنساني عاجز عن تحديد الصديق والعدوّ الحقيقيين، كما أنّه عاجز عن التفريق بين طاعة الله وطاعة الشيطان، وبين العمل بالدين وتركه وليس هناك شيء يمكن له ضبط الناس وتوجيههم نحو الصلاح والفلاح غير الأوامر والنواهي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المبنيّة وفقاً للمصالح والمفاسد الحقيقيّة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العقاب الإلهيّ الأليم، فلا بدّ من الأمر والنهي من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بأنّ الإمام هو من يحقّق ضبط المجتمع، وهو الضمان لتحقّق القوانين الجنائيّة؛ ليستبين الصديق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إنّما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الولاية السياسيّة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الثاني الذي أقامه الجاحظ إثباتاً للإمامة، فقد قال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الناس لو كانوا يبلغون بأنفسهم غاية مصالحهم في دينهم ودنياهم لكان إرسال الرسل قليل النفع، يسير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يبلغون بأنفسهم </w:t>
      </w:r>
      <w:bookmarkStart w:id="78" w:name="pg16299_219432"/>
    </w:p>
    <w:p>
      <w:pPr>
        <w:pStyle w:val="BookText"/>
        <w:rPr/>
      </w:pPr>
      <w:bookmarkEnd w:id="78"/>
      <w:r>
        <w:rPr>
          <w:rFonts w:ascii="Amiri" w:hAnsi="Amiri" w:eastAsia="Amiri" w:cs="Amiri"/>
          <w:color w:val="111111"/>
          <w:sz w:val="28"/>
          <w:sz w:val="28"/>
          <w:szCs w:val="28"/>
          <w:rtl w:val="true"/>
          <w:lang w:bidi="ar-SA"/>
        </w:rPr>
        <w:t>معرفة ذلك وإصلاحه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عن التعديل والتجوير وتفصيل التأويل والكلام في مجيءالأخبار وأصول الأديان أعجز ، وأجدر أن لا يبلغوا منه الغاية، ولا ينالوا منه الحاجة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بذلك أنّ عقول الناس ليست فقط عاجزة عن فهم المصالح الدنيويّة، بل هي عاجزة بنحو أكبر في معرفة المصالح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نستنتج من ذلك أنّهم محتاجون لأئمّة يعرفونهم بجميع المصالح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المهمّ الذي غاب عن الجاحظ هو أنّ دليله هذا، يثبت الإمامة بمعناها الذي يتبنّاه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المتّصفة بالولاية التكوينيّة والتشريعيّة والاجتماعيّة والعصمة؛ لأنّ وجود الإمام العالم بمصالح الدنيا والآخرة يستلزم امتلاكه المرجعيّة الدينيّة، والولاية التشريعيّة، علاوةً على ما له من المرجعيّة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يتناسب مع الإمامة التي ذهبت إليها فرق أهل السنّة</w:t>
      </w:r>
      <w:r>
        <w:rPr>
          <w:rFonts w:eastAsia="IRNazanin" w:cs="IRNazanin"/>
          <w:color w:val="111111"/>
          <w:sz w:val="28"/>
          <w:szCs w:val="28"/>
          <w:rtl w:val="true"/>
          <w:lang w:bidi="fa-IR"/>
        </w:rPr>
        <w:t>.</w:t>
      </w:r>
    </w:p>
    <w:p>
      <w:pPr>
        <w:pStyle w:val="Heading4"/>
        <w:numPr>
          <w:ilvl w:val="3"/>
          <w:numId w:val="1"/>
        </w:numPr>
        <w:rPr/>
      </w:pPr>
      <w:bookmarkStart w:id="79" w:name="__RefHeading___Toc5369623_1280447820"/>
      <w:bookmarkStart w:id="80" w:name="_Toc30"/>
      <w:bookmarkEnd w:id="79"/>
      <w:r>
        <w:rPr/>
        <w:t>19</w:t>
      </w:r>
      <w:r>
        <w:rPr>
          <w:rtl w:val="true"/>
        </w:rPr>
        <w:t xml:space="preserve"> /</w:t>
      </w:r>
      <w:r>
        <w:rPr/>
        <w:t>6</w:t>
      </w:r>
      <w:r>
        <w:rPr>
          <w:rtl w:val="true"/>
        </w:rPr>
        <w:t>.</w:t>
      </w:r>
      <w:r>
        <w:rPr>
          <w:rtl w:val="true"/>
        </w:rPr>
        <w:t>أدلّة الأشاعرة</w:t>
      </w:r>
      <w:r>
        <w:rPr>
          <w:rtl w:val="true"/>
        </w:rPr>
        <w:t>:</w:t>
      </w:r>
      <w:bookmarkEnd w:id="80"/>
    </w:p>
    <w:p>
      <w:pPr>
        <w:pStyle w:val="Heading5"/>
        <w:numPr>
          <w:ilvl w:val="4"/>
          <w:numId w:val="1"/>
        </w:numPr>
        <w:rPr/>
      </w:pPr>
      <w:bookmarkStart w:id="81" w:name="__RefHeading___Toc5369625_1280447820"/>
      <w:bookmarkStart w:id="82" w:name="_Toc31"/>
      <w:bookmarkEnd w:id="81"/>
      <w:r>
        <w:rPr>
          <w:rtl w:val="true"/>
        </w:rPr>
        <w:t>إشارة</w:t>
      </w:r>
      <w:r>
        <w:rPr>
          <w:rtl w:val="true"/>
        </w:rPr>
        <w:t>:</w:t>
      </w:r>
      <w:bookmarkEnd w:id="82"/>
    </w:p>
    <w:p>
      <w:pPr>
        <w:pStyle w:val="BookText"/>
        <w:rPr/>
      </w:pPr>
      <w:r>
        <w:rPr>
          <w:rFonts w:ascii="Amiri" w:hAnsi="Amiri" w:eastAsia="Amiri" w:cs="Amiri"/>
          <w:color w:val="111111"/>
          <w:sz w:val="28"/>
          <w:sz w:val="28"/>
          <w:szCs w:val="28"/>
          <w:rtl w:val="true"/>
          <w:lang w:bidi="ar-SA"/>
        </w:rPr>
        <w:t>تمسّك المتكلّمون الأشاعرة لإثبات ضرورة الإمامة ببعض الأدلّة؛ نأتي على ذكرها فيما يأتي</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5369627_1280447820"/>
      <w:bookmarkStart w:id="84" w:name="_Toc32"/>
      <w:bookmarkEnd w:id="83"/>
      <w:r>
        <w:rPr/>
        <w:t>19</w:t>
      </w:r>
      <w:r>
        <w:rPr>
          <w:rtl w:val="true"/>
        </w:rPr>
        <w:t xml:space="preserve"> /</w:t>
      </w:r>
      <w:r>
        <w:rPr/>
        <w:t>6</w:t>
      </w:r>
      <w:r>
        <w:rPr>
          <w:rtl w:val="true"/>
        </w:rPr>
        <w:t xml:space="preserve"> /</w:t>
      </w:r>
      <w:r>
        <w:rPr/>
        <w:t>1</w:t>
      </w:r>
      <w:r>
        <w:rPr>
          <w:rtl w:val="true"/>
        </w:rPr>
        <w:t>.</w:t>
      </w:r>
      <w:r>
        <w:rPr>
          <w:rtl w:val="true"/>
        </w:rPr>
        <w:t>أوّلاً</w:t>
      </w:r>
      <w:r>
        <w:rPr>
          <w:rtl w:val="true"/>
        </w:rPr>
        <w:t xml:space="preserve">: </w:t>
      </w:r>
      <w:r>
        <w:rPr>
          <w:rtl w:val="true"/>
        </w:rPr>
        <w:t xml:space="preserve">دليل مقدّمة الواجب </w:t>
      </w:r>
      <w:r>
        <w:rPr>
          <w:rtl w:val="true"/>
        </w:rPr>
        <w:t>:</w:t>
      </w:r>
      <w:bookmarkEnd w:id="84"/>
    </w:p>
    <w:p>
      <w:pPr>
        <w:pStyle w:val="BookText"/>
        <w:rPr/>
      </w:pPr>
      <w:r>
        <w:rPr>
          <w:rFonts w:ascii="Amiri" w:hAnsi="Amiri" w:eastAsia="Amiri" w:cs="Amiri"/>
          <w:color w:val="111111"/>
          <w:sz w:val="28"/>
          <w:sz w:val="28"/>
          <w:szCs w:val="28"/>
          <w:rtl w:val="true"/>
          <w:lang w:bidi="ar-SA"/>
        </w:rPr>
        <w:t xml:space="preserve">ذكر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كتبه عند الحديث عن ضرورة الإمام أنّ نصب الإمام مقدّمة للواجبات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وطالما أنّ مقدّمات الواجبات المطلقة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كبرى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فنصب الإمام واجب إذن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المقدس أمر بتنفيذ الحدود، وتجهيز الجيش، والمرابطة على حدود البلاد الإسلاميّة، وحفظ الكيان الإسلاميّ، وهذه الأمور </w:t>
      </w:r>
      <w:r>
        <w:rPr>
          <w:rFonts w:eastAsia="Amiri" w:cs="Amiri" w:ascii="Amiri" w:hAnsi="Amiri"/>
          <w:color w:val="111111"/>
          <w:sz w:val="28"/>
          <w:szCs w:val="28"/>
          <w:rtl w:val="true"/>
          <w:lang w:bidi="ar-SA"/>
        </w:rPr>
        <w:t xml:space="preserve">- </w:t>
      </w:r>
      <w:bookmarkStart w:id="85" w:name="pg16299_219433"/>
    </w:p>
    <w:p>
      <w:pPr>
        <w:pStyle w:val="BookText"/>
        <w:rPr/>
      </w:pPr>
      <w:bookmarkEnd w:id="85"/>
      <w:r>
        <w:rPr>
          <w:rFonts w:ascii="Amiri" w:hAnsi="Amiri" w:eastAsia="Amiri" w:cs="Amiri"/>
          <w:color w:val="111111"/>
          <w:sz w:val="28"/>
          <w:sz w:val="28"/>
          <w:szCs w:val="28"/>
          <w:rtl w:val="true"/>
          <w:lang w:bidi="ar-SA"/>
        </w:rPr>
        <w:t xml:space="preserve">التي تُعدّ من الواجبات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تنفيذها من دون إمام؛ فنصب الإمام إذن مقدّمة للواجبات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 المقدّمة الثانية التي تنصّ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توفير مقدمات الواجبات المطلقة حالة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في علم أصول الفقه؛ فيكون نصب الإمام واجباً شرعيّاً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البرهان لا يتطابق مع المبادئ التي آمن بها الأشاعرة؛ لأنّ وجوب المقدّمة إنّما يثبت بواسطة الملازمة بين الأحكام الشرعيّة والعقليّة؛ وهذا لا ينسجم مع عقيدة من أنكر الحسن و القبح العقليّين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5369629_1280447820"/>
      <w:bookmarkStart w:id="87" w:name="_Toc33"/>
      <w:bookmarkEnd w:id="86"/>
      <w:r>
        <w:rPr/>
        <w:t>19</w:t>
      </w:r>
      <w:r>
        <w:rPr>
          <w:rtl w:val="true"/>
        </w:rPr>
        <w:t xml:space="preserve"> /</w:t>
      </w:r>
      <w:r>
        <w:rPr/>
        <w:t>6</w:t>
      </w:r>
      <w:r>
        <w:rPr>
          <w:rtl w:val="true"/>
        </w:rPr>
        <w:t xml:space="preserve"> /</w:t>
      </w:r>
      <w:r>
        <w:rPr/>
        <w:t>2</w:t>
      </w:r>
      <w:r>
        <w:rPr>
          <w:rtl w:val="true"/>
        </w:rPr>
        <w:t>.</w:t>
      </w:r>
      <w:r>
        <w:rPr>
          <w:rtl w:val="true"/>
        </w:rPr>
        <w:t>ثانياً</w:t>
      </w:r>
      <w:r>
        <w:rPr>
          <w:rtl w:val="true"/>
        </w:rPr>
        <w:t xml:space="preserve">: </w:t>
      </w:r>
      <w:r>
        <w:rPr>
          <w:rtl w:val="true"/>
        </w:rPr>
        <w:t>دليل ضرورة دفع الضرر</w:t>
      </w:r>
      <w:r>
        <w:rPr>
          <w:rtl w:val="true"/>
        </w:rPr>
        <w:t>:</w:t>
      </w:r>
      <w:bookmarkEnd w:id="87"/>
    </w:p>
    <w:p>
      <w:pPr>
        <w:pStyle w:val="BookText"/>
        <w:rPr/>
      </w:pPr>
      <w:r>
        <w:rPr>
          <w:rFonts w:ascii="Amiri" w:hAnsi="Amiri" w:eastAsia="Amiri" w:cs="Amiri"/>
          <w:color w:val="111111"/>
          <w:sz w:val="28"/>
          <w:sz w:val="28"/>
          <w:szCs w:val="28"/>
          <w:rtl w:val="true"/>
          <w:lang w:bidi="ar-SA"/>
        </w:rPr>
        <w:t>أورد المتكلّمون الأشاعرة والمعتزلة هذا الدليل بتعابير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نستعرض تقرير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استدلّ على الوجوب الشرعيّ للإمامة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نصب الإمام يتضمّن دفع الضرر عن النفس،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فلأنّا نعلم أنّ الخلق إذا كان لهم رئيس قاهر يخافون بطشه، ويرجون ثوابه، كان حالهم في الاحتراز عن المفاسد أتمّ مما إذا لم يكن لهم هذا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دفع الضرر عن النفس واجب، فبالإجماع عند من لا يقول بالوجوب العقليّ، وبضرورة العقل عند من يقول به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الإمام يوجب دفع الضرر عن النفس، ودفع الضرر عن النفس ،واجب، فنصب الإمام واجب</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وبعد أن ادّعى أنّ المقدّمة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الإمام يتضمّن دفع الضرر عن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أشار في هذا النصّ إلى أنّ المقدّمة الثانية هي موضع وفاق جميع عقلاء العالم؛ سواء عند من آمن بالحسن والقبح في الأشياء، أو عند من أنكر ذلك؛ لأنّ المنكر للحسن و القبح في الأشياء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الضرر عن النفس ثابت بإجماع الأنبياء والرسل وجميع الأمم والأديان، ومن يقول بالحسن والقبح في الأشياء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دفع الضرر عن النفس من البديهيات العقليّة، فيكون وجوب دفع الضرر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اتفاق عقلاء العالم، فيثبت أن نصب الإمام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الذي جاء به المصنّف على وجوب الإمامة 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فصغراه عقليّ من باب الحسن والقبح؛ وهو ليس من مذهبه، وكبراه التي أحالها إلى الاجماع أوضح عقلاً من الصغرى</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بذلك أنّ المقدّمة الأولى التي جاء بها في القياس مبنيّة على القول بالحسن والقبح العقليّين؛ وهو ما لا يقبل به الرازيّ، أما المقدّمة الثانية فهي أوضح من الأولى عقلاً، ولا حاجة لدعوى الإجماع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الاستفهام هنا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آمن الأشاعرة والفخر الرازيّ بوجوب نصب الإمام شرعاً ونقلاً، فما حاجتهم إلى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إلى هذا الإشكال، أشار المحقّق الطوسيّ في النصّ المتقدّم بأنّ صغرى هذا الدليل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الأجدر بهم أن يستشهدوا بقوله تعالى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88" w:name="pg16299_219435"/>
    </w:p>
    <w:p>
      <w:pPr>
        <w:pStyle w:val="BookText"/>
        <w:rPr/>
      </w:pPr>
      <w:bookmarkEnd w:id="88"/>
      <w:r>
        <w:rPr>
          <w:rFonts w:ascii="Amiri" w:hAnsi="Amiri" w:eastAsia="Amiri" w:cs="Amiri"/>
          <w:color w:val="111111"/>
          <w:sz w:val="28"/>
          <w:sz w:val="28"/>
          <w:szCs w:val="28"/>
          <w:rtl w:val="true"/>
          <w:lang w:bidi="ar-SA"/>
        </w:rPr>
        <w:t>أو بالحديث النبوي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شاكل ذلك من أدلّة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5369631_1280447820"/>
      <w:bookmarkStart w:id="90" w:name="_Toc34"/>
      <w:bookmarkEnd w:id="89"/>
      <w:r>
        <w:rPr/>
        <w:t>19</w:t>
      </w:r>
      <w:r>
        <w:rPr>
          <w:rtl w:val="true"/>
        </w:rPr>
        <w:t xml:space="preserve"> /</w:t>
      </w:r>
      <w:r>
        <w:rPr/>
        <w:t>6</w:t>
      </w:r>
      <w:r>
        <w:rPr>
          <w:rtl w:val="true"/>
        </w:rPr>
        <w:t xml:space="preserve"> /</w:t>
      </w:r>
      <w:r>
        <w:rPr/>
        <w:t>3</w:t>
      </w:r>
      <w:r>
        <w:rPr>
          <w:rtl w:val="true"/>
        </w:rPr>
        <w:t>.</w:t>
      </w:r>
      <w:r>
        <w:rPr>
          <w:rtl w:val="true"/>
        </w:rPr>
        <w:t>ثالثاً</w:t>
      </w:r>
      <w:r>
        <w:rPr>
          <w:rtl w:val="true"/>
        </w:rPr>
        <w:t xml:space="preserve">: </w:t>
      </w:r>
      <w:r>
        <w:rPr>
          <w:rtl w:val="true"/>
        </w:rPr>
        <w:t xml:space="preserve">الأدلّة النقليّة </w:t>
      </w:r>
      <w:r>
        <w:rPr>
          <w:rtl w:val="true"/>
        </w:rPr>
        <w:t>:</w:t>
      </w:r>
      <w:bookmarkEnd w:id="90"/>
    </w:p>
    <w:p>
      <w:pPr>
        <w:pStyle w:val="BookText"/>
        <w:rPr/>
      </w:pPr>
      <w:r>
        <w:rPr>
          <w:rFonts w:ascii="Amiri" w:hAnsi="Amiri" w:eastAsia="Amiri" w:cs="Amiri"/>
          <w:color w:val="111111"/>
          <w:sz w:val="28"/>
          <w:sz w:val="28"/>
          <w:szCs w:val="28"/>
          <w:rtl w:val="true"/>
          <w:lang w:bidi="ar-SA"/>
        </w:rPr>
        <w:t>من الأدلّة النقليّة الدلّة على ضرورة الإمامة الحديث الشريف المذكور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يَعْرِفْ إِمَامَ زَمَانِهِ مَاتَ مِينَةٌ جَاهِلِيَّة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الإمام واجبة شرعاً، وطالما أنّ المعرفة فرع الحصول والتعيين، فينبغي القول بأنّ تعيين الإمام واختياره واجب على الناس شرعاً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الأشاعرة بمثل ذلك في الآية الكريمة المشار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بأنّ الطاعة فرع المعرفة والمعرفة فرع النصب والتعيين، فبمقتضى الآية الكريمة يجب نصب الإمام وتعيينه على الناس</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صدرالدين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ناقداً هذا الدليل</w:t>
      </w:r>
      <w:r>
        <w:rPr>
          <w:rFonts w:eastAsia="Amiri" w:cs="Amiri" w:ascii="Amiri" w:hAnsi="Amiri"/>
          <w:color w:val="111111"/>
          <w:sz w:val="28"/>
          <w:szCs w:val="28"/>
          <w:rtl w:val="true"/>
          <w:lang w:bidi="ar-SA"/>
        </w:rPr>
        <w:t xml:space="preserve">: </w:t>
      </w:r>
      <w:bookmarkStart w:id="91" w:name="pg16299_219436"/>
    </w:p>
    <w:p>
      <w:pPr>
        <w:pStyle w:val="BookText"/>
        <w:rPr/>
      </w:pPr>
      <w:bookmarkEnd w:id="91"/>
      <w:r>
        <w:rPr>
          <w:rFonts w:ascii="Amiri" w:hAnsi="Amiri" w:eastAsia="Amiri" w:cs="Amiri"/>
          <w:color w:val="111111"/>
          <w:sz w:val="28"/>
          <w:sz w:val="28"/>
          <w:szCs w:val="28"/>
          <w:rtl w:val="true"/>
          <w:lang w:bidi="ar-SA"/>
        </w:rPr>
        <w:t>أما استدلالهم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لا يدلّ أصلاً على مذهبهم من وجوب نصب الإمام عليهم ، بل يدلّ على وجوب الطاعة له، والمعرفة به، كما دلّ على وجوب طاعة الرسول، وعرفانه؛ لا على وجوب نصبهم إياه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أنّ من الممكن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الملازمة العقليّة بين وجوب طاعة الرسول و أولي الأمر من جهة، وضرورة وجود الرسول وأولي الأمر من جهة أخرى، وكذلك الملازمة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ضرورة معرفة إمام الزمان من جهة، وضرورة وجوده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يختلف عن عدم ملازمة الوجوب الشرعيّ للحج وضرورة تحصيل الاستطاعة؛ فالاستطاعة في مسألة الحج شرط للوجوب، في حين وجوب الإمام شرط للواجب في مسألة لزوم طاعة الإمام ومعرفته</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5369633_1280447820"/>
      <w:bookmarkStart w:id="93" w:name="_Toc35"/>
      <w:bookmarkEnd w:id="92"/>
      <w:r>
        <w:rPr/>
        <w:t>19</w:t>
      </w:r>
      <w:r>
        <w:rPr>
          <w:rtl w:val="true"/>
        </w:rPr>
        <w:t xml:space="preserve"> /</w:t>
      </w:r>
      <w:r>
        <w:rPr/>
        <w:t>6</w:t>
      </w:r>
      <w:r>
        <w:rPr>
          <w:rtl w:val="true"/>
        </w:rPr>
        <w:t xml:space="preserve"> /</w:t>
      </w:r>
      <w:r>
        <w:rPr/>
        <w:t>4</w:t>
      </w:r>
      <w:r>
        <w:rPr>
          <w:rtl w:val="true"/>
        </w:rPr>
        <w:t>.</w:t>
      </w:r>
      <w:r>
        <w:rPr>
          <w:rtl w:val="true"/>
        </w:rPr>
        <w:t xml:space="preserve">رابعاً دليل الإجماع وسيرة المتشرّعين </w:t>
      </w:r>
      <w:r>
        <w:rPr>
          <w:rtl w:val="true"/>
        </w:rPr>
        <w:t>:</w:t>
      </w:r>
      <w:bookmarkEnd w:id="93"/>
    </w:p>
    <w:p>
      <w:pPr>
        <w:pStyle w:val="BookText"/>
        <w:rPr/>
      </w:pPr>
      <w:r>
        <w:rPr>
          <w:rFonts w:ascii="Amiri" w:hAnsi="Amiri" w:eastAsia="Amiri" w:cs="Amiri"/>
          <w:color w:val="111111"/>
          <w:sz w:val="28"/>
          <w:sz w:val="28"/>
          <w:szCs w:val="28"/>
          <w:rtl w:val="true"/>
          <w:lang w:bidi="ar-SA"/>
        </w:rPr>
        <w:t>أهمّ دليل تمسّك به الأشاعرة على ضرورة الإمامة هو ما يُعبّر عنه تارةً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أخرى؛ فبعد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زهد الصحابة في أهمّ الواجبات الإلهيّة 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وهي دفن جثمانه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وباشروا معالجة قضية خلافته، وقد نادى أبو بكر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كان يعبد الله، فإنّ الله حيّ لا يموت، ومن كان يعبد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محمّداً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لسبيله، ولا بدّ لهذا الأمر من قائم يقوم به، فدبّروا وانظروا وهاتوا رأيكم؛ رحمكم الله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فبادر الكلّ إلى قبول قوله، ولم يقل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وإن اختلف القوم في تعيين شخص الخليفة، لكنّهم أيّدوا بأجمعهم ضرورة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أمضت الأمّة الإسلاميّة بعد الصحابة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يؤيّده الصحابة والأمّة الإسلامية يكون واجباً؛ لما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يَجمَعُ أُمَّتِي عَلَى ضَلَالَة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الإجماع من مصادر التشريع، فالإمامة واجبة شرعاً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مناقشة هذا الإجماع الذي تمسّك به علماء أهل السنّة بالأدلّة الآتية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اتفاق جماعة من الصحابة في سقيفة بني ساعدة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في غياب جمع غفير من كبار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فهو لا يتفّق مع أيّ من معاني الإجماع، ولا تجتمع فيه الشروط المعتبرة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فالإجماع يحصل حسب مذهبهم في إحدى الحالات الآتية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يُطبق الجميع بالاتفاق،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يتّفق أهل الحلّ والعقد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يتّفق أهل المدينة المنوّرة، 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يتّفق أغلب علماء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القرائن والشواهد التاريخية المسلّم بها، ما من شك في أنّ الإجماع لم يحصل بأيّ من المعاني المتقدّمة في السقيفة؛ فلم يحضر فيها كبار الصحابة؛ كعليّ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بني هاشم، ولا سعد بن عبادة، ولا قيس بن سعد، و لا طائفة أخرى من كبار الصحابة؛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وأبي ذر الغفاريّ، ومقداد، وعمّار، وخالد بن سعيد، والحذيفة بن اليمان ،وبريدة وغيرهم ممّن يُعدّون من كبار أهل الحلّ والعقد، ومن أجلّاء علماء المسلمين، وأعلام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فدعوى الإجماع في </w:t>
      </w:r>
    </w:p>
    <w:p>
      <w:pPr>
        <w:pStyle w:val="BookText"/>
        <w:rPr/>
      </w:pPr>
      <w:r>
        <w:rPr>
          <w:rFonts w:ascii="Amiri" w:hAnsi="Amiri" w:eastAsia="Amiri" w:cs="Amiri"/>
          <w:color w:val="111111"/>
          <w:sz w:val="28"/>
          <w:sz w:val="28"/>
          <w:szCs w:val="28"/>
          <w:rtl w:val="true"/>
          <w:lang w:bidi="ar-SA"/>
        </w:rPr>
        <w:t>هذا المقام ليست فقط بعيدة عن الحقيقة، بل لا تتناسب مع أيّ معنى من معاني الإجماع المقبولة عند أهل السنة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هنا أنّ بعض كبار الأشاعرة مثل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تفطّنوا لهذا الإشكال حسب مبادئهم، فلم يعرضوا هذا الدليل في استدلالهم على ضرورة الإمامة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لا يتمّ مع مخالفة الواحد والاثنين</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ثمّ قال ردّاً على مخالفي هذه النظرية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المسلمين اعتمدوا في خلافة أبي بكر على الإجماع مع مخالفة سعد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الإمامة لا يعتبر في انعقادها حصول الإجماع، بل البيعة كافية</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لم يتناوله، وأقام دليلًا مختلفاً لإثبات ضرورة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ينطوي الاستدلال بالإجماع المذكور على مغالطة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ما ليس بعلّة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فالمدّعى هو أصل الوجوب الشرعيّ في نصب الإمام بشكل عامّ، لكنّ الدليل هو الإجماع الحاصل على إمامة أبي بكر؛ وهذا أحد مصاديق المدّعى، فيكون أخصّ منه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الوجوب الشرعيّ لنصب الإمام لو كان مستنداً إلى مستمسك ودليل شرعيّ آخر، بينما لا يوجد أيّ دليل أو مستمسك آخر على ذلك؛ لا من الكتاب ولا من السنّة، ولا من القياس المقبول عند العامّة، حتّى أنّ أهل السنّة أنفسهم لم يدّعوا وجود دليل أو مستمسك شرعيّ على حجية إجماع الصحابة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94" w:name="pg16299_219439"/>
    </w:p>
    <w:p>
      <w:pPr>
        <w:pStyle w:val="BookText"/>
        <w:rPr/>
      </w:pPr>
      <w:bookmarkEnd w:id="94"/>
      <w:r>
        <w:rPr>
          <w:rFonts w:ascii="Amiri" w:hAnsi="Amiri" w:eastAsia="Amiri" w:cs="Amiri"/>
          <w:color w:val="111111"/>
          <w:sz w:val="28"/>
          <w:sz w:val="28"/>
          <w:szCs w:val="28"/>
          <w:rtl w:val="true"/>
          <w:lang w:bidi="ar-SA"/>
        </w:rPr>
        <w:t xml:space="preserve">غاية الأمر، دعوى بعض المحقّقين منهم بوجود ما يثبت ذلك، بيد أنّه لم يصلنا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5369635_1280447820"/>
      <w:bookmarkStart w:id="96" w:name="_Toc36"/>
      <w:bookmarkEnd w:id="95"/>
      <w:r>
        <w:rPr/>
        <w:t>19</w:t>
      </w:r>
      <w:r>
        <w:rPr>
          <w:rtl w:val="true"/>
        </w:rPr>
        <w:t xml:space="preserve"> /</w:t>
      </w:r>
      <w:r>
        <w:rPr/>
        <w:t>7</w:t>
      </w:r>
      <w:r>
        <w:rPr>
          <w:rtl w:val="true"/>
        </w:rPr>
        <w:t>.</w:t>
      </w:r>
      <w:r>
        <w:rPr>
          <w:rtl w:val="true"/>
        </w:rPr>
        <w:t>أدلّة الإمامية</w:t>
      </w:r>
      <w:r>
        <w:rPr>
          <w:rtl w:val="true"/>
        </w:rPr>
        <w:t>:</w:t>
      </w:r>
      <w:bookmarkEnd w:id="96"/>
    </w:p>
    <w:p>
      <w:pPr>
        <w:pStyle w:val="Heading5"/>
        <w:numPr>
          <w:ilvl w:val="4"/>
          <w:numId w:val="1"/>
        </w:numPr>
        <w:rPr/>
      </w:pPr>
      <w:bookmarkStart w:id="97" w:name="__RefHeading___Toc5369637_1280447820"/>
      <w:bookmarkStart w:id="98" w:name="_Toc37"/>
      <w:bookmarkEnd w:id="97"/>
      <w:r>
        <w:rPr>
          <w:rtl w:val="true"/>
        </w:rPr>
        <w:t>إشارة</w:t>
      </w:r>
      <w:bookmarkEnd w:id="98"/>
    </w:p>
    <w:p>
      <w:pPr>
        <w:pStyle w:val="BookText"/>
        <w:rPr/>
      </w:pPr>
      <w:r>
        <w:rPr>
          <w:rFonts w:ascii="IRNazanin" w:hAnsi="IRNazanin" w:eastAsia="IRNazanin"/>
          <w:color w:val="111111"/>
          <w:sz w:val="28"/>
          <w:sz w:val="28"/>
          <w:szCs w:val="28"/>
          <w:rtl w:val="true"/>
          <w:lang w:bidi="fa-IR"/>
        </w:rPr>
        <w:t xml:space="preserve">تمسّك علماء الإماميّة بأدلّة عقليّة ونقليّة تثبت ضرورة الإمامة بتفسيرها ومعناها الذي يتبنّاه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وسنستعرض أهمّها فيما يأتي على نحو الإجمال</w:t>
      </w:r>
      <w:r>
        <w:rPr>
          <w:rFonts w:eastAsia="IRNazanin" w:cs="IRNazanin"/>
          <w:color w:val="111111"/>
          <w:sz w:val="28"/>
          <w:szCs w:val="28"/>
          <w:rtl w:val="true"/>
          <w:lang w:bidi="fa-IR"/>
        </w:rPr>
        <w:t>:</w:t>
      </w:r>
    </w:p>
    <w:p>
      <w:pPr>
        <w:pStyle w:val="Heading5"/>
        <w:numPr>
          <w:ilvl w:val="4"/>
          <w:numId w:val="1"/>
        </w:numPr>
        <w:rPr/>
      </w:pPr>
      <w:bookmarkStart w:id="99" w:name="__RefHeading___Toc5369639_1280447820"/>
      <w:bookmarkStart w:id="100" w:name="_Toc38"/>
      <w:bookmarkEnd w:id="99"/>
      <w:r>
        <w:rPr/>
        <w:t>19</w:t>
      </w:r>
      <w:r>
        <w:rPr>
          <w:rtl w:val="true"/>
        </w:rPr>
        <w:t xml:space="preserve"> /</w:t>
      </w:r>
      <w:r>
        <w:rPr/>
        <w:t>7</w:t>
      </w:r>
      <w:r>
        <w:rPr>
          <w:rtl w:val="true"/>
        </w:rPr>
        <w:t xml:space="preserve"> /</w:t>
      </w:r>
      <w:r>
        <w:rPr/>
        <w:t>1</w:t>
      </w:r>
      <w:r>
        <w:rPr>
          <w:rtl w:val="true"/>
        </w:rPr>
        <w:t>.</w:t>
      </w:r>
      <w:r>
        <w:rPr>
          <w:rtl w:val="true"/>
        </w:rPr>
        <w:t>الدليل الأوّل</w:t>
      </w:r>
      <w:r>
        <w:rPr>
          <w:rtl w:val="true"/>
        </w:rPr>
        <w:t xml:space="preserve">: </w:t>
      </w:r>
      <w:r>
        <w:rPr>
          <w:rtl w:val="true"/>
        </w:rPr>
        <w:t xml:space="preserve">قاعدة اللطف </w:t>
      </w:r>
      <w:r>
        <w:rPr>
          <w:rtl w:val="true"/>
        </w:rPr>
        <w:t>:</w:t>
      </w:r>
      <w:bookmarkEnd w:id="100"/>
    </w:p>
    <w:p>
      <w:pPr>
        <w:pStyle w:val="BookText"/>
        <w:rPr/>
      </w:pPr>
      <w:r>
        <w:rPr>
          <w:rFonts w:ascii="Amiri" w:hAnsi="Amiri" w:eastAsia="Amiri" w:cs="Amiri"/>
          <w:color w:val="111111"/>
          <w:sz w:val="28"/>
          <w:sz w:val="28"/>
          <w:szCs w:val="28"/>
          <w:rtl w:val="true"/>
          <w:lang w:bidi="ar-SA"/>
        </w:rPr>
        <w:t>يستند علماء الإماميّة على قاعدة اللطف لإثبات وجوب نصب الإمام على الله عَزَّ وَجَلَّ؛ فهم يرون أنّ نصب الإمام لطف، واللطف واجب عليه سُبحَانَهُ وَتَعَالى، فنستنتج أنّ نصب الإمام واجب على الله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ينبغي إلقاء بعض الأضواء على قاعدة اللطف؛ لتوضيح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المتكلّمون في تعريف اللطف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المكلّفُ معه من الطاعة، ويبعد عن المعصية، ولا حظّ له في التمكين، ولم يبلغ الإلجاء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تعريفه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يختار عنده المرء الواجب، ويتجنّبُ القبيح، أو ما يكون عنده أقرب؛ إما إلى اختيار، أو إلى ترك القبيح</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اللطف من الصفات الفعليّة </w:t>
      </w:r>
      <w:r>
        <w:rPr>
          <w:rStyle w:val="FootnoteAnchor"/>
          <w:rtl w:val="true"/>
        </w:rPr>
        <w:footnoteReference w:id="74"/>
      </w:r>
      <w:r>
        <w:rPr>
          <w:rFonts w:ascii="Amiri" w:hAnsi="Amiri" w:eastAsia="Amiri" w:cs="Amiri"/>
          <w:color w:val="111111"/>
          <w:sz w:val="28"/>
          <w:sz w:val="28"/>
          <w:szCs w:val="28"/>
          <w:rtl w:val="true"/>
          <w:lang w:bidi="ar-SA"/>
        </w:rPr>
        <w:t>لله سُبحَانَهُ وَتَعَالى، وهو يتعلّق بالمكلّفين، ويُحدث فيهم حافزاً نحو تحقيق التكليف، أو التقرّب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 وجوب </w:t>
      </w:r>
    </w:p>
    <w:p>
      <w:pPr>
        <w:pStyle w:val="BookText"/>
        <w:rPr/>
      </w:pPr>
      <w:r>
        <w:rPr>
          <w:rFonts w:ascii="Amiri" w:hAnsi="Amiri" w:eastAsia="Amiri" w:cs="Amiri"/>
          <w:color w:val="111111"/>
          <w:sz w:val="28"/>
          <w:sz w:val="28"/>
          <w:szCs w:val="28"/>
          <w:rtl w:val="true"/>
          <w:lang w:bidi="ar-SA"/>
        </w:rPr>
        <w:t>اللطف هي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القدرة على أداء التكليف على اللطف؛ لأنّ اللطف فرع التكليف، والتكليف فرع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إيصال اللطف المكلّف إلى حدود الإلجاء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وجوب اللطف هو الحكمة الإلهيّة؛ لأنّ اللطف تدبير من التدابير الإلهيّة الحكيمة في سبيل تحقيق الغاية من خلق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ولذلك قال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واجب؛ لتحصيل الغرض به</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الله عَزَّ وَجَلَّ لو علم بأنّ العبد لن يختار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التقرّب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تحقّق فعل ما بعينه، وجب عليه القيام بذلك الفعل؛ كيلا يستلزم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الأخرى التي ألمح إليها المتكلّمون في هذا الشأن حديثهم عن فاعل اللطف ؛ فهو إمّا الله جَلَّ وَعَلا كما هو الحال في قضيّة إرسال الرسل أو هو المكلّف 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التأمّل في معجزات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المكلّف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الأحكام الإلهيّة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اتّضح تعريف اللطف وشروطه والدليل على وجوبه، تبيّن حينئذ معنى العبارات التي ساقها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عدّوا الإمامة مصداقاً من 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لطف؛ فيجب نصبه على الله تعالى تحصيلاً للغرض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بيان كون الإمام لطفاً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الذي حدّدناه إذا كان منصوباً ممكناً، يُقرّب المكلّفين إلى القيام بالواجبات، والانتهاء من المقبّحات ويبعدهم عن الإخلال بالواجبات وارتكاب المقبّحات وإذا لم يكن كذلك،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ممّا قد ظهر لكلّ عاقل بالتجربة، وصار ضرورياً له؛ بحيث لا يمكنه أن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يقرّب المكلّفين إلى الطاعات، </w:t>
      </w:r>
    </w:p>
    <w:p>
      <w:pPr>
        <w:pStyle w:val="BookText"/>
        <w:rPr/>
      </w:pPr>
      <w:r>
        <w:rPr>
          <w:rFonts w:ascii="Amiri" w:hAnsi="Amiri" w:eastAsia="Amiri" w:cs="Amiri"/>
          <w:color w:val="111111"/>
          <w:sz w:val="28"/>
          <w:sz w:val="28"/>
          <w:szCs w:val="28"/>
          <w:rtl w:val="true"/>
          <w:lang w:bidi="ar-SA"/>
        </w:rPr>
        <w:t>ويبعّدهم عن المعاصي، فقد يُسمّى لطفاً اصطلاحاً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كون الإمامة لطفاً بمقدّمات؛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تعبيد الطريق للناس نحو طاعة الحقّ، والحدّ من دواعي الضلالة بواسطة حضور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الناس عن الفساد، وتقريبهم إلى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الله تَبَارَكَ وَتَعَالى وغرضه الذي تعلّق بطاعة العباد لأوامره، وبتركهم لنواهيه وتوقّف تحقّق هذا الغرض على نصب الإمام</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نصب الله عَزَّ وَجَلَّ حاكماً جديراً، تحقّق الغرض واللطف الإلهيّان؛ بمعنى تحقّق العبادة، والطاعة، واجتناب المعاصي، وترك مثل هذا اللطف، مخلّ بهذا الغرض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القضايا المهمّة اكتشاف مصاديق اللطف في الإمامة؛ فإنّ منصب الإمام يتولّى مسؤوليّتين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الإمام على الناس ما أخذه عن النبيّ من بيان جديد للقرآن الكريم والسنّة النبويّة، وضرورة الإمامة في مثل هذه الشؤون تكون من باب الحكمة الإلهيّة؛ وليس من باب اللطف فمن خلال معرفة القضايا الدينيّة الجديدة يتعرّف الناس على تكاليفهم الدينيّة، وتحصل لهم القدرة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يرسل الله سُبحَانَهُ وَتَعَالى الإمام لبيان القضايا الدينيّة الجديدة، فلن يحصل للناس علم بالدين ولن يسلكوا سبل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اقتضت الحكمة الإلهيّة وجوب الإمامة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الإمام بالتكاليف العقليّة أو الشرعيّة التي يعرفها الناس؛ لإيجاد الحافز فيهم على تحقّق التكليف أو التقرّب من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وضرورة الإمامة في هذه المقام من باب 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ذهب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كون الإمامة لطفاً بالنسبة إلى التكاليف العقليّة، وذهب 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وجوب كونها لطفاً بالنسبة إلى التكاليف الشرعيّة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 وجود إمام لهداية الناس بعد رحيل الرسول لطفاً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الأشاعرة والمعتزلة الاستدلال بقاعدة اللطف من جهات مختلفة؛ أمّا الأشاعرة فقد أنكروا القاعدة من الأساس لابتنائها على الحسن والقبح العقليّين، وأما المعتزلة فعلى الرغم من قبولهم بها، لكنّهم ذهبوا إلى أنّ كون الإمامة لطفاً، ووجوبها على الله جَلَّ وَعَلا أمر مشكل</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وأبرز المناقشات الكبرويّة التي أوردها الأشاعرة على قاعدة اللطف تساؤلهم عن حدود اللطف الإلهيّ؛ إلى أين يكون؟ فلو كان اللطف واجباً على الله، لوجب عليه فعل كلّما وجد الحافز عند المكلّف، والحال أنّه ليس كذلك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كان مصداقاً للطف الإلهيّ فإنّ الله يفعله بالضرورة العقليّة، فإذا لم يصنع فعلاً، عُلم من ذلك أنّه ليس مصداقاً للطف، وعدم اتّصاف بعض الأفعال باللطف عائد إلى أنّها تسلب الإنسان اختياره، أو أنّها من الأفعال التي توجد القدرة، أو لأنّ المكلّف لم يقم بواجبه تجاه الألطاف الإلهيّة السابقة، وقد تمّت الحجّة عليه، فصدور سائر الأفعال الإلهيّة يجعلها من اللغو الذي لا جدوى منه، وهذا ما يتنافى مع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حاز فعل ما على جميع شرائط اللطف، وجب صدوره عن الله تَبَارَكَ وَتَعَالى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الله عَزَّ وَجَلَّ عالماً بجميع الأمور علماً أزليّاً، وله الحكمة البالغة، والقدرة المطلقة عليها، فهذا يعني أنّ عدم تحقّق بعض الأفعال التي قد نخالها لطفاً لا يمثّل إلّا نقصاً معرفيّاً أصابنا، ومنعنا من الوقوف على أنّها ليست بلطف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بعض المتكلّمين من المعتزلة القائلين بقاعدة اللطف بمناقشات صغروية حاولت إخراج الإمامة من دائرة اللطف لكنّ المتكلّمين من الإماميّة فنّدوها وردّوا عليها</w:t>
      </w:r>
      <w:r>
        <w:rPr>
          <w:rStyle w:val="FootnoteAnchor"/>
          <w:rtl w:val="true"/>
        </w:rPr>
        <w:footnoteReference w:id="83"/>
      </w:r>
      <w:r>
        <w:rPr>
          <w:rFonts w:ascii="Amiri" w:hAnsi="Amiri" w:eastAsia="Amiri" w:cs="Amiri"/>
          <w:color w:val="111111"/>
          <w:sz w:val="28"/>
          <w:sz w:val="28"/>
          <w:szCs w:val="28"/>
          <w:rtl w:val="true"/>
          <w:lang w:bidi="ar-SA"/>
        </w:rPr>
        <w:t>من أهمّ هذه المناقشات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المصالح المترتّبة على الإمامة مصالح 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قاعدة اللطف لا تتعلّق إلّا بالمصالح الدينيّة؛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الله، و اجتناب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بمعناها الأتمّ هي من أبرز المصالح الدنيويّة والأخرويّة التي لا يمكن تحقيقها من دون وجود الإمام المعصوم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الإمامة لطفاً بالنسبة إلى جميع أفراد البشر؛ فبعضهم ينقلب على الإمام، ويشقّ عصا الطاعة الإلهيّة؛ فحين تفضي الإمامة إلى تقرّب الناس من الله تكون لطفاً في حق المكلّفين؛ والحال أنّ المكلّفين يعملون بتكاليفهم خوفاً من الإمام، ورهبةً منه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المناقشة إذا كانت واردةً، فهي ترد أيضاً على كون النبوّة لطفاً؛ فإذا لم يتسبّب كون الإمامة لطفاً بتقرّب بعض الناس من الله، أو كان ذلك منطلقاً للطغيان عند بعضهم، فإنّ هذا لا يختصّ بالإمامة، بل يعرض أيضاً على كون النبوّة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النبوّة والإمامة تمهّدان لهداية الجنس البشري؛ وإن خالف بعضهم جهلاً أو عناداً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عمل المكلّفين خوفاً من الإمام أو رهبةً منه لا ينافي </w:t>
      </w:r>
    </w:p>
    <w:p>
      <w:pPr>
        <w:pStyle w:val="BookText"/>
        <w:rPr/>
      </w:pPr>
      <w:r>
        <w:rPr>
          <w:rFonts w:ascii="Amiri" w:hAnsi="Amiri" w:eastAsia="Amiri" w:cs="Amiri"/>
          <w:color w:val="111111"/>
          <w:sz w:val="28"/>
          <w:sz w:val="28"/>
          <w:szCs w:val="28"/>
          <w:rtl w:val="true"/>
          <w:lang w:bidi="ar-SA"/>
        </w:rPr>
        <w:t>إيمانهم بالآخرة، ولا ضير من عدّ هذا من 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الداعي على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مخافة الإمام تكون محفزاً على محفّز آخر؛ هو الإيمان بالآخرة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الإمامة لطفاً، لزم التسلسل؛ لأنّ الألطاف لو كانت عامّة لشملت الإمام نفسه، ولاحتاج كل إمام إلى إمام آخر، ولاستمرّت الحاجة إلى ما 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المناقشة إذا كانت واردةً، فهي ترد أيضاً على كون النبوّة لطفاً في حين أنّ المعتزلة لا يوجّهون هذه المناقشة إلى النبوّة</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اللطف على الله سُبحَانَهُ وَتَعَالى لا يتبلور إلّا بعد أن يحتاج المكلّفون إلى حافز إضافيّ، والنبيّ أو الإمام المعصوم غنيّان عن أي حافز إضافيّ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وجود الإمام لطف، فلم لا نذهب إلى وجوب هذا اللطف على الناس؟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تعيين الإمام المعصوم تقريب الناس إلى الطاعة، وتجنيبهم الوقوع في المعصية؛ وهذا لا يتأتى إلّا عن طريق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المناقشة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اللطف واجب على الله جَلَّ وَعَلا، فهذا يعني ضرورة أن يعيش الإمام حالة الحضور والظهور على الدوام؛ لكنّ الإماميّة لا تؤمن بوجوب ما عدّته لطفاً، وما آمنت بوجوبه لا يصلح أن يكون لطفاً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وجوده لطف؛ وتصرّفه لطف آخر، وعدمه مِنّا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وجود الإمام لطف من الله تَبَارَكَ وَتَعَالى، وتصرّف الإمام لطف آخر يقوم به الإمام نفسه، وحضوره لطف ثالث يجب أن يتحقّق من خلالنا، ولم تحصل غيبة الإمام إلّا بسببنا، وبسبب المعاصي التي </w:t>
      </w:r>
      <w:bookmarkStart w:id="101" w:name="pg16299_219445"/>
    </w:p>
    <w:p>
      <w:pPr>
        <w:pStyle w:val="BookText"/>
        <w:rPr/>
      </w:pPr>
      <w:bookmarkEnd w:id="101"/>
      <w:r>
        <w:rPr>
          <w:rFonts w:ascii="Amiri" w:hAnsi="Amiri" w:eastAsia="Amiri" w:cs="Amiri"/>
          <w:color w:val="111111"/>
          <w:sz w:val="28"/>
          <w:sz w:val="28"/>
          <w:szCs w:val="28"/>
          <w:rtl w:val="true"/>
          <w:lang w:bidi="ar-SA"/>
        </w:rPr>
        <w:t>جنتها يد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ألمح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لهذه العبارة بأنّ لطف الإمامة إنّما يتمّ بأمور ثلاثة أوّلها بخلق الإمام، وتمكينه بالقدرة، والعلم، والنصّ عليه باسمه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بتحمّل الإمامة، 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بمساعدة الإمام، والنصرة له، والانقياد إلى 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الأوّل فهو واجب على الله ؛ وقد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الأمر الثاني فهو واجب على الإمام ؛ وقد قام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 فوجوبه متوجّه إلى الرعيّة؛ لكنّهم قصّروا فيه، ولم يتحقّق؛ فلم يكن عدم تمكن الإمام من الإمامة، والتصرف في الأمور من جانب الله عَزَّ وَجَلَّ، ولا من قِبل الإمام، بل كان لتقصير الرعيّة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النصيريّة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سبب حرمان الخلق عن إمام العصر ليس هو الله تَبَارَكَ وَتَعَالى؛ فهو لا يخالف مقتضى الحكمة، ولا هو الإمام؛ لأنّه معصوم، فيكون السبب هو الرعيّة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تجدر الإشارة إلى أنّ غيبة الإمام لا تعني حرمان الناس من جميع كمالاته؛ فالإماميّة لا تذهب إلى انتفاء القدرة التكوينيّة أو التشريعيّة للإمام الغائب؛ لأنّ الإمام المعصوم المستتر ظاهراً عن الأنظار ، مصدر لآثار وبركات كثيرة، ويجري لطفه وفيضه للناس كالشمس؛ فقد روي عن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الْأَرْضُ مِنْ قَائِم لله بِحُجَّةٍ؛ إِمَّا ظَاهِراً مَشْهُوراً، وَإِمَّا خَائِفاً مَغْمُوراً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5369641_1280447820"/>
      <w:bookmarkStart w:id="103" w:name="_Toc39"/>
      <w:bookmarkEnd w:id="102"/>
      <w:r>
        <w:rPr/>
        <w:t>19</w:t>
      </w:r>
      <w:r>
        <w:rPr>
          <w:rtl w:val="true"/>
        </w:rPr>
        <w:t xml:space="preserve"> /</w:t>
      </w:r>
      <w:r>
        <w:rPr/>
        <w:t>7</w:t>
      </w:r>
      <w:r>
        <w:rPr>
          <w:rtl w:val="true"/>
        </w:rPr>
        <w:t xml:space="preserve"> /</w:t>
      </w:r>
      <w:r>
        <w:rPr/>
        <w:t>2</w:t>
      </w:r>
      <w:r>
        <w:rPr>
          <w:rtl w:val="true"/>
        </w:rPr>
        <w:t>.</w:t>
      </w:r>
      <w:r>
        <w:rPr>
          <w:rtl w:val="true"/>
        </w:rPr>
        <w:t>الدليل الثاني</w:t>
      </w:r>
      <w:r>
        <w:rPr>
          <w:rtl w:val="true"/>
        </w:rPr>
        <w:t xml:space="preserve">: </w:t>
      </w:r>
      <w:r>
        <w:rPr>
          <w:rtl w:val="true"/>
        </w:rPr>
        <w:t xml:space="preserve">ضرورة البيان المعصوم للشريعة ووجوب صيانتها </w:t>
      </w:r>
      <w:r>
        <w:rPr>
          <w:rtl w:val="true"/>
        </w:rPr>
        <w:t>:</w:t>
      </w:r>
      <w:bookmarkEnd w:id="10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ينتهي بنا التأمل في خاتميّة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وأبديّة القرآن الكريم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ضرورة الحفاظ على الشريعة وحاجة الأمّة إلى البيان المعصوم ،والعرض التفصيليّ للشريعة بغية هداية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ثبوت ضرورة الإمامة بمعناها المقرّر في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الأساس، لا يجوز عدّ الإسلام خاتماً للدين الإلهيّ، ونعته بالأبديّة والشموليّة لجميع الأعصار والأمصار والنفوس، ثمّ يُكتفى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بالنصوص القرآنيّة والنبويّة؛ فهل يتسنّى لهذا الكمّ من النصوص الدينيّة الردّ على جميع الاستفهامات التي يطلقها الإنسان في مسيرته نحو الهداية إلى يوم القيامة؟ وهل سوف يبقى هذا الكمّ من النصوص الدينيّة محفوظاً مصوناً إلى يوم القيامة؛ من دون الإمام المعصوم؟ ما من شكّ في أنّ الإجابة سلبيّة؛ فالمؤمنون محتاجون إلى الإمام المعصوم للحفاظ على الشريعة الواصلة من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أنّهم بحاجة ماسّة إلى الإمام المعصوم؛ لمعرفة تفاصيل الشريعة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ضرورة الإمامة لا تختلف عن الفلسفة التي تُذكر لضرورة ابتعاث الأنبياء؛ فالهداية الإلهيّة العامّة من خلال التشريع تثبت ضرورة النبوّة والإمامة، باختلاف أنّ النبيّ يتلقّى الشريعة بواسطة الوحي الإلهيّ، ويبلّغه للناس، في حين يتولّى الإمام المعصوم هذه المسؤوليّة بواسطة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ذهب بعض المتكلمين من العامّة إلى أنّ مجرد وجود القرآن الكريم والسنّة النبويّة المطهّرة بين ظهرانينا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وجود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لهداية الإنسان، ولعلّهم تمسّكوا بالوعد الإلهيّ بحفظ الدين والشريعة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كلّ هذه الفرق المختلفة وقراءاتها المختلفة للإسلام </w:t>
      </w:r>
    </w:p>
    <w:p>
      <w:pPr>
        <w:pStyle w:val="BookText"/>
        <w:rPr/>
      </w:pPr>
      <w:r>
        <w:rPr>
          <w:rFonts w:ascii="IRNazanin" w:hAnsi="IRNazanin" w:eastAsia="IRNazanin"/>
          <w:color w:val="111111"/>
          <w:sz w:val="28"/>
          <w:sz w:val="28"/>
          <w:szCs w:val="28"/>
          <w:rtl w:val="true"/>
          <w:lang w:bidi="fa-IR"/>
        </w:rPr>
        <w:t xml:space="preserve">خير دليل على عدم كفاية المصدرين المتقدّمين لوحدهما، وضرورة وجود مصدر معرفيّ آخر مكمّل ؛ هو سنّة الأئمة المعصومين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ذلك أنّ الحفاظ على الشريعة لا يتسنّى إلّا من نافذة الحفاظ على مصادر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وعد الله عَزَّ وَجَلَّ الأمّة بحفظ القرآن الكريم؛ ولكن كيف يتحقّق هذا الوعد؟ لا شكّ في أنّ أحد أهمّ السبيل الكفيلة بصيانة القرآن وجود حفظة حقيقيّين، وأئمة معصومين من الخطأ والزلل ، يصونون القرآن الكريم من أيّ تحريف بالزيادة أو النقيصة، وهم أهل الثغور وحماتها المرابطين على حفظ الدين والشريعة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أيضاً إلى أنّ الحفاظ على النصوص القرآنية بمفردها لا يكفي لهداية الناس، بل ينبغي صيانة النصوص النبويّة أيضاً، لوجود كمّ هائل من التحريف الذي طال أحاديث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أمثال سمرة بن جندب، وابن أبي العوجاء، وكعب الأحبار ، وهذا ما أحدث كثرة الفرق المنشعبة على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ما أودعه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بيان تفصيليّ وتكميليّ للشريعة إلى الإمام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صمّام الأمان لسعادة الناس، وإنّ تحقّق جميع هذه المتطلّبات الضروريّة لا تتأتّى إلّا بواسطة الإمام المعصوم؛ فاجتهاد أبناء العامّة، وتوظيفهم للقياس، وسدّ الذرائع والاستحسان، وما إلى ذلك، ليس ببديل مناسب للإمام المعصوم؛ لأنّ مناهج الاجتهاد هذه مناهج ظنّيّة، مختلف فيها؛ ولا تمثّل أيّ حجّة قطعيّة، ولا تضمن سعادة الإنسان وفلاحه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الأمر كذلك، فلم ابتليت الشيعة بالاختلاف والتمذهب؛ حتى صاروا فرقاً؟ فالجواب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أيضاً من عدم التمسك بالإمام المعصوم؛ فالذين توقفوا عند أحد الأئمة المعصومين ، ولم يؤمنوا بالإمام المعصوم الشرعيّ الذي يليه هم المسؤولون عن إحداث الشرخ، واختلاق الفِرَق والمذاهب المنحرفة</w:t>
      </w:r>
      <w:r>
        <w:rPr>
          <w:rFonts w:eastAsia="Amiri" w:cs="Amiri" w:ascii="Amiri" w:hAnsi="Amiri"/>
          <w:color w:val="111111"/>
          <w:sz w:val="28"/>
          <w:szCs w:val="28"/>
          <w:rtl w:val="true"/>
          <w:lang w:bidi="ar-SA"/>
        </w:rPr>
        <w:t>.</w:t>
      </w:r>
      <w:bookmarkStart w:id="104" w:name="pg16299_219448"/>
    </w:p>
    <w:p>
      <w:pPr>
        <w:pStyle w:val="Heading3"/>
        <w:numPr>
          <w:ilvl w:val="2"/>
          <w:numId w:val="1"/>
        </w:numPr>
        <w:rPr/>
      </w:pPr>
      <w:bookmarkStart w:id="105" w:name="__RefHeading___Toc5369643_1280447820"/>
      <w:bookmarkStart w:id="106" w:name="_Toc40"/>
      <w:bookmarkEnd w:id="104"/>
      <w:bookmarkEnd w:id="105"/>
      <w:r>
        <w:rPr/>
        <w:t>20</w:t>
      </w:r>
      <w:r>
        <w:rPr>
          <w:rtl w:val="true"/>
        </w:rPr>
        <w:t>.</w:t>
      </w:r>
      <w:r>
        <w:rPr>
          <w:rtl w:val="true"/>
        </w:rPr>
        <w:t>عصمة الإمام</w:t>
      </w:r>
      <w:bookmarkEnd w:id="106"/>
    </w:p>
    <w:p>
      <w:pPr>
        <w:pStyle w:val="Heading4"/>
        <w:numPr>
          <w:ilvl w:val="3"/>
          <w:numId w:val="1"/>
        </w:numPr>
        <w:rPr/>
      </w:pPr>
      <w:bookmarkStart w:id="107" w:name="__RefHeading___Toc5369645_1280447820"/>
      <w:bookmarkStart w:id="108" w:name="_Toc41"/>
      <w:bookmarkEnd w:id="107"/>
      <w:r>
        <w:rPr/>
        <w:t>20</w:t>
      </w:r>
      <w:r>
        <w:rPr>
          <w:rtl w:val="true"/>
        </w:rPr>
        <w:t xml:space="preserve">/ </w:t>
      </w:r>
      <w:r>
        <w:rPr/>
        <w:t>1</w:t>
      </w:r>
      <w:r>
        <w:rPr>
          <w:rtl w:val="true"/>
        </w:rPr>
        <w:t>.</w:t>
      </w:r>
      <w:r>
        <w:rPr>
          <w:rtl w:val="true"/>
        </w:rPr>
        <w:t>تمهيد</w:t>
      </w:r>
      <w:bookmarkEnd w:id="108"/>
    </w:p>
    <w:p>
      <w:pPr>
        <w:pStyle w:val="BookText"/>
        <w:rPr/>
      </w:pPr>
      <w:r>
        <w:rPr>
          <w:rFonts w:ascii="IRNazanin" w:hAnsi="IRNazanin" w:eastAsia="IRNazanin"/>
          <w:color w:val="111111"/>
          <w:sz w:val="28"/>
          <w:sz w:val="28"/>
          <w:szCs w:val="28"/>
          <w:rtl w:val="true"/>
          <w:lang w:bidi="fa-IR"/>
        </w:rPr>
        <w:t xml:space="preserve">يُعدّ البحث عن صفات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أبحاث الإمامة العامّة المهمّة وهو يعالج صفات يتحلّى بها الإمام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اللدنّي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التكوينيّة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التشريعيّة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السياسيّة الاجتماعيّة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الأفضليّة</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ويجري البحث عن صفات الأئمة في كل من مقامي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ويتطرّق المتكلّمون عند حديثهم عن صفات الأئمة إلى إثبات عصمة الإمام، وعلمه، والنصّ عليه، والولاية؛ وذلك لما لهذه الموضوعات من 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مبحث الإمامة الخاصّة فعادةً ما تقام الأدلّة على إثبات وجود أشخاص معيّنين، يتمتّعون بصفات العصمة، والعلم والنصّ، والولاية التكوينيّة والتشريعيّة؛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وتمثّل العصمة إحدى صفات الإمام البارزة، وقد تطرّق إلى بيانها وإثباتها متكلّمو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ويحظى منصب الإمامة عند علماء الشيعة الإثني عشرية بمكانة مرموقة، تتنافى مع ارتكاب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كبيرةً كانت، أو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يتنافى أيضاً مع صدور الخطأ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ذلك عن عمد، أم عن سهو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متكلّمو العامّة فقد اكتفوا في هذا الخصوص بإثبات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 ولم يعدّوا العصمة من لوازم الإمامة</w:t>
      </w:r>
      <w:r>
        <w:rPr>
          <w:rFonts w:eastAsia="Amiri" w:cs="Amiri" w:ascii="Amiri" w:hAnsi="Amiri"/>
          <w:color w:val="111111"/>
          <w:sz w:val="28"/>
          <w:szCs w:val="28"/>
          <w:rtl w:val="true"/>
          <w:lang w:bidi="ar-SA"/>
        </w:rPr>
        <w:t xml:space="preserve">. </w:t>
      </w:r>
      <w:bookmarkStart w:id="109" w:name="pg16299_219449"/>
    </w:p>
    <w:p>
      <w:pPr>
        <w:pStyle w:val="BookText"/>
        <w:rPr/>
      </w:pPr>
      <w:bookmarkEnd w:id="109"/>
      <w:r>
        <w:rPr>
          <w:rFonts w:ascii="Amiri" w:hAnsi="Amiri" w:eastAsia="Amiri" w:cs="Amiri"/>
          <w:color w:val="111111"/>
          <w:sz w:val="28"/>
          <w:sz w:val="28"/>
          <w:szCs w:val="28"/>
          <w:rtl w:val="true"/>
          <w:lang w:bidi="ar-SA"/>
        </w:rPr>
        <w:t xml:space="preserve">وعلى الرغم من أنّنا قد عرضنا هذا الموضوع مفصّلاً في باب النبوّة، فإنّنا سنتطرّق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التمهيد للبحث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موجز عن 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وسعة هذا المفهوم</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369647_1280447820"/>
      <w:bookmarkStart w:id="111" w:name="_Toc42"/>
      <w:bookmarkEnd w:id="110"/>
      <w:r>
        <w:rPr/>
        <w:t>20</w:t>
      </w:r>
      <w:r>
        <w:rPr>
          <w:rtl w:val="true"/>
        </w:rPr>
        <w:t xml:space="preserve"> /</w:t>
      </w:r>
      <w:r>
        <w:rPr/>
        <w:t>2</w:t>
      </w:r>
      <w:r>
        <w:rPr>
          <w:rtl w:val="true"/>
        </w:rPr>
        <w:t>.</w:t>
      </w:r>
      <w:r>
        <w:rPr>
          <w:rtl w:val="true"/>
        </w:rPr>
        <w:t>تحليل العصمة</w:t>
      </w:r>
      <w:bookmarkEnd w:id="111"/>
    </w:p>
    <w:p>
      <w:pPr>
        <w:pStyle w:val="Heading5"/>
        <w:numPr>
          <w:ilvl w:val="4"/>
          <w:numId w:val="1"/>
        </w:numPr>
        <w:rPr/>
      </w:pPr>
      <w:bookmarkStart w:id="112" w:name="__RefHeading___Toc5369649_1280447820"/>
      <w:bookmarkStart w:id="113" w:name="_Toc43"/>
      <w:bookmarkEnd w:id="112"/>
      <w:r>
        <w:rPr>
          <w:rtl w:val="true"/>
        </w:rPr>
        <w:t>إشارة</w:t>
      </w:r>
      <w:bookmarkEnd w:id="113"/>
    </w:p>
    <w:p>
      <w:pPr>
        <w:pStyle w:val="BookText"/>
        <w:rPr/>
      </w:pPr>
      <w:r>
        <w:rPr>
          <w:rFonts w:ascii="Amiri" w:hAnsi="Amiri" w:eastAsia="Amiri" w:cs="Amiri"/>
          <w:color w:val="111111"/>
          <w:sz w:val="28"/>
          <w:sz w:val="28"/>
          <w:szCs w:val="28"/>
          <w:rtl w:val="true"/>
          <w:lang w:bidi="ar-SA"/>
        </w:rPr>
        <w:t xml:space="preserve">تعود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والإمساك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العصمة بهذا الاسم لأنّ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 عن ارتكاب المعصية، وعن الوقوع في الخطأ</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اللغوي الشهير ابن فارس هذه المفردة بأنّها الحفظ الإلهيّ للعباد من الأمور القبيحة والحوادث</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 كلّ من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اللغوي للعصمة بعينه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يتعلّق بالمعنى الاصطلاحي للعصمة، نجد أنّ المتكلمين والحكماء الإسلاميّين قد ساروا في اتجاهات ومناهج مختلفة </w:t>
      </w:r>
      <w:r>
        <w:rPr>
          <w:rStyle w:val="FootnoteAnchor"/>
          <w:rtl w:val="true"/>
        </w:rPr>
        <w:footnoteReference w:id="95"/>
      </w:r>
      <w:r>
        <w:rPr>
          <w:rFonts w:ascii="Amiri" w:hAnsi="Amiri" w:eastAsia="Amiri" w:cs="Amiri"/>
          <w:color w:val="111111"/>
          <w:sz w:val="28"/>
          <w:sz w:val="28"/>
          <w:szCs w:val="28"/>
          <w:rtl w:val="true"/>
          <w:lang w:bidi="ar-SA"/>
        </w:rPr>
        <w:t xml:space="preserve">فقد عدّ بعضهم حقيقة العصمة لطفاً وتفضّلاً إلهيّاً، وارتأى طائفة منهم أنّها قوّة عاقلة، واختار آخرون أنّها ملكة نفسانيّة، كما ذهب آخرون إلى أنّها حيثيّة خاصّة </w:t>
      </w:r>
      <w:r>
        <w:rPr>
          <w:rFonts w:eastAsia="Amiri" w:cs="Amiri" w:ascii="Amiri" w:hAnsi="Amiri"/>
          <w:color w:val="111111"/>
          <w:sz w:val="28"/>
          <w:szCs w:val="28"/>
          <w:rtl w:val="true"/>
          <w:lang w:bidi="ar-SA"/>
        </w:rPr>
        <w:t xml:space="preserve">. </w:t>
      </w:r>
      <w:bookmarkStart w:id="114" w:name="pg16299_219450"/>
    </w:p>
    <w:p>
      <w:pPr>
        <w:pStyle w:val="Heading5"/>
        <w:numPr>
          <w:ilvl w:val="4"/>
          <w:numId w:val="1"/>
        </w:numPr>
        <w:rPr/>
      </w:pPr>
      <w:bookmarkStart w:id="115" w:name="__RefHeading___Toc5369651_1280447820"/>
      <w:bookmarkStart w:id="116" w:name="_Toc44"/>
      <w:bookmarkEnd w:id="114"/>
      <w:bookmarkEnd w:id="115"/>
      <w:r>
        <w:rPr/>
        <w:t>20</w:t>
      </w:r>
      <w:r>
        <w:rPr>
          <w:rtl w:val="true"/>
        </w:rPr>
        <w:t xml:space="preserve"> /</w:t>
      </w:r>
      <w:r>
        <w:rPr/>
        <w:t>2</w:t>
      </w:r>
      <w:r>
        <w:rPr>
          <w:rtl w:val="true"/>
        </w:rPr>
        <w:t xml:space="preserve"> /</w:t>
      </w:r>
      <w:r>
        <w:rPr/>
        <w:t>1</w:t>
      </w:r>
      <w:r>
        <w:rPr>
          <w:rtl w:val="true"/>
        </w:rPr>
        <w:t>.</w:t>
      </w:r>
      <w:r>
        <w:rPr>
          <w:rtl w:val="true"/>
        </w:rPr>
        <w:t xml:space="preserve">تفسير العصمة باللطف </w:t>
      </w:r>
      <w:r>
        <w:rPr>
          <w:rtl w:val="true"/>
        </w:rPr>
        <w:t>:</w:t>
      </w:r>
      <w:bookmarkEnd w:id="116"/>
    </w:p>
    <w:p>
      <w:pPr>
        <w:pStyle w:val="BookText"/>
        <w:rPr/>
      </w:pPr>
      <w:r>
        <w:rPr>
          <w:rFonts w:ascii="Amiri" w:hAnsi="Amiri" w:eastAsia="Amiri" w:cs="Amiri"/>
          <w:color w:val="111111"/>
          <w:sz w:val="28"/>
          <w:sz w:val="28"/>
          <w:szCs w:val="28"/>
          <w:rtl w:val="true"/>
          <w:lang w:bidi="ar-SA"/>
        </w:rPr>
        <w:t xml:space="preserve">و ممّن رأى أنّ حقيقة العصمة لطف الهيّ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الفهم للعصمة وما فيها من اللطف والتفضّل الإلهيّ، صحيح ؛ إلّا أنّه لا يضع يده على القوّة المؤثّرة في صيانة أئمّة الدين من الذنب والخطأ</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369653_1280447820"/>
      <w:bookmarkStart w:id="118" w:name="_Toc45"/>
      <w:bookmarkEnd w:id="117"/>
      <w:r>
        <w:rPr/>
        <w:t>20</w:t>
      </w:r>
      <w:r>
        <w:rPr>
          <w:rtl w:val="true"/>
        </w:rPr>
        <w:t xml:space="preserve"> /</w:t>
      </w:r>
      <w:r>
        <w:rPr/>
        <w:t>2</w:t>
      </w:r>
      <w:r>
        <w:rPr>
          <w:rtl w:val="true"/>
        </w:rPr>
        <w:t xml:space="preserve"> /</w:t>
      </w:r>
      <w:r>
        <w:rPr/>
        <w:t>2</w:t>
      </w:r>
      <w:r>
        <w:rPr>
          <w:rtl w:val="true"/>
        </w:rPr>
        <w:t>.</w:t>
      </w:r>
      <w:r>
        <w:rPr>
          <w:rtl w:val="true"/>
        </w:rPr>
        <w:t xml:space="preserve">تفسير العصمة بكمال القوة العقليّة </w:t>
      </w:r>
      <w:r>
        <w:rPr>
          <w:rtl w:val="true"/>
        </w:rPr>
        <w:t>:</w:t>
      </w:r>
      <w:bookmarkEnd w:id="118"/>
    </w:p>
    <w:p>
      <w:pPr>
        <w:pStyle w:val="BookText"/>
        <w:rPr/>
      </w:pPr>
      <w:r>
        <w:rPr>
          <w:rFonts w:ascii="IRNazanin" w:hAnsi="IRNazanin" w:eastAsia="IRNazanin"/>
          <w:color w:val="111111"/>
          <w:sz w:val="28"/>
          <w:sz w:val="28"/>
          <w:szCs w:val="28"/>
          <w:rtl w:val="true"/>
          <w:lang w:bidi="fa-IR"/>
        </w:rPr>
        <w:t xml:space="preserve">أمّا الحكماء المسلمون فذهبوا إلى أنّ حقيقة 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تكمن في كونها كمالاً للقوّة العاقلة الإنسانيّة في مقابل القوّة الغضبيّة والشهوانيّة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أساسٍ من ذلك، يُسخّر الإنسان الكامل من خلال تدعيمه للقوّة العاقلة، قواه النفسيّة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القوى الغضبيّة والشهوانيّة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ويجعلها طوعاً للقوّة العاقلة؛ فبعد أن تتجاوز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 جميع مراحل التكامل والاتصال والارتباط الوثيق بالعقل الفعّال، والملائكة، تبلغ مكانةً سامية، تزول معها جميع الظروف المؤدّية للوقوع في وحل المعصية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من شكّ في أنّ تكامل القوّة العاقلة له دور فاعل في حقيقة العصمة، لكنّ التساؤل الذي يطرح نفسه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هذا النوع من التكامل لوصول الإنسان إلى مقام النبوّة والإمامة؟ وهل يصل كلّ حكيم تمكّن من تحصيل فعليّة القوّة العاقلة إلى مقام العصمة النبويّة والولائيّة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الأنبياء والأئمة المعصومين لا يكتفون بما حصلوا عليه من نموّ ورقيّ عقلانيّ، بل إنّهم محتاجون أيضاً إلى فضل ولطف إلهيّين يتنزّل عليهم من الله سُبحَانَهُ وَتَعَالى لكي ينالوا مقام العصمة الخاصّة ، ولتُفتح لهم أبواب هداية البشر</w:t>
      </w:r>
      <w:r>
        <w:rPr>
          <w:rFonts w:eastAsia="Amiri" w:cs="Amiri" w:ascii="Amiri" w:hAnsi="Amiri"/>
          <w:color w:val="111111"/>
          <w:sz w:val="28"/>
          <w:szCs w:val="28"/>
          <w:rtl w:val="true"/>
          <w:lang w:bidi="ar-SA"/>
        </w:rPr>
        <w:t xml:space="preserve">. </w:t>
      </w:r>
      <w:bookmarkStart w:id="119" w:name="pg16299_219451"/>
    </w:p>
    <w:p>
      <w:pPr>
        <w:pStyle w:val="BookText"/>
        <w:rPr/>
      </w:pPr>
      <w:bookmarkEnd w:id="119"/>
      <w:r>
        <w:rPr>
          <w:rFonts w:ascii="Amiri" w:hAnsi="Amiri" w:eastAsia="Amiri" w:cs="Amiri"/>
          <w:color w:val="111111"/>
          <w:sz w:val="28"/>
          <w:sz w:val="28"/>
          <w:szCs w:val="28"/>
          <w:rtl w:val="true"/>
          <w:lang w:bidi="ar-SA"/>
        </w:rPr>
        <w:t xml:space="preserve">ولنا أن نتساءل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لفعليّة القوّة العاقلة أن تعمل على تعبيد الطريق للإنسان العاقل حتى يتمكّن من تحصيل العقل المستفاد الذي يعينه على الارتباط بالعقل الفعّال، فينال بذلك القدرة على تلقّي الوحي الإلهيّ على النحو الصحيح؟</w:t>
      </w:r>
    </w:p>
    <w:p>
      <w:pPr>
        <w:pStyle w:val="BookText"/>
        <w:rPr/>
      </w:pPr>
      <w:r>
        <w:rPr>
          <w:rFonts w:ascii="Amiri" w:hAnsi="Amiri" w:eastAsia="Amiri" w:cs="Amiri"/>
          <w:color w:val="111111"/>
          <w:sz w:val="28"/>
          <w:sz w:val="28"/>
          <w:szCs w:val="28"/>
          <w:rtl w:val="true"/>
          <w:lang w:bidi="ar-SA"/>
        </w:rPr>
        <w:t>يبدو أنّ تحقّق الفيض واللطف الإلهيّين لازم أيضاً لتحقّق هذا الأمر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نفس الوصول إلى تحقيق فعليّة القوّة العاقلة بحدّ ذاته يُعدّ فيضاً ولطفاً إلهيّاً</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5369655_1280447820"/>
      <w:bookmarkStart w:id="121" w:name="_Toc46"/>
      <w:bookmarkEnd w:id="120"/>
      <w:r>
        <w:rPr/>
        <w:t>20</w:t>
      </w:r>
      <w:r>
        <w:rPr>
          <w:rtl w:val="true"/>
        </w:rPr>
        <w:t xml:space="preserve"> /</w:t>
      </w:r>
      <w:r>
        <w:rPr/>
        <w:t>2</w:t>
      </w:r>
      <w:r>
        <w:rPr>
          <w:rtl w:val="true"/>
        </w:rPr>
        <w:t xml:space="preserve"> /</w:t>
      </w:r>
      <w:r>
        <w:rPr/>
        <w:t>3</w:t>
      </w:r>
      <w:r>
        <w:rPr>
          <w:rtl w:val="true"/>
        </w:rPr>
        <w:t>.</w:t>
      </w:r>
      <w:r>
        <w:rPr>
          <w:rtl w:val="true"/>
        </w:rPr>
        <w:t xml:space="preserve">تفسير العصمة بالملكة الإنسانيّة </w:t>
      </w:r>
      <w:r>
        <w:rPr>
          <w:rtl w:val="true"/>
        </w:rPr>
        <w:t>:</w:t>
      </w:r>
      <w:bookmarkEnd w:id="121"/>
    </w:p>
    <w:p>
      <w:pPr>
        <w:pStyle w:val="BookText"/>
        <w:rPr/>
      </w:pPr>
      <w:r>
        <w:rPr>
          <w:rFonts w:ascii="Amiri" w:hAnsi="Amiri" w:eastAsia="Amiri" w:cs="Amiri"/>
          <w:color w:val="111111"/>
          <w:sz w:val="28"/>
          <w:sz w:val="28"/>
          <w:szCs w:val="28"/>
          <w:rtl w:val="true"/>
          <w:lang w:bidi="ar-SA"/>
        </w:rPr>
        <w:t xml:space="preserve">ذهب بعض المتكلّمين وثلّة من الحكماء الإسلاميين في حقيقة العصمة إلى أنّها ملكة إنسانيّة تصون صاحبها من ارتكاب الذنوب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ونجد أنّ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التصريح بكون العصمة 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عدّها نوعاً من الصفات والحالات التي تؤدّي بصاحبها إلى الأمن من ارتكاب الذنوب</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5369657_1280447820"/>
      <w:bookmarkStart w:id="123" w:name="_Toc47"/>
      <w:bookmarkEnd w:id="122"/>
      <w:r>
        <w:rPr/>
        <w:t>20</w:t>
      </w:r>
      <w:r>
        <w:rPr>
          <w:rtl w:val="true"/>
        </w:rPr>
        <w:t xml:space="preserve"> /</w:t>
      </w:r>
      <w:r>
        <w:rPr/>
        <w:t>2</w:t>
      </w:r>
      <w:r>
        <w:rPr>
          <w:rtl w:val="true"/>
        </w:rPr>
        <w:t xml:space="preserve"> /</w:t>
      </w:r>
      <w:r>
        <w:rPr/>
        <w:t>4</w:t>
      </w:r>
      <w:r>
        <w:rPr>
          <w:rtl w:val="true"/>
        </w:rPr>
        <w:t>.</w:t>
      </w:r>
      <w:r>
        <w:rPr>
          <w:rtl w:val="true"/>
        </w:rPr>
        <w:t xml:space="preserve">المختار في تفسير العصمة </w:t>
      </w:r>
      <w:r>
        <w:rPr>
          <w:rtl w:val="true"/>
        </w:rPr>
        <w:t>:</w:t>
      </w:r>
      <w:bookmarkEnd w:id="123"/>
    </w:p>
    <w:p>
      <w:pPr>
        <w:pStyle w:val="BookText"/>
        <w:rPr/>
      </w:pPr>
      <w:r>
        <w:rPr>
          <w:rFonts w:ascii="Amiri" w:hAnsi="Amiri" w:eastAsia="Amiri" w:cs="Amiri"/>
          <w:color w:val="111111"/>
          <w:sz w:val="28"/>
          <w:sz w:val="28"/>
          <w:szCs w:val="28"/>
          <w:rtl w:val="true"/>
          <w:lang w:bidi="ar-SA"/>
        </w:rPr>
        <w:t xml:space="preserve">الصحيح في هذا المجال أن تحقّق ملكة العصمة عند الإمام يستلزم كلّاً من قابلية القوّة العاقلة للمعصوم واستعداده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اللطف والعناية الإلهيّين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المتكلّمين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فلكلّ منهما تأثيره الخاصّ في نيل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 الله جَلَّ وَعَلا العصمة في أولئك المنتجبين من عباده من خلال ملكة نفسانيّة، وقوّة 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فإنّ للعصمة حيثيّة اكتسابيّة، كما أنّ لها حيثيّة إعطائيّة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ينتهي إليه النظر أنّ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حازوا على قابليّة تلقّي </w:t>
      </w:r>
      <w:bookmarkStart w:id="124" w:name="pg16299_219452"/>
    </w:p>
    <w:p>
      <w:pPr>
        <w:pStyle w:val="BookText"/>
        <w:rPr/>
      </w:pPr>
      <w:bookmarkEnd w:id="124"/>
      <w:r>
        <w:rPr>
          <w:rFonts w:ascii="IRNazanin" w:hAnsi="IRNazanin" w:eastAsia="IRNazanin"/>
          <w:color w:val="111111"/>
          <w:sz w:val="28"/>
          <w:sz w:val="28"/>
          <w:szCs w:val="28"/>
          <w:rtl w:val="true"/>
          <w:lang w:bidi="fa-IR"/>
        </w:rPr>
        <w:t>العصمة الإعطائيّة من جانب الله تَبَارَكَ وَتَعَالى منذ عالم الذرّ الذي سبق عالم الدنيا؛ وهو عالم أشارت إليه النصوص الشريفة من الكتاب والسنّة، كانت لأرواح البشر فيه الاختيار والتعقّل والقدرة على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تمكّنت بعض الأرواح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 اختيارها من أن تبلغ فيه درجات سامية أتاحت لهم نيل القابليّة اللازمة لتلقّي العصمة ولا يخفى أنّ هذا البيان يعيننا على إثبات العصمة للأنبياء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مبعثهم، وللأئمة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إمامتهم، بل ويثبت أيضاً تلقّيهم إيّاها قبل نشأة عالم الدنيا</w:t>
      </w:r>
      <w:r>
        <w:rPr>
          <w:rFonts w:eastAsia="IRNazanin" w:cs="IRNazanin"/>
          <w:color w:val="111111"/>
          <w:sz w:val="28"/>
          <w:szCs w:val="28"/>
          <w:rtl w:val="true"/>
          <w:lang w:bidi="fa-IR"/>
        </w:rPr>
        <w:t>.</w:t>
      </w:r>
    </w:p>
    <w:p>
      <w:pPr>
        <w:pStyle w:val="Heading4"/>
        <w:numPr>
          <w:ilvl w:val="3"/>
          <w:numId w:val="1"/>
        </w:numPr>
        <w:rPr/>
      </w:pPr>
      <w:bookmarkStart w:id="125" w:name="__RefHeading___Toc5369659_1280447820"/>
      <w:bookmarkStart w:id="126" w:name="_Toc48"/>
      <w:bookmarkEnd w:id="125"/>
      <w:r>
        <w:rPr/>
        <w:t>20</w:t>
      </w:r>
      <w:r>
        <w:rPr>
          <w:rtl w:val="true"/>
        </w:rPr>
        <w:t xml:space="preserve"> /</w:t>
      </w:r>
      <w:r>
        <w:rPr/>
        <w:t>3</w:t>
      </w:r>
      <w:r>
        <w:rPr>
          <w:rtl w:val="true"/>
        </w:rPr>
        <w:t>.</w:t>
      </w:r>
      <w:r>
        <w:rPr>
          <w:rtl w:val="true"/>
        </w:rPr>
        <w:t xml:space="preserve">مجال العصمة وسعة مفهومها </w:t>
      </w:r>
      <w:r>
        <w:rPr>
          <w:rtl w:val="true"/>
        </w:rPr>
        <w:t>:</w:t>
      </w:r>
      <w:bookmarkEnd w:id="126"/>
    </w:p>
    <w:p>
      <w:pPr>
        <w:pStyle w:val="BookText"/>
        <w:rPr/>
      </w:pPr>
      <w:r>
        <w:rPr>
          <w:rFonts w:ascii="Amiri" w:hAnsi="Amiri" w:eastAsia="Amiri" w:cs="Amiri"/>
          <w:color w:val="111111"/>
          <w:sz w:val="28"/>
          <w:sz w:val="28"/>
          <w:szCs w:val="28"/>
          <w:rtl w:val="true"/>
          <w:lang w:bidi="ar-SA"/>
        </w:rPr>
        <w:t>للعصمة في الكلام الإسلامي مراتب و درجات اكتفى بعضهم بذكر ثلاث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العصمة عن ارتكاب المعصية، ومخالفة الأوامر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الواجبات والمحرّمات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عن الخطأ والنسيان في تلقّى الوحي والرسالة وتبليغها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عن الخطأ والنسيان في تنفيذ الأحكام الإلهيّة، وتطبيقها مع الشرع، والأمن من الخطأ في القيام بالأمور الفردية والاجتماعية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لكنّ الالتفات إلى التحليل المفهومي للعصمة وإثباتها التصديقي، يبيّن وجود درجات أخرى من العصمة؛ منها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في تلقّي الوحي والإلهام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في الإبلاغ الصحيح للوحي والإلهام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المعتقدات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العمل وتنفيذ الأحكام الإلهيّة على النحو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التعرّف على موضوعات الأحكام الشرعيّة بدقة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معرفة المصالح والمفاسد الفرديّة والاجتماعيّة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في الأمور العاديّة وشؤون الحياة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ويُطلق على العصمة في المعتقد الدينيّ والعمل بالشريعة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من ارتكاب الذنوب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تنقسم بدورها إلى عددٍ من الأقسام، وذلك باعتبار كون المعاصي على أنواع؛ صغيرة وكبيرة، وكون الآثام عمديّة وسهويّة ونسيانيّة، وكذلك بلحاظ مراتب العصمة؛ من حيث كونها قبل منصب النبوّة والإمامة، وبعده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ما تقدّم، يمكن بيان تقسيم مراتب العصمة في ثلاثة 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المعرفة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السلوكية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فرديّة واجتماعيّة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 علماء الإسلام في ما يتعلّق بمراتب العصمة وأقسامها؛ فذهب مشهور علماء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عصمة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أنواع الذنوب وشتّى ألوان الخطأ؛ سواء كانت تلك الذنوب أو الأخطاء كبيرة أو صغيرة، وسواء كانت عمديّة أو سهويّة، وسواء كانت قبل التصدّي للنبوّة والإمامة أم بعد ذلك</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27" w:name="pg16299_219454"/>
    </w:p>
    <w:p>
      <w:pPr>
        <w:pStyle w:val="BookText"/>
        <w:rPr/>
      </w:pPr>
      <w:bookmarkEnd w:id="127"/>
      <w:r>
        <w:rPr>
          <w:rFonts w:ascii="IRNazanin" w:hAnsi="IRNazanin" w:eastAsia="IRNazanin"/>
          <w:color w:val="111111"/>
          <w:sz w:val="28"/>
          <w:sz w:val="28"/>
          <w:szCs w:val="28"/>
          <w:rtl w:val="true"/>
          <w:lang w:bidi="fa-IR"/>
        </w:rPr>
        <w:t xml:space="preserve">وعصمة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مذهب الإماميّة ومتكلّميهم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عصمتهم على مستوى الاعتقاد، والعمل والسلوك الشخصيّ، ومعرفة مصالح الناس ومفاسدهم، وفي تبيين الأحكام الإلهيّة وتفسيرها وتنفيذها على النحو الصحيح، وسواء في عصمتهم من الأخطاء والمعاصي العمديّة أو السهويّة والكبيرة أم الصغيرة، وسواء كانت قبل الإمامة أم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 عن عصمة الأنبياء بأيّ نحو من الأنحاء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علماء العامّة فلا يقولون بالعصمة بهكذا كيفية، بل اكتفوا بالقول بعدالتهم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5369661_1280447820"/>
      <w:bookmarkStart w:id="129" w:name="_Toc49"/>
      <w:bookmarkEnd w:id="128"/>
      <w:r>
        <w:rPr/>
        <w:t>20</w:t>
      </w:r>
      <w:r>
        <w:rPr>
          <w:rtl w:val="true"/>
        </w:rPr>
        <w:t xml:space="preserve"> /</w:t>
      </w:r>
      <w:r>
        <w:rPr/>
        <w:t>4</w:t>
      </w:r>
      <w:r>
        <w:rPr>
          <w:rtl w:val="true"/>
        </w:rPr>
        <w:t>.</w:t>
      </w:r>
      <w:r>
        <w:rPr>
          <w:rtl w:val="true"/>
        </w:rPr>
        <w:t xml:space="preserve">الأدلّة على عصمة الأئمة </w:t>
      </w:r>
      <w:r>
        <w:rPr>
          <w:rtl w:val="true"/>
        </w:rPr>
        <w:t>(</w:t>
      </w:r>
      <w:r>
        <w:rPr>
          <w:rtl w:val="true"/>
        </w:rPr>
        <w:t>علیهم السلام</w:t>
      </w:r>
      <w:r>
        <w:rPr>
          <w:rtl w:val="true"/>
        </w:rPr>
        <w:t>):</w:t>
      </w:r>
      <w:bookmarkEnd w:id="129"/>
    </w:p>
    <w:p>
      <w:pPr>
        <w:pStyle w:val="Heading5"/>
        <w:numPr>
          <w:ilvl w:val="4"/>
          <w:numId w:val="1"/>
        </w:numPr>
        <w:rPr/>
      </w:pPr>
      <w:bookmarkStart w:id="130" w:name="__RefHeading___Toc5369663_1280447820"/>
      <w:bookmarkStart w:id="131" w:name="_Toc50"/>
      <w:bookmarkEnd w:id="130"/>
      <w:r>
        <w:rPr>
          <w:rtl w:val="true"/>
        </w:rPr>
        <w:t>إشارة</w:t>
      </w:r>
      <w:bookmarkEnd w:id="131"/>
    </w:p>
    <w:p>
      <w:pPr>
        <w:pStyle w:val="BookText"/>
        <w:rPr/>
      </w:pPr>
      <w:r>
        <w:rPr>
          <w:rFonts w:ascii="Amiri" w:hAnsi="Amiri" w:eastAsia="Amiri" w:cs="Amiri"/>
          <w:color w:val="111111"/>
          <w:sz w:val="28"/>
          <w:sz w:val="28"/>
          <w:szCs w:val="28"/>
          <w:rtl w:val="true"/>
          <w:lang w:bidi="ar-SA"/>
        </w:rPr>
        <w:t xml:space="preserve">تمسّك متكلّمو الإماميّة في إثبات العصمة بمجموعة من الأدلّة والبراهين العقليّة والنقليّة؛ نكتفي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مراعاة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دليلين؛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التسلسل، والآخر دليل حافظ الدين والشريعة </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5369665_1280447820"/>
      <w:bookmarkStart w:id="133" w:name="_Toc51"/>
      <w:bookmarkEnd w:id="132"/>
      <w:r>
        <w:rPr/>
        <w:t>20</w:t>
      </w:r>
      <w:r>
        <w:rPr>
          <w:rtl w:val="true"/>
        </w:rPr>
        <w:t xml:space="preserve"> / </w:t>
      </w:r>
      <w:r>
        <w:rPr/>
        <w:t>4</w:t>
      </w:r>
      <w:r>
        <w:rPr>
          <w:rtl w:val="true"/>
        </w:rPr>
        <w:t xml:space="preserve"> /</w:t>
      </w:r>
      <w:r>
        <w:rPr/>
        <w:t>1</w:t>
      </w:r>
      <w:r>
        <w:rPr>
          <w:rtl w:val="true"/>
        </w:rPr>
        <w:t>.</w:t>
      </w:r>
      <w:r>
        <w:rPr>
          <w:rtl w:val="true"/>
        </w:rPr>
        <w:t xml:space="preserve">برهان التسلسل </w:t>
      </w:r>
      <w:r>
        <w:rPr>
          <w:rtl w:val="true"/>
        </w:rPr>
        <w:t>:</w:t>
      </w:r>
      <w:bookmarkEnd w:id="133"/>
    </w:p>
    <w:p>
      <w:pPr>
        <w:pStyle w:val="BookText"/>
        <w:rPr/>
      </w:pPr>
      <w:r>
        <w:rPr>
          <w:rFonts w:ascii="Amiri" w:hAnsi="Amiri" w:eastAsia="Amiri" w:cs="Amiri"/>
          <w:color w:val="111111"/>
          <w:sz w:val="28"/>
          <w:sz w:val="28"/>
          <w:szCs w:val="28"/>
          <w:rtl w:val="true"/>
          <w:lang w:bidi="ar-SA"/>
        </w:rPr>
        <w:t>أحد البراهين التي تثبت ضرورة عصمة الإمام من وجهة نظر الإماميّة هو برهان التسلسل؛ وبيانه كالآتي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الداعي لحاجة الأمّة إلى إمام هو التصدّي لظلم الظالم، ومعصية الفاسق، ومنع وقوعهما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كان صدور الظلم والمعصية من الإمام نفسه أمراً ممكناً ومتصوّراً، لاستلزم ذلك وجود إمام آخر؛ لمنع صدورهما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تكرّر الأمر على هذا المنوال من دون أن ينتهي إلى إمام معصوم؛ للزم من ذلك التسلسل، والتسلسل باطل</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هذا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يدلّ على عصمة الإمام أنّ علّة الحاجة إليه هي جواز الخطأ وفعل القبيح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يخلو الامام من أن يكون يجوز عليه ما جاز على رعيته، أو لا يجوز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وجوب إثبات إمام له؛ لأنّ علّة الحاجة إليه موجودة فيه؛ وإلّا كان ذلك نقصاً للعلّة، وهذا يؤدّي إلى إثبات ما لا يتناهى من الأئمة، أو الانتهاء الى إمام معصوم؛ وهو المطلوب</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هذا البرهان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يكون الإمام معصوماً من القبائح والإخلال بالواجبات؛ لأنّه لو لم يكن كذلك لكانت علّة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فيه إلى آخر؛ لأنّ الناس إنّما احتاجوا إلى الإمام لكونهم غير معصومين ومحال أن تكون العلّة حاصلة، والحاجة مرتفعة؛ لأنّ ذلك نقض للعلّة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 العلّة 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ومتى احتاج إلى إمام لكان الكلام فيه كالكلام في الإمام الأوّل، وذلك يؤدّي إلى وجود أئمة لا نهاية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الانتهاء إلى إمام معصوم؛ ليس من ورائه إمام؛ وهو المطلوب</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المتكلّمون الأشعريّون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تطرّق لبرهان التسلسل فقد حاولوا مناقشة ذلك، لكن المتكلّمين من الإماميّة ردّوا تلك المناقشات </w:t>
      </w:r>
    </w:p>
    <w:p>
      <w:pPr>
        <w:pStyle w:val="BookText"/>
        <w:rPr/>
      </w:pPr>
      <w:r>
        <w:rPr>
          <w:rFonts w:ascii="Amiri" w:hAnsi="Amiri" w:eastAsia="Amiri" w:cs="Amiri"/>
          <w:color w:val="111111"/>
          <w:sz w:val="28"/>
          <w:sz w:val="28"/>
          <w:szCs w:val="28"/>
          <w:rtl w:val="true"/>
          <w:lang w:bidi="ar-SA"/>
        </w:rPr>
        <w:t>بأسلوب منطقيّ وعلميّ 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الفخر الرازيّ في نقد هذا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مبنيّة على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أنّ الخلق لمّا كان الخطأ عليهم جائزاً، احتاجوا إلى نصب الإمام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أنّ احتياج الأمّة إلى الإمام ليس من باب وجود قابليّة الوقوع في الخطأ فيها؛ حتى يؤدّي عدم عصمة الإمام إلى التسلسل، معتمداً في ذلك على تبيين أنّ وجوب نصب الإمام في منظور أهل السنّة شرعيّ؛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كون وجوب نصب الإمام أمراً عقليّاً، فما الدليل على أنّ علّة هذا الوجوب العقليّ لنصب الإمام هي وجود قابليّة الخطأ في الأمّة؟ فلعلّ منشأ هذا الوجوب العقليّ المفترض هو وجود مصالح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هذا، لو فرض أنّ علة وجوب نصب الإمام هي وجود إمكان وقوع الأمّة في الخطأ؛ فلا يصلح هذا أن يكون برهاناً على عصمة الإمام؛ ذلك لأنّ تدارك خطأ الأمّة متاح من خلال العلم والعدالة والاستعانة بالكتاب والسنّة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على الإشكال الأول هو كالآتي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علماء الإماميّة أنّ براهين ضرورة نصب الإمام لا تنحصر بالأدلّة الشرعيّة فقط ؛ بل إنّ وجوب نصبه ثابت أيضاً بالأدلّة العقليّة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اللطف، وبرهان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يكون وجود الإمام المعصوم أمراً ضروريّاً من أجل تحقّق العدالة والهداية الإسلامية للبشر، وفقدانه في المجتمع يستلزم نقض الغرض، ويصبح المجتمع البشريّ محتاجاً لوجود عدد غير متناه من الأئمّة غير المعصومين؛ فتحقّق </w:t>
      </w:r>
    </w:p>
    <w:p>
      <w:pPr>
        <w:pStyle w:val="BookText"/>
        <w:rPr/>
      </w:pPr>
      <w:r>
        <w:rPr>
          <w:rFonts w:ascii="Amiri" w:hAnsi="Amiri" w:eastAsia="Amiri" w:cs="Amiri"/>
          <w:color w:val="111111"/>
          <w:sz w:val="28"/>
          <w:sz w:val="28"/>
          <w:szCs w:val="28"/>
          <w:rtl w:val="true"/>
          <w:lang w:bidi="ar-SA"/>
        </w:rPr>
        <w:t>العدالة والهداية للمجتمع الإسلاميّ تمثّل تكامل الفرد والمجتمع، ووصوله إلى أسمى درجات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اللطف والحكمة الإلهيّان يقتضيان أن يقوم الله عَزَّ وَجَلَّ بإظهار سبيل الهداية للبشر على نحو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مقتضى العقل، يجب على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الهادي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نوره الكاشف عن سبيل الهداية، وبما أنّ العقل ليس كافياً لهداية البشر ممّا تسبّب في ضرورة نزول القرآن الكريم والسنّة النبويّة؛ ولذات هذا السبب أيضاً، كانت ضرورة تعيين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الذي يشهد على ضرورة إكمال تبيين سبيل الهداية من خلال تعيين إمام معصوم هو أنّ علماء العامّة استعانوا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اعتمادهم على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ظنيّة؛ منها الاستحسان والمصالح المرسلة، وسدّ الذرائع وما شاكلها كما أنّهم اضطرّوا إلى إعمال الاجتهاد في الأصول والمبادئ، فوقعوا في فخّ الأخطاء والأهواء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علماء الإماميّة فقد اعتصموا بحبل الهداية الإلهيّة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تمسّكهم بالإمامة المعصومة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يتجرّؤوا على إطلاق يد الاجتهاد لتنال الأصول أيضاً؛ بل اكتفوا باتّخاذ الاجتهاد وسيلةً لتطبيق الأصول على الفروع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أنّهم قد حُرموا الهداية الإلهيّة في تطبيق الأصول على الفروع لما كان من غيبة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قد تزلّ الأقدام أحياناً عن إصابة الحكم الواقعيّ في هذا الصدد؛ غير أنّ اللوم في هذا الزلل لا يُوجَّه لله جَلَّ وَعَلا؛ فالله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وبوصفها ضرورة 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قدّر كلّ ما هو لازم لتحقيق هداية البشر؛ وحاشاه التقصير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جَلَّ وَعَلا قد أرسل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وتكراراً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ليبلغوا أسباب الهداية إلى بني إسرائيل الذين كان ردّهم على ذلك قتل الأنبياء، والتمسّك بالضلالات، والإعراض عن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عاقبة أمرهم أن حرمهم الله من الرسل مدة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حرمان البشر في زماننا الحاضر عن رؤية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وابتلائهم بالوقوع في أخطاء التطبيق إلّا أمر مشابه لحرمان بني إسرائيل من بعثة الأنبياء؛ فهو أيضاً وليد إرادة البشر</w:t>
      </w:r>
      <w:r>
        <w:rPr>
          <w:rFonts w:eastAsia="IRNazanin" w:cs="IRNazanin"/>
          <w:color w:val="111111"/>
          <w:sz w:val="28"/>
          <w:szCs w:val="28"/>
          <w:rtl w:val="true"/>
          <w:lang w:bidi="fa-IR"/>
        </w:rPr>
        <w:t xml:space="preserve">. </w:t>
      </w:r>
      <w:bookmarkStart w:id="134" w:name="pg16299_219458"/>
    </w:p>
    <w:p>
      <w:pPr>
        <w:pStyle w:val="BookText"/>
        <w:rPr/>
      </w:pPr>
      <w:bookmarkEnd w:id="134"/>
      <w:r>
        <w:rPr>
          <w:rFonts w:ascii="Amiri" w:hAnsi="Amiri" w:eastAsia="Amiri" w:cs="Amiri"/>
          <w:color w:val="111111"/>
          <w:sz w:val="28"/>
          <w:sz w:val="28"/>
          <w:szCs w:val="28"/>
          <w:rtl w:val="true"/>
          <w:lang w:bidi="ar-SA"/>
        </w:rPr>
        <w:t xml:space="preserve">بناءً على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وضع الله عَزَّ وَجَلَّ نظام التكوين والتشريع على أحسن صورة، وأتمّ هيئة، وقد قدّر تحقّق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لاحظنا خطأ في موضع ما، فهو عائد إلى أفعال البشر ، وتقصيرهم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لازم هذه المطالب هو ضرورة وجود إمام معصوم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الإمام المعصوم يضمن تحقّق الهداية المعرفيّة؛ وذلك من خلال تبيينه الدين على نحو منزّه عن شتّى ألوان الخطأ والنسيان، كما أنّه يعمل على تحقيق الهداية على أرض الواقع من خلال تحقّق المعرفة الدينيّة، وإدارة أمور المجتمع على النحو الصحيح؛ إذ إنّ الدور الذي يؤديه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الفكر، أو في السلوك، أو في الأفعال؛ على الصعيدين الفرديّ والاجتماعيّ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دور فعال ومصيريّ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ومن خلال ما يتمتّع به من معرفة معصومة، وأسلوب إدارة منزّه عن الخطأ؛ ملمّ بحقيقة خير الأمة الإسلاميّة ،وصلاحها، كما أنّه محيط بالمعنى الحقيقيّ للعدالة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يعلم مواضع الحقّ وأهله من خلال معرفته الصحيحة لحقوق أصحاب الحقّ؛ فيعطي كلّ ذي حقّ حقّه، ويقف في وجه الظالمين، ويتصدّى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لأنّ الإمام المعصوم ملمّ بمصداق العدالة والحقوق والواجبات، كما أنّ لديه القدرة على إدارة المجتمع</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5369667_1280447820"/>
      <w:bookmarkStart w:id="136" w:name="_Toc52"/>
      <w:bookmarkEnd w:id="135"/>
      <w:r>
        <w:rPr/>
        <w:t>20</w:t>
      </w:r>
      <w:r>
        <w:rPr>
          <w:rtl w:val="true"/>
        </w:rPr>
        <w:t xml:space="preserve"> / </w:t>
      </w:r>
      <w:r>
        <w:rPr/>
        <w:t>4</w:t>
      </w:r>
      <w:r>
        <w:rPr>
          <w:rtl w:val="true"/>
        </w:rPr>
        <w:t xml:space="preserve">/ </w:t>
      </w:r>
      <w:r>
        <w:rPr/>
        <w:t>2</w:t>
      </w:r>
      <w:r>
        <w:rPr>
          <w:rtl w:val="true"/>
        </w:rPr>
        <w:t>.</w:t>
      </w:r>
      <w:r>
        <w:rPr>
          <w:rtl w:val="true"/>
        </w:rPr>
        <w:t xml:space="preserve">برهان حافظ الدين والشريعة </w:t>
      </w:r>
      <w:r>
        <w:rPr>
          <w:rtl w:val="true"/>
        </w:rPr>
        <w:t>:</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حفظ الدين والشريعة أحد أهمّ أدلّة الإماميّة على عصمة الإمام؛ وذلك لأنّ حفظ الدين والشريعة في المجتمع الإسلاميّ هو أعظم المهامّ المناطة بالإمام بعد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وأكثرها حساسيّة ومركزيّة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يلزم أن يكون الإمام مصوناً من ارتكاب جميع المعاصي والذنوب، ومحصّناً منها؛ اللّهمّ إلّا أن يزعم أحدهم أنّ مهمّة الحفاظ على الدين ليست منحصرةً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يمكن فرض عوامل أخرى تتكفّل بالحفاظ على الدين، لكن يتوجّب ههنا النظر في إمكانيّة تحقّق هذه العوامل، ومدى جدارتها بالحفاظ على الدين بالرغم من عدم وجود إمام معصوم، وهل ستكون تلك العوامل صالحة لأداء هذه المهمّة أم لا؟ </w:t>
      </w:r>
    </w:p>
    <w:p>
      <w:pPr>
        <w:pStyle w:val="BookText"/>
        <w:rPr/>
      </w:pPr>
      <w:r>
        <w:rPr>
          <w:rFonts w:ascii="Amiri" w:hAnsi="Amiri" w:eastAsia="Amiri" w:cs="Amiri"/>
          <w:color w:val="111111"/>
          <w:sz w:val="28"/>
          <w:sz w:val="28"/>
          <w:szCs w:val="28"/>
          <w:rtl w:val="true"/>
          <w:lang w:bidi="ar-SA"/>
        </w:rPr>
        <w:t>أمّا الأمور التي قد يُتوقّع منها أن تصون الدين والشرع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الشريفة، والإجماع، والقياس، وأصل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لكنّنا إذا أمعنا النظر فيها، سنجد بقول لا ريب فيه أنّ هذه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بمفردها، أو مع انضمام الأخريات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تفضي إلى حفظ الشريعة من دون وجود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نجزم بأنّ حفظ الدين والشريعة وصيانتهما أمر لا يتحقّق إلى بوجود إمام، بل ويجب أن يكون ذلك الإمام معصوماً عن ارتكاب المعاصي، وعن الوقوع في الخطأ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وبانعدامه، لن يأمن الدين والشريعة من خطر السقوط والانحراف؛ وذلك لوجود احتمال أن تتسبّب الأهواء النفسانيّة، أو الخطأ والنسيان في نقصان حكم أو زيادته؛ وهذا يتنافى مع مقام الحفظ</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الصدد، أورد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لعبارة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ولأنّه حافظ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حافظ للشرع، فيجب أن يكون معصوماً، أمّا المقدّمة الأولى فلأنّ الحافظ للشرع ليس هو الكتاب؛ لعدم إحاطته بجميع الأحكام التفصيليّة، ولا السنّة ؛ لذلك أيضاً، ولا إجماع الأمّة؛ لأنّ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المعصوم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الخطأ؛ فالمجموع كذلك، ولأنّ إجماعهم ليس لدلالة وإلّا لاشتهرت، ولا لإمارة؛ إذ يمتنع اتفاق الناس في سائر البقاع على الإمارة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القياس؛ لبطلان القول به على ما ظهر في أصول الفقه وعلى تقدير تسليمه فليس بحافظ للشرع بالإجماع، ولا البراءة الأصليّة؛ لأنّه لو وجب المصير إليها، لما وجب بعثة الأنبياء، وللاجماع على عدم حفظها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الإمام ؛ فلو جاز الخطأ عليه، لم يبق وثوق بما تعبّدنا الله </w:t>
      </w:r>
    </w:p>
    <w:p>
      <w:pPr>
        <w:pStyle w:val="BookText"/>
        <w:rPr/>
      </w:pPr>
      <w:r>
        <w:rPr>
          <w:rFonts w:ascii="IRNazanin" w:hAnsi="IRNazanin" w:eastAsia="IRNazanin"/>
          <w:color w:val="111111"/>
          <w:sz w:val="28"/>
          <w:sz w:val="28"/>
          <w:szCs w:val="28"/>
          <w:rtl w:val="true"/>
          <w:lang w:bidi="fa-IR"/>
        </w:rPr>
        <w:t xml:space="preserve">تعالی به، و ما كلّفناه، وذلك مناقض للغرض من التكليف؛ وهو الانقياد إلى مراد الله تعالى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هذا البرهان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الشرع، وحجّةٌ فيه، وأنّ الأمر ربّما انتهى في الشريعة أو بعضها إلى أن يكون هو المؤدّي لها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بهذه الصفة، فلابدّ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محصّلي خصومنا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عصمته وكيف يُحفَظ الشرع بمن ليس بمعصوم، أو يوثق بأداء من ليس بمأمون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اكتفى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ثلاثة عوامل أو احتمالات لحفظ الشرع؛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والتواتر، والإمام المعصوم ولم يعرض العوامل الأخرى؛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الشريفة، والقياس، والاستحسان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تطرّق إلى ذكرها أكثر الإماميّة عند إقامتهم لهذا البرهان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وبحسب مذهب الإماميّة، فإنّ الإمام المعصوم هو المصداق الأوحد لمن يمكنه أن يتولّى مقام حفظ شريعة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أبناء العامّة من المسلمين دأبوا على تسمية مصاديق أخرى في محاولة منهم لإنكار ضرورة وجود 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البيّن أنّ الكتاب المجيد، والسنّة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والإجماع، وأخبار الآحاد، والقياس، والبراءة، بأجمعها غير كافية لضمان هذا الأمر؛ فالقرآن الكريم والسنّة النبويّة المطهّرة لا يسعهما أن يكونا حافظين للشرع؛ لبداهة أنهما يشتملان على المجمل والمفصل، والناسخ والمنسوخ، والمحكم والمتشابه، ويلزمهما وجود مفسّر ومبيّن معصوم و منزّه عن جميع أشكال الخطأ واللبس؛ من أجل القيام بمهمّة حفظهما وصيانتهما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على ذلك، لا يتأتّى لنا اتّخاذ القرآن الكريم والسنّة النبويّة بمثابة حافظين للشريعة؛ بل إنّ مهمّة حفظهما وتبيينهما في نفسها موكولة إلى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نجد أنّ السنّة النبويّة إمّا أن تكون من قبيل الخبر المتواتر، أو أن تكون من قبيل خبر الواحد؛ والأخبار المتواترة في مجال الأحكام نادرة جداً، ولا يمكنها أن تكون حافظة للشريعة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خبر الواحد ظنّيّ، وهو ممتزج بالروايات الموضوعة؛ فضلاً عن كونه في نطاق تفصيل الأحكام محدوداً وعاجزاً عن حفظ الشريعة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إجماع الأمّة فهو فاقد للحجيّة، طالما أنّه لم يشمل قول الإمام المعصوم لا سيّما إذا لاحظنا أنّ الإجماع قاصر عن تبيين الشرع بتمامه؛ فإنّ موارد الإجماع قليلة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أنّ الإجماع يعتمد إمّا على الكتاب أو على السنّة، ولا يوجد من البشر من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إلمام تامّ ودقيق بهذين المصدرين سوى الإمام المعصوم المصون من ارتكاب المعاصي، والوقوع في الخطأ</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القياس الفقهيّ، فهو أيضاً لا يُمثّل إلّا ظنّاً هزيلاً،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للحجيّة في مجال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البراءة فلا يمكنه أن يكون حافظاً للشرع أيضاً؛ لأنّ جريان هذا الأصل في صورة الشكّ يُفضي إلى انتفاء الحاجة إلى بعثة الأنبياء</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ناهيك عن أنّ جميع الأمرين بالمعروف والناهين عن المنكر، والمجتهدين غيرُ </w:t>
      </w:r>
    </w:p>
    <w:p>
      <w:pPr>
        <w:pStyle w:val="BookText"/>
        <w:rPr/>
      </w:pPr>
      <w:r>
        <w:rPr>
          <w:rFonts w:ascii="Amiri" w:hAnsi="Amiri" w:eastAsia="Amiri" w:cs="Amiri"/>
          <w:color w:val="111111"/>
          <w:sz w:val="28"/>
          <w:sz w:val="28"/>
          <w:szCs w:val="28"/>
          <w:rtl w:val="true"/>
          <w:lang w:bidi="ar-SA"/>
        </w:rPr>
        <w:t xml:space="preserve">معصومين، وهم معرّضون لاحتمال الوقوع في الخطأ واللبس أيضاً؛ فلا يمكنهم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يقوموا بمهمّة حفظ الشريعة النبويّة، وصيانتها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المحصّلة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وجود الحافظ المعصوم للشريعة ضروريّاً، لاستلزم ذلك إهمال المولى عَزَّ وَجَلَّ أمر الشريعة، وتكليفه لعباده ما لا يطيقون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غير المعصوم بحفظ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ومخالفة إجماع الأمّة؛ لأنّه يلزم منه أن يعمل الناس بجزء من الشريعة، وألّا يتسنّى لهم نيل الهداية الكاملة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37" w:name="pg16299_219463"/>
    </w:p>
    <w:p>
      <w:pPr>
        <w:pStyle w:val="Heading3"/>
        <w:numPr>
          <w:ilvl w:val="2"/>
          <w:numId w:val="1"/>
        </w:numPr>
        <w:rPr/>
      </w:pPr>
      <w:bookmarkStart w:id="138" w:name="__RefHeading___Toc5369669_1280447820"/>
      <w:bookmarkStart w:id="139" w:name="_Toc53"/>
      <w:bookmarkEnd w:id="137"/>
      <w:bookmarkEnd w:id="138"/>
      <w:r>
        <w:rPr/>
        <w:t>21</w:t>
      </w:r>
      <w:r>
        <w:rPr>
          <w:rtl w:val="true"/>
        </w:rPr>
        <w:t>.</w:t>
      </w:r>
      <w:r>
        <w:rPr>
          <w:rtl w:val="true"/>
        </w:rPr>
        <w:t>علم الإمام</w:t>
      </w:r>
      <w:bookmarkEnd w:id="139"/>
    </w:p>
    <w:p>
      <w:pPr>
        <w:pStyle w:val="Heading4"/>
        <w:numPr>
          <w:ilvl w:val="3"/>
          <w:numId w:val="1"/>
        </w:numPr>
        <w:rPr/>
      </w:pPr>
      <w:bookmarkStart w:id="140" w:name="__RefHeading___Toc5369671_1280447820"/>
      <w:bookmarkStart w:id="141" w:name="_Toc54"/>
      <w:bookmarkEnd w:id="140"/>
      <w:r>
        <w:rPr/>
        <w:t>21</w:t>
      </w:r>
      <w:r>
        <w:rPr>
          <w:rtl w:val="true"/>
        </w:rPr>
        <w:t xml:space="preserve"> /</w:t>
      </w:r>
      <w:r>
        <w:rPr/>
        <w:t>1</w:t>
      </w:r>
      <w:r>
        <w:rPr>
          <w:rtl w:val="true"/>
        </w:rPr>
        <w:t>.</w:t>
      </w:r>
      <w:r>
        <w:rPr>
          <w:rtl w:val="true"/>
        </w:rPr>
        <w:t>تمهید</w:t>
      </w:r>
      <w:r>
        <w:rPr>
          <w:rtl w:val="true"/>
        </w:rPr>
        <w:t>:</w:t>
      </w:r>
      <w:bookmarkEnd w:id="141"/>
    </w:p>
    <w:p>
      <w:pPr>
        <w:pStyle w:val="BookText"/>
        <w:rPr/>
      </w:pPr>
      <w:r>
        <w:rPr>
          <w:rFonts w:ascii="Amiri" w:hAnsi="Amiri" w:eastAsia="Amiri" w:cs="Amiri"/>
          <w:color w:val="111111"/>
          <w:sz w:val="28"/>
          <w:sz w:val="28"/>
          <w:szCs w:val="28"/>
          <w:rtl w:val="true"/>
          <w:lang w:bidi="ar-SA"/>
        </w:rPr>
        <w:t xml:space="preserve">تمثّل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صفات الإمام الحائزة على قدر كبير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بأصل وجودها قاطبة متكلّمي المسلمين، بيد أنّهم اختلفوا في كيفية تحقّقها، وسعة نطاقها؛ فقد ذهب القاضي أبوبكر الباقلانيّ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الأعلام البارزين من متكلّمي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إحراز منصب الخلافة إلى وجوب تحقّق ثلاثة شروط؛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يتحلّى بالعلم الذي يتيح له القدرة على القضاء؛ غير أنّه لم يقل بلزوم اتّصافه بالعلم بالغيب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القاضي عبد الجبّار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أحد علماء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قرّر ثلاثة شروط أصليّة لمنصب الإمام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الاجتهادي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والتقوى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فاتّصاف الإمام بالعلم بحدّ يتيح له الاجتهاد، وحلّ مشاكل الناس والتمكّن من تمييز القول الضعيف، هو من لوازم منصب الإمام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ترتهن رؤية علماء العامّة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يتعلّق بعلم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قدّموه من تبيين وشرح الحقيقة الإمامة نفسها؛ فقد أصرّوا فيها على عدم الاعتراف بأنّ الإمامة امتداد للنبوّة، واستمرار لهديها، وذهبوا إلى أنّ منصب الإمام مقام يتساوى مع منصب تنفيذ الأحكام على نحو 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لا يلزم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مرتبة متدنّية من العلم، يكفي فيها أن يكون بمستوى القاضي، والمفتي، والمجتهد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والسؤال المطروح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لإمام لا يملك من العلم إلّا ما هو بحدود العلم الاجتهاديّ الذي يتحلّى به القاضي أن يمسك بزمام قيادة المجتمع، وأن يغدو أسوة الناس ومثلهم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يمهّد الطريق لضمان سعادتهم، وتحقّق هدايتهم؟</w:t>
      </w:r>
    </w:p>
    <w:p>
      <w:pPr>
        <w:pStyle w:val="BookText"/>
        <w:rPr/>
      </w:pPr>
      <w:r>
        <w:rPr>
          <w:rFonts w:ascii="Amiri" w:hAnsi="Amiri" w:eastAsia="Amiri" w:cs="Amiri"/>
          <w:color w:val="111111"/>
          <w:sz w:val="28"/>
          <w:sz w:val="28"/>
          <w:szCs w:val="28"/>
          <w:rtl w:val="true"/>
          <w:lang w:bidi="ar-SA"/>
        </w:rPr>
        <w:t xml:space="preserve">والحقّ أنّ الإمام ليس فقط يجب أن يكون واجداً للعلم بالفعل في جميع الأمور التي تتعلّق بمصالح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دنيويةً كانت، أم 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يتحتّم أيضاً أن يكون أعلم ممّن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على هذا المستوى لا يتأتّى بالعلم الاجتهاديّ، كما أنّه لا يتحصّل بالاكتساب والتعلّم الاعتياديين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يلزم ههنا تحقّق العلم اللدنيّ الإلهيّ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قطع علماء الإماميّة بضرورة ثبوت العلم اللدنيّ والأعلميّة المطلقة للإمام؛ من أجل أن تتوافر أسباب السعادة والهداية الدينيّة والدنيويّة، وقد عملوا على تبيين مختلف مجالاته، وأكّدوا ويؤكّدون على ثبوت هذا النوع من العلم للإمام، وعلى تحقّق الأعلميّة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الأمر ، أنّ بعضهم تطرّقوا إلى شرط الأعلميّة في مبحث أفضليّة الإمام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صفات الإمام تنقسم إلى طائفتين؛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للإمام من خلال العقل،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له بحكم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يثبت أعلميّة الإمام في جميع مسائل الشريعة وأحكامها، وفي الأبعاد السياسيّة، وتدبير الأمور؛ ذلك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تقديم المفضول على الفاضل </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 أيضاً إثبات الأعلميّة في الأحكام الشرعيّة على أنّه أمر تعبّدي؛ لا عقليّ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42" w:name="pg16299_219465"/>
    </w:p>
    <w:p>
      <w:pPr>
        <w:pStyle w:val="BookText"/>
        <w:rPr/>
      </w:pPr>
      <w:bookmarkEnd w:id="142"/>
      <w:r>
        <w:rPr>
          <w:rFonts w:ascii="Amiri" w:hAnsi="Amiri" w:eastAsia="Amiri" w:cs="Amiri"/>
          <w:color w:val="111111"/>
          <w:sz w:val="28"/>
          <w:sz w:val="28"/>
          <w:szCs w:val="28"/>
          <w:rtl w:val="true"/>
          <w:lang w:bidi="ar-SA"/>
        </w:rPr>
        <w:t xml:space="preserve">أمّا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استعرض علم الإمام على أنّه واحد من سبعة شروط لازمة لتحقّق مقام الإمامة؛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الإمام عالماً بتدبير ما هو إمام فيه من سياسة رعيته والنظر في مصالحهم وغير ذلك بحكم العقل ويجب أن يكون أيضاً بعد الشرع عالماً بجميع الشريعة؛ لكونه حاكماً في جميعها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اشترط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أعلميّة الإمام أيضاً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5369673_1280447820"/>
      <w:bookmarkStart w:id="144" w:name="_Toc55"/>
      <w:bookmarkEnd w:id="143"/>
      <w:r>
        <w:rPr/>
        <w:t>21</w:t>
      </w:r>
      <w:r>
        <w:rPr>
          <w:rtl w:val="true"/>
        </w:rPr>
        <w:t xml:space="preserve"> /</w:t>
      </w:r>
      <w:r>
        <w:rPr/>
        <w:t>2</w:t>
      </w:r>
      <w:r>
        <w:rPr>
          <w:rtl w:val="true"/>
        </w:rPr>
        <w:t>.</w:t>
      </w:r>
      <w:r>
        <w:rPr>
          <w:rtl w:val="true"/>
        </w:rPr>
        <w:t xml:space="preserve">براهين علم الإمام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 xml:space="preserve">تمسّكت الإماميّة في إثبات ضرورة علم الإمام بأدلّة عديدة؛ منها ما نُقل عن المحقّق الطوسيّ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كان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 إليهم الأمّة، للتعليم والتأديب وجب أن يكونوا أعلم وأشجع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الفاضل المقداد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ذلك بقوله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كون الأنبياء والأئمة أفضل من كلّ واحد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أجمع الخصائص الكمال كمّاً وكيفاً، وإنّما قلنا بوجوب ذلك؛ لأنّ العلة في وجوب رئاستهم نقص الرعيّة، واحتياجهم إلى التعليم والتأديب؛ فلو لم يكن المحتاج إليهم أفضل، لما تحقّق معنى حيثية الاحتياج إليهم، لكنّ الفرض خلاف ذلك ، فيدخل في وجوب كونهم أفضل من رعاياهم أن يكونوا أعلم وأشجع وأكرم إلى غير ذلك من الخصائص</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الرواية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بيانه لمقام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مَوْضِعُ سِرِّهِ، وَلَجَأُ أَمْرِهِ، وَعَيْبَةُ عِلْمِهِ، وَمَوْئِلُ حُكْمِهِ، وَكُهُوفُ كُتُبِهِ، وَجِبَالُ دِينِهِ، بِهِمْ أَقَامَ انْحِناءَ ظَهْرِهِ، وَأَذْهَبَ ارْتِعَادَ فَرَائِصِهِ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إثبات علم الإمام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كونه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أنّا قد دلّلنا على كونه حافظاً للشرع، فلو لم يكن عالماً بجميعه لجوّزنا أن يكون وقع فيه خلل من الناقلين أو تركوا بعض ما ليس الإمام عالماً به، فيؤدّي إلى أن لا يتّصل بنا ما هو مصلحة، ولا تنزاح علّتنا في التكليف لذلك، وذلك باطل بالاتّفاق</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ميثم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ضرورة علم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العلم فلابدّ من أن يكون عالماً بما يحتاج إليه في الإمامة من العلوم الدينيّة والدنيويّة كالشرعيّات، والسياسات والآداب، وفصل الحكومات والخصومات؛ إذ لو جاز أن يكون جاهلاً بشيء منها مع حاجة إمامته إلى ذلك، لكان مخلّاً ببعض ما يجب عليه تعلّمه ، والإخلال بالواجب ينافي العصمة</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فالإمامة في مفهومها الصحيح وبالنظر إلى المهامّ المناطة بها، وفقاً لرؤية الإسلام والعقل، أمر لا يمكن له أن يتحقّق من دون شرط العلم، ومن دون هذا الشرط، فهو أمر غير مقبول، وليس حقيقاً بالمجتمع الإسلاميّ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ألقينا نظرة على آيات القرآن الكريم والأحاديث الشريفة لوجدنا اشتراط العلم في تحقّق الأهليّة لتسنّم المسؤوليّات التنفيذيّة والاجتماعيّة، بل ولكلّ شكل من </w:t>
      </w:r>
    </w:p>
    <w:p>
      <w:pPr>
        <w:pStyle w:val="BookText"/>
        <w:rPr/>
      </w:pPr>
      <w:r>
        <w:rPr>
          <w:rFonts w:ascii="Amiri" w:hAnsi="Amiri" w:eastAsia="Amiri" w:cs="Amiri"/>
          <w:color w:val="111111"/>
          <w:sz w:val="28"/>
          <w:sz w:val="28"/>
          <w:szCs w:val="28"/>
          <w:rtl w:val="true"/>
          <w:lang w:bidi="ar-SA"/>
        </w:rPr>
        <w:t>أشكال التطوّر والتقدم</w:t>
      </w:r>
      <w:r>
        <w:rPr>
          <w:rStyle w:val="FootnoteAnchor"/>
          <w:rtl w:val="true"/>
        </w:rPr>
        <w:footnoteReference w:id="131"/>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 الْأَلْبَابِ</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الذي يدلّ على أنّه أعلم الخلق بأحكام الشريعة، فهو أنّه إمام فيها، ورئيس في الشرع، وقبيح في العقل أن يُجعل المفضول رئيساً لمن هو أفضل فيه فيما كان رئيساً فيه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كتب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 قبح تقديم المفضول على الفاضل؛ ألا ترى إنّه يقبح من ملك حكيم أن يجعل رئيساً في الخطّ على مثل ابن مقلة</w:t>
      </w:r>
      <w:r>
        <w:rPr>
          <w:rStyle w:val="FootnoteAnchor"/>
          <w:rtl w:val="true"/>
        </w:rPr>
        <w:footnoteReference w:id="135"/>
      </w:r>
      <w:r>
        <w:rPr>
          <w:rFonts w:ascii="Amiri" w:hAnsi="Amiri" w:eastAsia="Amiri" w:cs="Amiri"/>
          <w:color w:val="111111"/>
          <w:sz w:val="28"/>
          <w:sz w:val="28"/>
          <w:szCs w:val="28"/>
          <w:rtl w:val="true"/>
          <w:lang w:bidi="ar-SA"/>
        </w:rPr>
        <w:t xml:space="preserve">، ونظرائه من يكتب خطوط الصبيان والبقّالين ويجعل رئيساً في الفقه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 والشافعيّ، وغيرهما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وأكمل يقول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أن يكون أيضاً بعد الشرع عالماً بجميع الشريعة؛ لكونه حاكماً في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 أنّه لا يَحسُن من حكيم من حكماء الملوك أن يولّي وزارته والنظر في مملكته من لا يُحسِنها، أو لا يُحسّن أكثر من ذلك، ومتى فعل ذلك كان مضيّعاً لمملكته، واستحقّ الذم من العقلاء</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بعض أعلام الإماميّة؛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الحمصيّ الرازيّ</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إسماعيل الطبرسي النوري</w:t>
      </w:r>
      <w:r>
        <w:rPr>
          <w:rStyle w:val="FootnoteAnchor"/>
          <w:rtl w:val="true"/>
        </w:rPr>
        <w:footnoteReference w:id="1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محمد حسين المظفر</w:t>
      </w:r>
      <w:r>
        <w:rPr>
          <w:rStyle w:val="FootnoteAnchor"/>
          <w:rtl w:val="true"/>
        </w:rPr>
        <w:footnoteReference w:id="1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ضرورة علم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أنّ القرآن الكريم قد بيّن الأحكام وقوانين الشرع الإسلاميّ على نحو كلّي، وطالما أنّ رسول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يعمِّر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يبيّين جميع تفاصيل الدين للناس، وطالما أنّ الناس متماثلون في قدرتهم على اكتشاف أحكام الدين ومعارفه واستشفافها من مصادرها، ولا يمكن ترجيح أحدهم على الآخر؛ لأنّهم كلّهم عاجزون عن التمييز بين الناسخ والمنسوخ، والتأويل والتشبيه، والعامّ والخاصّ والمجمل والمبيّن من الدين فإنّ الحكمة الإلهيّة تقتضي وجود أئمّة عالمين؛ بل وأعلم من غيرهم وتقتضي أن يقوم الله سُبحَانَهُ وَتَعَالى بتعيينهم؛ ليصون بذلك الناس من الضلال، ويضمن تحقّق الهداية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الإمام أعلم من غيره للزم رجوعه في فهم بعض المسائل إلى إمام آخر، ولو لم يكن الإمام الآخر هو الأعلم، فإنّ وجود إمام أعلم من غيره ضروري، وعدمه يستلزم التسلسل، أو الدور، أو تقدّم المفضول على الفاضل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خفيّاً أنّ العقل البشريّ غير قادر على اكتشاف القضايا الدينيّة كشفاً قطعيّاً </w:t>
      </w:r>
      <w:bookmarkStart w:id="145" w:name="pg16299_219469"/>
    </w:p>
    <w:p>
      <w:pPr>
        <w:pStyle w:val="BookText"/>
        <w:rPr/>
      </w:pPr>
      <w:bookmarkEnd w:id="145"/>
      <w:r>
        <w:rPr>
          <w:rFonts w:ascii="Amiri" w:hAnsi="Amiri" w:eastAsia="Amiri" w:cs="Amiri"/>
          <w:color w:val="111111"/>
          <w:sz w:val="28"/>
          <w:sz w:val="28"/>
          <w:szCs w:val="28"/>
          <w:rtl w:val="true"/>
          <w:lang w:bidi="ar-SA"/>
        </w:rPr>
        <w:t>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عدم وجود إمام يتحلّى بصفة الأعلميّة في المجتمع، ليقوم بمهمّة الكشف عن أحكام الدين ومعارفه على نحو قطعيّ، والعمل على تبيينها من بعد ذلك، سوف يستلزم اعتماد الأساليب الظنّية في الوصول إلى أحكام الدين والمعارف الإسلاميّة؛ وهو ما لا يُقرّه صاحب الشريعة؛ فالأحكام والمعارف التي تحصل بهذه الطريقة ليست لا تحمل الصفة الدينيّة وحسب، بل هي فاقدة لأيّ حجيّة إلهيّة أو شرعيّة أيضاً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5369675_1280447820"/>
      <w:bookmarkStart w:id="147" w:name="_Toc56"/>
      <w:bookmarkEnd w:id="146"/>
      <w:r>
        <w:rPr/>
        <w:t>21</w:t>
      </w:r>
      <w:r>
        <w:rPr>
          <w:rtl w:val="true"/>
        </w:rPr>
        <w:t xml:space="preserve"> /</w:t>
      </w:r>
      <w:r>
        <w:rPr/>
        <w:t>3</w:t>
      </w:r>
      <w:r>
        <w:rPr>
          <w:rtl w:val="true"/>
        </w:rPr>
        <w:t>.</w:t>
      </w:r>
      <w:r>
        <w:rPr>
          <w:rtl w:val="true"/>
        </w:rPr>
        <w:t xml:space="preserve">سعة نطاق علم الإمام </w:t>
      </w:r>
      <w:r>
        <w:rPr>
          <w:rtl w:val="true"/>
        </w:rPr>
        <w:t>(</w:t>
      </w:r>
      <w:r>
        <w:rPr>
          <w:rtl w:val="true"/>
        </w:rPr>
        <w:t>علیه السلام</w:t>
      </w:r>
      <w:r>
        <w:rPr>
          <w:rtl w:val="true"/>
        </w:rPr>
        <w:t>):</w:t>
      </w:r>
      <w:bookmarkEnd w:id="147"/>
    </w:p>
    <w:p>
      <w:pPr>
        <w:pStyle w:val="Heading5"/>
        <w:numPr>
          <w:ilvl w:val="4"/>
          <w:numId w:val="1"/>
        </w:numPr>
        <w:rPr/>
      </w:pPr>
      <w:bookmarkStart w:id="148" w:name="__RefHeading___Toc5369677_1280447820"/>
      <w:bookmarkStart w:id="149" w:name="_Toc57"/>
      <w:bookmarkEnd w:id="148"/>
      <w:r>
        <w:rPr>
          <w:rtl w:val="true"/>
        </w:rPr>
        <w:t>إشارة</w:t>
      </w:r>
      <w:bookmarkEnd w:id="149"/>
    </w:p>
    <w:p>
      <w:pPr>
        <w:pStyle w:val="BookText"/>
        <w:rPr/>
      </w:pPr>
      <w:r>
        <w:rPr>
          <w:rFonts w:ascii="IRNazanin" w:hAnsi="IRNazanin" w:eastAsia="IRNazanin"/>
          <w:color w:val="111111"/>
          <w:sz w:val="28"/>
          <w:sz w:val="28"/>
          <w:szCs w:val="28"/>
          <w:rtl w:val="true"/>
          <w:lang w:bidi="fa-IR"/>
        </w:rPr>
        <w:t xml:space="preserve">بعد أن ثبتت لنا ضرورة تحقّق العلم لإمام المجتمع وقائده، نبحث الآن عن نطاق ذلك العلم وحدوده؛ فهل يجب أن يشتمل منصب الإمامة على كلّ أمر مرتبط بالإنسان والكون، فضلاً عن الإلمام بالأحكام والمعارف الدينيّة؟ وهل الإمام محيط بجميع العلوم والصنائع والفنون المختلفة في سائر العصور والدهور؟ وهل يتصوّر في الإمام أنّه يعلم الغيب ، فيكون عالماً بمستقبل الإنسان والكون والأمور الغيبية؟ وهل إنّ علم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حضوريّ وفعليّ، أم أنّه حصوليّ واكتسابيّ؟ وهل علمهم مقيّد و مشروط، أم أنّه مطلق وعامّ ؟</w:t>
      </w:r>
    </w:p>
    <w:p>
      <w:pPr>
        <w:pStyle w:val="Heading5"/>
        <w:numPr>
          <w:ilvl w:val="4"/>
          <w:numId w:val="1"/>
        </w:numPr>
        <w:rPr/>
      </w:pPr>
      <w:bookmarkStart w:id="150" w:name="__RefHeading___Toc5369679_1280447820"/>
      <w:bookmarkStart w:id="151" w:name="_Toc58"/>
      <w:bookmarkEnd w:id="150"/>
      <w:r>
        <w:rPr/>
        <w:t>21</w:t>
      </w:r>
      <w:r>
        <w:rPr>
          <w:rtl w:val="true"/>
        </w:rPr>
        <w:t xml:space="preserve"> /</w:t>
      </w:r>
      <w:r>
        <w:rPr/>
        <w:t>3</w:t>
      </w:r>
      <w:r>
        <w:rPr>
          <w:rtl w:val="true"/>
        </w:rPr>
        <w:t xml:space="preserve"> /</w:t>
      </w:r>
      <w:r>
        <w:rPr/>
        <w:t>1</w:t>
      </w:r>
      <w:r>
        <w:rPr>
          <w:rtl w:val="true"/>
        </w:rPr>
        <w:t>.</w:t>
      </w:r>
      <w:r>
        <w:rPr>
          <w:rtl w:val="true"/>
        </w:rPr>
        <w:t xml:space="preserve">معنى علم الإمام بالغيب </w:t>
      </w:r>
      <w:r>
        <w:rPr>
          <w:rtl w:val="true"/>
        </w:rPr>
        <w:t>:</w:t>
      </w:r>
      <w:bookmarkEnd w:id="1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تعني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ومشتقّاتها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الاختفاء، والبُعد عن النظر</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ويشمل جميع الأمور الواقعيّة غير المحسوسة</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على الحقائق التي لا سبيل لحواسّ البشر وأعضائه الإدراكيّة إلى نيلها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وبناءً على هذا، فإنّ علم البشر المحدود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العلم الأزليّ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السبب من وراء تقسيم الأشياء إلى غيب وشهادة؛ فالله جَلَّ وَعَلا محيط بجميع الموجودات وعالم الوجود إحاطة وجوديّة </w:t>
      </w:r>
      <w:r>
        <w:rPr>
          <w:rStyle w:val="FootnoteAnchor"/>
          <w:rtl w:val="true"/>
        </w:rPr>
        <w:footnoteReference w:id="144"/>
      </w:r>
      <w:r>
        <w:rPr>
          <w:rFonts w:ascii="Amiri" w:hAnsi="Amiri" w:eastAsia="Amiri" w:cs="Amiri"/>
          <w:color w:val="111111"/>
          <w:sz w:val="28"/>
          <w:sz w:val="28"/>
          <w:szCs w:val="28"/>
          <w:rtl w:val="true"/>
          <w:lang w:bidi="ar-SA"/>
        </w:rPr>
        <w:t xml:space="preserve">فلا يوجد شيء يغيب عن الحقّ تعالى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 السَّرَائِرَ وخَبَرَ الضَّمَائِرَ، لَهُ الْإِحَاطَةُ بِكُلِّ شَيءٍ، وَالْغَلَبَةُ لِكُلِّ شَيء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يستعرض بعض أهل السنّة من أمثال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البحوث في ما يتعلّق بإحاطة الإمام بعلم الغيب؛ ولكن اعتماداً على اعتقادهم بأنّ مكانة مقام الإمام والخليفة ومنزلتها دنيويّة حكوميّة ؛ يمكننا أن ننسب له القول بنفي كلّ أشكال ثبوت علم الغيب وسائر العلوم غير الدينيّة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ويكتفي الفخر الرازيّ في تفسير علم الأنبياء بالغيب بأنّه مجرّد إلمام بالأمور الوحيانيّة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عِنْدَهُمُ الْغَيْبُ فَهُمْ يَكْتُبُونَ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أنّ ما عند النبيّ صَلَّى اللهُ عَلَيْهِ وَسَلَّم من علم الغيب علم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أموراً وأسراراً وأحكاماً و أخباراً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هو جازم بها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التفسير ناقص ؛ فكيف من الممكن أن يحمل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المستتر عن الحسّ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معنى عامّ، يُقابل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مصداق واحد فقط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تُستخدم بالمعنى العامّ،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السبيل الوحيد والأوحد لتلقّى العلم بالأمور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والروايات لم تحصر سبل تحصيل العلم بالأمور والحقائق الغيبيّة بالوحي، بل ذكرت طرقاً أخرى لاكتساب المعرفة بالأمور الغيبيّة؛ منها على سبيل المثال الإلهام والرؤيا الصادقة والتعلّم والتلقّي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والمعنى هو عالم كلّ غيب علماً يختصّ به؛ فلا يطّلع على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 به أحداً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فالمفاد سلب كلّي؛ وإن أصرّ بعضهم على كونه سلباً جزئياًّ محصّل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على كلّ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قلنا ظاهر ما سيأتي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فيُفيد أنّ الله تعالى يظهر رسله على ما شاء من الغيب المختصّ به؛ فالآية إذا انضمّت إلى الآيات التي تخصّ علم الغيب به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وَلِلَّهِ غَيْبُ السَّمَاوَاتِ وَالْأَرْضِ</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أفاد ذلك معنى الأصالة والتبعيّة؛ فهو تعالى يعلم الغيب لذاته، وغيره يعلمه بتعليم من الله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عدد من الروايات التي تؤيّد هذا التفسير </w:t>
      </w:r>
      <w:r>
        <w:rPr>
          <w:rStyle w:val="FootnoteAnchor"/>
          <w:rtl w:val="true"/>
        </w:rPr>
        <w:footnoteReference w:id="155"/>
      </w:r>
      <w:r>
        <w:rPr>
          <w:rFonts w:ascii="IRNazanin" w:hAnsi="IRNazanin" w:eastAsia="IRNazanin"/>
          <w:color w:val="111111"/>
          <w:sz w:val="28"/>
          <w:sz w:val="28"/>
          <w:szCs w:val="28"/>
          <w:rtl w:val="true"/>
          <w:lang w:bidi="fa-IR"/>
        </w:rPr>
        <w:t xml:space="preserve">؛ فأمير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خلال </w:t>
      </w:r>
      <w:bookmarkStart w:id="152" w:name="pg16299_219472"/>
    </w:p>
    <w:p>
      <w:pPr>
        <w:pStyle w:val="BookText"/>
        <w:rPr/>
      </w:pPr>
      <w:bookmarkEnd w:id="152"/>
      <w:r>
        <w:rPr>
          <w:rFonts w:ascii="Amiri" w:hAnsi="Amiri" w:eastAsia="Amiri" w:cs="Amiri"/>
          <w:color w:val="111111"/>
          <w:sz w:val="28"/>
          <w:sz w:val="28"/>
          <w:szCs w:val="28"/>
          <w:rtl w:val="true"/>
          <w:lang w:bidi="ar-SA"/>
        </w:rPr>
        <w:t>سيره في العوالم الملكوتيّة كان باستطاعته نيل الحقائق الغيبيّة؛ ولهذا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الْغِطَاءُ مَا ازْدَدْتُ يَقِيناً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ولم نعثر بين مصنّفات المحقّق الطوسيّ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علم الكلام على بحث موسّع يتناول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تطرّق في كتاب تجريد الاعتقاد إلى أفضلية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الخلفاء؛ لما ظهر منه من تنبّوءات وإخبارات غيبيّة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5369681_1280447820"/>
      <w:bookmarkStart w:id="154" w:name="_Toc59"/>
      <w:bookmarkEnd w:id="153"/>
      <w:r>
        <w:rPr/>
        <w:t>21</w:t>
      </w:r>
      <w:r>
        <w:rPr>
          <w:rtl w:val="true"/>
        </w:rPr>
        <w:t xml:space="preserve"> /</w:t>
      </w:r>
      <w:r>
        <w:rPr/>
        <w:t>3</w:t>
      </w:r>
      <w:r>
        <w:rPr>
          <w:rtl w:val="true"/>
        </w:rPr>
        <w:t xml:space="preserve"> /</w:t>
      </w:r>
      <w:r>
        <w:rPr/>
        <w:t>2</w:t>
      </w:r>
      <w:r>
        <w:rPr>
          <w:rtl w:val="true"/>
        </w:rPr>
        <w:t>.</w:t>
      </w:r>
      <w:r>
        <w:rPr>
          <w:rtl w:val="true"/>
        </w:rPr>
        <w:t xml:space="preserve">المنقولات التاريخيّة عن إخبار الأئمة </w:t>
      </w:r>
      <w:r>
        <w:rPr>
          <w:rtl w:val="true"/>
        </w:rPr>
        <w:t>(</w:t>
      </w:r>
      <w:r>
        <w:rPr>
          <w:rtl w:val="true"/>
        </w:rPr>
        <w:t>علیهم السلام</w:t>
      </w:r>
      <w:r>
        <w:rPr>
          <w:rtl w:val="true"/>
        </w:rPr>
        <w:t xml:space="preserve">) </w:t>
      </w:r>
      <w:r>
        <w:rPr>
          <w:rtl w:val="true"/>
        </w:rPr>
        <w:t>بالغيب</w:t>
      </w:r>
      <w:r>
        <w:rPr>
          <w:rtl w:val="true"/>
        </w:rPr>
        <w:t>:</w:t>
      </w:r>
      <w:bookmarkEnd w:id="154"/>
    </w:p>
    <w:p>
      <w:pPr>
        <w:pStyle w:val="BookText"/>
        <w:rPr/>
      </w:pPr>
      <w:r>
        <w:rPr>
          <w:rFonts w:ascii="IRNazanin" w:hAnsi="IRNazanin" w:eastAsia="IRNazanin"/>
          <w:color w:val="111111"/>
          <w:sz w:val="28"/>
          <w:sz w:val="28"/>
          <w:szCs w:val="28"/>
          <w:rtl w:val="true"/>
          <w:lang w:bidi="fa-IR"/>
        </w:rPr>
        <w:t xml:space="preserve">نقل التاريخ لنا أمثلة عديدة من تنبّؤات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وإخبارهم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تدلّ بأسرها على ما خصّهم الله به من علم لدنّيّ؛ منها على سبيل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الغيبيّة المرويّة 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مَرْوَانُ بْنُ الحَكَم أَسِيراً يَوْمَ الْجَمَلِ ، فَاسْتَشْفَعَ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فَكَلَّمَاه فِيهِ، فَخَلَّى سَبِيلَهُ،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يُبَايِعْنِي بَعْدَ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لی فِي بَيْعَتِهِ؛ إِنَّهَا كَفٌّ يَهُودِيَّةٌ، لَوْ بَايَعَنِي بِكَفِّه لَغَدَرَ بِسَبَّتِهِ ، أَمَا إِنَّ لَه إِمْرَةً کَلَعقَةِ الْكَلْبِ أَنْفَه، وهُوَ أَبو الأَكْبُشِ الأَرْبَعَةِ، وسَتَلْقَى الأُمَّةُ مِنْه ومِنْ وَلَدِه يَوْماً أَحمَرَ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والتاريخ يشهد على وقوع ذلك كلّه؛ فقد ولي مروان الملك بعد أن شاب صدغاه في عمر يناهز الخمس وستّين سنة، واستمرّت مدة ملكه تسعة أشهر فقط، وولي الرياسة أربعة من أولاده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صار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وعبدالعزيز وبشر ومحمد حيث </w:t>
      </w:r>
    </w:p>
    <w:p>
      <w:pPr>
        <w:pStyle w:val="BookText"/>
        <w:rPr/>
      </w:pPr>
      <w:r>
        <w:rPr>
          <w:rFonts w:ascii="Amiri" w:hAnsi="Amiri" w:eastAsia="Amiri" w:cs="Amiri"/>
          <w:color w:val="111111"/>
          <w:sz w:val="28"/>
          <w:sz w:val="28"/>
          <w:szCs w:val="28"/>
          <w:rtl w:val="true"/>
          <w:lang w:bidi="ar-SA"/>
        </w:rPr>
        <w:t>أصبحوا 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قاست الأمّة الإسلاميّة في أيّام ملك مروان وولده عبدالملك ورياسة الثلاثة الباقين من أبناء مروان أيّاماً عصيبّة ودامية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بكيفيّة استشهاده؛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أَمُوتُ بِالسَّمَّ كَما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امْرَأَتِی جَعْدَةُ بِنْتُ الْأَشْعَثِ بْنِ قَيْسٍ، فَإِنَّ مُعَاوِيَةَ يَدُسُّ إِلَيْهَا، وَيَأْمُرُهَا بِذَلِكَ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فراش الموت لأخيه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يَا أَبَا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يُؤْتَى إِلَيَّ سَمٌ، يُدَسُّ إِلَىَّ، فَأُقتَلُ بِهِ؛ وَلَكِنْ لَا يَوْمَ كَيَوْمِكَ يَا أَبَا عَبْدِ الله يَزْدَلِفَ إِلَيْكَ 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یَنتَحِلُونَ دِينَ الْإِسْلَامِ، فَيَجْتَمِعُونَ عَلَى قَتْلِكَ وَسَفْكِ دَمِكَ، وَانْتِهَاكِ حُرْمَتِكَ، وَسَبْيِ ذَرَارِيِّكَ وَنِسَائِكَ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الرواية أنّ عمر بن سعد 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قِبَلَنا نَاساً سُفَهَاءَ يَزْعُمُونَ أَنِّي أقتُلُکَ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بِسُفَهَاءَ؛ وَلَكِنَّهُمْ حُلَمَاءُ أَمَا إِنَّهُ يُقِرُّ عَيْنِي أَلَّا تَأْكُلَ بُرَّ الْعِرَاقِ بَعْدِي إِلَّا قَلِيلًا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بصير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فِيمَا أَوْصَى أَبي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فَلَا يَلِي غُسْلِي أَحَدٌ غَيْرُكَ؛ فَإِنَّ الْإِمَامَ لَا يَغْسِلُهُ إِلَّا إِمَامٌ ، وَاعْلَمْ أَنَّ عَبْدَ الله أَخَاكَ سَيَدْعُو النَّاسَ إِلَى نَفْسِهِ، فَدَعْهُ؛ فَإِنَّ </w:t>
      </w:r>
      <w:bookmarkStart w:id="155" w:name="pg16299_219474"/>
    </w:p>
    <w:p>
      <w:pPr>
        <w:pStyle w:val="BookText"/>
        <w:rPr/>
      </w:pPr>
      <w:bookmarkEnd w:id="155"/>
      <w:r>
        <w:rPr>
          <w:rFonts w:ascii="Amiri" w:hAnsi="Amiri" w:eastAsia="Amiri" w:cs="Amiri"/>
          <w:color w:val="111111"/>
          <w:sz w:val="28"/>
          <w:sz w:val="28"/>
          <w:szCs w:val="28"/>
          <w:rtl w:val="true"/>
          <w:lang w:bidi="ar-SA"/>
        </w:rPr>
        <w:t>عُمُرَهُ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أَبِي وَ غَسَلتُهُ كَمَا أَمَرَنِي، وَادَّعَى عَبْدُ اللَّهِ الْإِمَامَةَ مَكَانَهُ، فَكَانَ كَمَا قَالَ أَبي وَمَا لَبِثَ عَبْدُ اللَّهِ إِلَّا يَسِيراً؛ حَتَّى مَاتَ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الْمَسْجِدَ يَوْماً فَرَأَى شَابّاً يَضْحَكُ فِي الْمَسْجِدِ،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تَضْحَكُ فِي الْمَسْجِدِ، وَأَنْتَ بَعْدَ ثَلَاثَةٍ مِنْ أَهْلِ الْقُبُورِ ؟ فَمَاتَ الرَّجُلُ فِي أَوَّلِ الْيَوْمِ الثَّالِثِ، وَدُفِنَ فِي آخِرِه </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رَجَعْتَ إِلَى الْكُوفَةِ، يُولَدُ لَكَ وَلَدٌ، وَ تُسَمِّیهِ عِيسَى، وَيُولَدُ لَكَ وَلَدٌ، وَتُسَمِّيهِ مُحَمَّداً؛ وَهُمَا مِنْ شِيعَتِنَا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روايات عديدة أُخرى نقلت لنا تنبّؤات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وإخبارهم بالغيب</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5369683_1280447820"/>
      <w:bookmarkStart w:id="157" w:name="_Toc60"/>
      <w:bookmarkEnd w:id="156"/>
      <w:r>
        <w:rPr/>
        <w:t>21</w:t>
      </w:r>
      <w:r>
        <w:rPr>
          <w:rtl w:val="true"/>
        </w:rPr>
        <w:t xml:space="preserve"> /</w:t>
      </w:r>
      <w:r>
        <w:rPr/>
        <w:t>3</w:t>
      </w:r>
      <w:r>
        <w:rPr>
          <w:rtl w:val="true"/>
        </w:rPr>
        <w:t xml:space="preserve"> /</w:t>
      </w:r>
      <w:r>
        <w:rPr/>
        <w:t>3</w:t>
      </w:r>
      <w:r>
        <w:rPr>
          <w:rtl w:val="true"/>
        </w:rPr>
        <w:t>.</w:t>
      </w:r>
      <w:r>
        <w:rPr>
          <w:rtl w:val="true"/>
        </w:rPr>
        <w:t xml:space="preserve">علم الأئمة </w:t>
      </w:r>
      <w:r>
        <w:rPr>
          <w:rtl w:val="true"/>
        </w:rPr>
        <w:t>(</w:t>
      </w:r>
      <w:r>
        <w:rPr>
          <w:rtl w:val="true"/>
        </w:rPr>
        <w:t>علیهم السلام</w:t>
      </w:r>
      <w:r>
        <w:rPr>
          <w:rtl w:val="true"/>
        </w:rPr>
        <w:t xml:space="preserve">) </w:t>
      </w:r>
      <w:r>
        <w:rPr>
          <w:rtl w:val="true"/>
        </w:rPr>
        <w:t>بكيفيّة موتهم</w:t>
      </w:r>
      <w:r>
        <w:rPr>
          <w:rtl w:val="true"/>
        </w:rPr>
        <w:t>:</w:t>
      </w:r>
      <w:bookmarkEnd w:id="157"/>
    </w:p>
    <w:p>
      <w:pPr>
        <w:pStyle w:val="BookText"/>
        <w:rPr/>
      </w:pPr>
      <w:r>
        <w:rPr>
          <w:rFonts w:ascii="IRNazanin" w:hAnsi="IRNazanin" w:eastAsia="IRNazanin"/>
          <w:color w:val="111111"/>
          <w:sz w:val="28"/>
          <w:sz w:val="28"/>
          <w:szCs w:val="28"/>
          <w:rtl w:val="true"/>
          <w:lang w:bidi="fa-IR"/>
        </w:rPr>
        <w:t xml:space="preserve">من الأسئلة المهمّة التي تُطرح في نطاق مبحث علم الإمام بالغيب السؤال عن علمه بكيفيّة موته، واطّلاعه على توقيت ذلك؛ فهل إنّ الأئمة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كالإمام عليّ، والإمام الحسن،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محيطين بأحداث المستقبل ؛ ومنها مكان استشهادهم، ووقته، والكيفيّة التي يكون عليها ذلك؟ وهل كانوا يعرفون قاتليهم؟ وفي معرض الردّ على هذا السؤال، ذهب علماء الإماميّة إلى رأيين مختلفين ؛ 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أجمعت الشيعة قطّ على هذا القول ؛ وإنّما إجماعهم ثابت على أنّ الإمام يعلم </w:t>
      </w:r>
    </w:p>
    <w:p>
      <w:pPr>
        <w:pStyle w:val="BookText"/>
        <w:rPr/>
      </w:pPr>
      <w:r>
        <w:rPr>
          <w:rFonts w:ascii="IRNazanin" w:hAnsi="IRNazanin" w:eastAsia="IRNazanin"/>
          <w:color w:val="111111"/>
          <w:sz w:val="28"/>
          <w:sz w:val="28"/>
          <w:szCs w:val="28"/>
          <w:rtl w:val="true"/>
          <w:lang w:bidi="fa-IR"/>
        </w:rPr>
        <w:t>الحكم في كلّ ما يكون؛ من دون أن يكون عالماً بأعيان ما يحدث ويكون، على التفصيل والتمييز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يُسقِط الأصل الذي بنيت عليه الأسئلة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نمنع أن يعلم الإمام أعيان الحوادث تكون بإعلام الله تعالى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القول بأنّه يعلم كلّ ما يكون، فلسنا نطلقه ولا نصوّب قائله؛ لدعواه فيه من غير حجّة، ولا بيان والقول 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قاتله، والوقت الذي يقتل فيه، فقد جاء الخبر متظاهراً أنّه كان يعلم في الجملة أنّه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أيضاً بأنّه كان يعلم قاتله على التفصيل؛ فأمّا علمه في وقت قتله، فلم يأتِ فيه أثر على التفصيل، ولو جاء فيه أثر، لم يلزم ما ظنّه المستضعفون؛ إذ كان لا يمتنع أن يتعبّده الله بالصبر على الشهادة والاستلام للقتل ؛ ليبلّغه الله بذلك من علوّ الدرجة ما لا يبلّغه إلّا به، ولعلمه تعالى بأنّه يطيعه في ذلك طاعةً لو كُلّفها سواه لم يؤدّها ، ويكون في المعلوم من اللطف بهذا التكليف لخلق من الناس ما لا يقوم مقامه غيره ؛ فلا يكون بذلك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ملقياً بيده إلى التهلكة، ولا مُعيناً على نفسه معونة مستقبحة في العقول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السيّد المرتضى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استعرض ثورة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وسيدنا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يسر طالباً للكوفة إلّا بعد توثّق من القوم، وعهود وعقود، وبعد أن كاتبوه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طائعين غير مكرهين ومبتدئين غير مجيبين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المكاتبة من وجوه أهل الكوفة وأشرافها وقرّائها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حسابه أنّ القوم يغدر بعضهم، ويضعف أهل الحقّ عن نصرته، ويتّفق بما اتّفق من الأمور الغريبة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تطرّق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إلى اختلاف علماء الإماميّة في هذه المسألة، مختاراً في الجواب عنها رأي أستاذه السيّد المرتضى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وَأَنْفِقُوا فِي سَبِيلِ اللَّهِ وَلَا تُلْقُوا بِأَيْدِيكُمْ إِلَى التَّهْلُكَةِ 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عورضنا بأنّ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وحده؟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يحتمل وجهين أحدهما إنّه ظَنّ أنّهم لا يقتلونه لمكانه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غلب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ترك قتالهم قتله الملعون ابن زياد صبراً، كما فعل بابن عمّه مسلم، فكان القتل مع عزّ النفس والجهاد أهون عليه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ناقداً هذه الرؤية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موجود ما لم يجب لم يوجد ومن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فعل واجباً بالنسبة لفاعله، بل يجب بالنسبة إلى علّته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الفعل وانضواؤه تحت راية التكليف لا يتنافى مع كونه واجباً؛ فإنّ أفعال الإنسان الإراديّة من هذا النوع؛ أي إنّ أفعاله واجبة الوجود مع أنّه مكلّف بفعلها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هذا الأساس،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يقدمون على العمل رغم معرفتهم بأنّه سوف يستشهد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يذهب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المحراب، ويتناول الإمام الحسن والإمام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الرمّان أو العنب المسموم ، ويدخل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يعلم الإنسان أحياناً علماً قطعيّاً أنّه بفعله الاختياريّ سوف يشرب السمّ في الساعة الحادية عشر، وسوف يذهب صريع حادث مروريّ في ساحة كذا وشارع كذا، كما أنّه قد يعلم بالعلم القطعيّ أنّه بفعله الاختياريّ والإراديّ سوف يحصل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مروريّ في الساعة الحادية عشر في ساحة كذا، وشارع كذا، أو أنّه سوف يصاب بطلق ناريّ؛ لكنّ هذه الواقعة مشروطة بوقوع شرط أو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موضوعنا الأمر مشروط بالذهاب؛ بحيث إذا ذهب المرؤ قُتل، وإذا لم يذهب لم </w:t>
      </w:r>
    </w:p>
    <w:p>
      <w:pPr>
        <w:pStyle w:val="BookText"/>
        <w:rPr/>
      </w:pP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لا معنى للعثور على مخرج وحلّ ؛ لأنّ الإنسان يرى نفسه واقعاً في الهلاك؛ وليس أنّه يوقع نفسه فيه، فيصدق أنّه ألقى بنفسه في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لا يتوجّه إليه الخطاب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 ولا يُعدّ أنّه ألقى نفسه بيده إلى التهلكة لكن في الصورة الثانية هنالك معنى للتشبّث والتمسّك بالأسباب، والعثور على مخرج وحلّ، والامتناع عن الذهاب صوب الهلاك، ويتوجّه للمرء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حركة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قبيل الأوّل؛ فهم كانوا يعلمون أنّ الفعل واقع بالحتم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شاؤوا أم أبوا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فانتفى بذلك أيّ معنى للبحث عن طريق خلاص أو للامتناع عن الفعل؛ فكلّ هذا يخالف العلم القطعيّ المفترض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واقع الأمر، فإنّ الآية الشريفة تنهى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التهلكة؛ لكنّ قضايا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التهلكة؛ 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اللة التي قتل في صبيحتها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يَخْرُجُ إِلَى الْمَسْجِدِ لِصَلَاةِ اللَّيْلِ عَلَى عَادَتِهِ، فَقَالَتْ لَهُ ابْتَتُه أُمّ كلثوم رَحْمَةُ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قَدْ أَسْهَرَكَ؟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مَقْتُولٌ لَوْ قَدْ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وَأَنَاهُ ابْنُ النَّبّاحِ فَآذَنَهُ بِالصَّلَاةِ، فَمَشَى غَيْرَ بَعِيدٍ، ثُمَّ رَجَعَ ، فَقَالَتْ لَهُ ابْنَتَهُ أُمُّ كُلْتُوم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مُرُوا جَعْدَةَ؛ فَلْيُصَلِّ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مِنَ الْأَجَلِ، فَخَرَجَ إِلَى الْمَسْجِد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وتجدر الإشارة هنا إلى أنّ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إلى هذا الجواب أيضاً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البعض الآخر من كبار علماء الإماميّة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Style w:val="FootnoteAnchor"/>
          <w:rtl w:val="true"/>
        </w:rPr>
        <w:footnoteReference w:id="176"/>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والفيّاض اللاهيجيّ</w:t>
      </w:r>
      <w:r>
        <w:rPr>
          <w:rStyle w:val="FootnoteAnchor"/>
          <w:rtl w:val="true"/>
        </w:rPr>
        <w:footnoteReference w:id="1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w:t>
      </w:r>
      <w:r>
        <w:rPr>
          <w:rStyle w:val="FootnoteAnchor"/>
          <w:rtl w:val="true"/>
        </w:rPr>
        <w:footnoteReference w:id="1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والمحدّث البحراني</w:t>
      </w:r>
      <w:r>
        <w:rPr>
          <w:rStyle w:val="FootnoteAnchor"/>
          <w:rtl w:val="true"/>
        </w:rPr>
        <w:footnoteReference w:id="179"/>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ذهبوا إلى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على علم بزمان استشهادهم، وكيفيّة ذلك؛ ولا محلّ لإلقاء شبهة في هذا الصدد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الشيخ جعفر التستريّ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بأنّه يقتل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أنّكم تقتلون جميعاً، ولا ينجو أحد منكم إلّا ولدي عليّ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فضل الله الكمبانيّ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انطلاقته من مكّة ، بل حتّى من حين خروجه من المدينة عالماً بجميع أحداث كربلاء؛ حتى الوقائع التي بعد استشهاده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أهل بیته في 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أخذ معه عائلته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العلّامة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إلى هذه النقطة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أفادته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من القرب الإلهيّ يمكّنه من العلم بأيّ شيء يريده بإذن الله؛ ومن ذلك علمه بملابسات موته واستشهاده بجميع التفاصيل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نجد أن المشيئة الإلهيّة اقتضت أن ينماز الأئمة الأطهار عن باقي الخلائق بأن اختصّهم الله تَبَارَكَ وَتَعَالى بعلم واسع النطاق، وأطلعهم على علوم غيبيّة تلقّوها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فوصلوا إلى حقائق الكون وأسراره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عرض الفخر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قال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أَلْفَ بَابٍ مِنَ العِلْمِ،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كُلُّ بَابٍ أَلْف بابٍ</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معرض ردّه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الأعلم بين الصحابة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الحجّة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عليّاً كان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 له هذه العلوم الكثيرة، بعد أبي بكر ؛ وذلك لأنّه عاش بعده زماناً طويلاً، فلعلّه حصلها في هذه المدّة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بهذا النصّ يتجاهل حقيقة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 هذه العلوم في عصر النبوّة، ونهلها من 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يلجؤون لحلّ ما يستعصي عليهم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وتجدر الإشارة هنا إلى أنّ الفخر الرازيّ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كتابه بعض الوقائع التي تؤيّد أعلميّة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أورد ما روي عن عمر بأنّه أمر برجم امرأة ولدت لستة أشهر، فنبّهه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وَحَمْلُهُ وَفِصَالُهُ ثَلَاثُونَ شَهْرًا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وَالْوَالِدَاتُ يُرْضِعْنَ أَوْلَادَهُنَّ حَوْلَيْنِ كَامِلَيْنِ </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على أنّ أقلّ مدّة الحمل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علىّ </w:t>
      </w:r>
      <w:bookmarkStart w:id="158" w:name="pg16299_219480"/>
    </w:p>
    <w:p>
      <w:pPr>
        <w:pStyle w:val="BookText"/>
        <w:rPr/>
      </w:pPr>
      <w:bookmarkEnd w:id="158"/>
      <w:r>
        <w:rPr>
          <w:rFonts w:ascii="IRNazanin" w:hAnsi="IRNazanin" w:eastAsia="IRNazanin"/>
          <w:color w:val="111111"/>
          <w:sz w:val="28"/>
          <w:sz w:val="28"/>
          <w:szCs w:val="28"/>
          <w:rtl w:val="true"/>
          <w:lang w:bidi="fa-IR"/>
        </w:rPr>
        <w:t>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امرأةً أقرّت بالزنا، وكانت حاملاً، فأمر عمر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سلطان عليها ، فما سلطانك على ما في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 عُمر رجمها،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عليّ، لهلك عُمر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بعد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يوماً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تغالوا في مهور النساء، فمن غالى في مهر امرأةٍ، جعلته في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فقامت عجوز وقالت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 عنّا ما أحلّه الله لنا؟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أَرَدْتُمُ اسْتِبْدَالَ زَوْجٍ مَكَانَ زَوْجٍ وَآتَيْتُمْ إِحْدَاهُنَّ قِنْطَارًا فَلَا تَأْخُذُوا مِنْهُ شَيْئًا </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5369685_1280447820"/>
      <w:bookmarkStart w:id="160" w:name="_Toc61"/>
      <w:bookmarkEnd w:id="159"/>
      <w:r>
        <w:rPr/>
        <w:t>21</w:t>
      </w:r>
      <w:r>
        <w:rPr>
          <w:rtl w:val="true"/>
        </w:rPr>
        <w:t xml:space="preserve"> /</w:t>
      </w:r>
      <w:r>
        <w:rPr/>
        <w:t>4</w:t>
      </w:r>
      <w:r>
        <w:rPr>
          <w:rtl w:val="true"/>
        </w:rPr>
        <w:t>.</w:t>
      </w:r>
      <w:r>
        <w:rPr>
          <w:rtl w:val="true"/>
        </w:rPr>
        <w:t xml:space="preserve">مصادر علم الإمام </w:t>
      </w:r>
      <w:r>
        <w:rPr>
          <w:rtl w:val="true"/>
        </w:rPr>
        <w:t>(</w:t>
      </w:r>
      <w:r>
        <w:rPr>
          <w:rtl w:val="true"/>
        </w:rPr>
        <w:t>علیه السلام</w:t>
      </w:r>
      <w:r>
        <w:rPr>
          <w:rtl w:val="true"/>
        </w:rPr>
        <w:t>):</w:t>
      </w:r>
      <w:bookmarkEnd w:id="160"/>
    </w:p>
    <w:p>
      <w:pPr>
        <w:pStyle w:val="Heading5"/>
        <w:numPr>
          <w:ilvl w:val="4"/>
          <w:numId w:val="1"/>
        </w:numPr>
        <w:rPr/>
      </w:pPr>
      <w:bookmarkStart w:id="161" w:name="__RefHeading___Toc5369687_1280447820"/>
      <w:bookmarkStart w:id="162" w:name="_Toc62"/>
      <w:bookmarkEnd w:id="161"/>
      <w:r>
        <w:rPr>
          <w:rtl w:val="true"/>
        </w:rPr>
        <w:t>إشارة</w:t>
      </w:r>
      <w:bookmarkEnd w:id="162"/>
    </w:p>
    <w:p>
      <w:pPr>
        <w:pStyle w:val="BookText"/>
        <w:rPr/>
      </w:pPr>
      <w:r>
        <w:rPr>
          <w:rFonts w:ascii="IRNazanin" w:hAnsi="IRNazanin" w:eastAsia="IRNazanin"/>
          <w:color w:val="111111"/>
          <w:sz w:val="28"/>
          <w:sz w:val="28"/>
          <w:szCs w:val="28"/>
          <w:rtl w:val="true"/>
          <w:lang w:bidi="fa-IR"/>
        </w:rPr>
        <w:t xml:space="preserve">تمثّل الأبحاث المرتبطة بمصادر علم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أهمّ البحوث المتعلّقة بعلم الإمام، فدائماً ما يُطرح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تمكّن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الوصول إلى درجة الإلمام بالحقائق الدينيّة وغير الدينيّة ؟</w:t>
      </w:r>
    </w:p>
    <w:p>
      <w:pPr>
        <w:pStyle w:val="BookText"/>
        <w:rPr/>
      </w:pPr>
      <w:r>
        <w:rPr>
          <w:rFonts w:ascii="Amiri" w:hAnsi="Amiri" w:eastAsia="Amiri" w:cs="Amiri"/>
          <w:color w:val="111111"/>
          <w:sz w:val="28"/>
          <w:sz w:val="28"/>
          <w:szCs w:val="28"/>
          <w:rtl w:val="true"/>
          <w:lang w:bidi="ar-SA"/>
        </w:rPr>
        <w:t xml:space="preserve">وقد استعرض العلماء مصادر مختلفة لعلومهم، سنتطرّق لبيان بعضها بإيجاز </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5369689_1280447820"/>
      <w:bookmarkStart w:id="164" w:name="_Toc63"/>
      <w:bookmarkEnd w:id="163"/>
      <w:r>
        <w:rPr/>
        <w:t>21</w:t>
      </w:r>
      <w:r>
        <w:rPr>
          <w:rtl w:val="true"/>
        </w:rPr>
        <w:t xml:space="preserve"> /</w:t>
      </w:r>
      <w:r>
        <w:rPr/>
        <w:t>4</w:t>
      </w:r>
      <w:r>
        <w:rPr>
          <w:rtl w:val="true"/>
        </w:rPr>
        <w:t xml:space="preserve">/ </w:t>
      </w:r>
      <w:r>
        <w:rPr/>
        <w:t>1</w:t>
      </w:r>
      <w:r>
        <w:rPr>
          <w:rtl w:val="true"/>
        </w:rPr>
        <w:t>.</w:t>
      </w:r>
      <w:r>
        <w:rPr>
          <w:rtl w:val="true"/>
        </w:rPr>
        <w:t>القرآن الكريم</w:t>
      </w:r>
      <w:r>
        <w:rPr>
          <w:rtl w:val="true"/>
        </w:rPr>
        <w:t>:</w:t>
      </w:r>
      <w:bookmarkEnd w:id="16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الكريم هو أهمّ مصادر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فهناك عدد من الآيات والروايات الدالّة على قيام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باستنباط الأحكام والمعارف الإلهيّة من القرآن الكريم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دلّت طائفة من الأحاديث الشريفة على أنّ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إيَّانَا عَنَى وَعَلِيٌّ أَوَّلُنَا، وَأَفضَلُنَا، وَخَيْرُنَا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 عَالِمٌ هَذِهِ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أهل السنّة عدداً من الروايات في هذا المجال؛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عَلِيُّ بنِ أَبِي طَالِب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ورووا في كتبهم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بِالتَّفْسِيرِ وَالتَّأْوِيلِ وَالنَّاسِخِ وَالمَنسُوخِ وَالحَلَالِ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عَلِيُّ بن أبي طالب </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المواضع التي استنبط فيها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أحكاماً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الإمام </w:t>
      </w:r>
    </w:p>
    <w:p>
      <w:pPr>
        <w:pStyle w:val="BookText"/>
        <w:rPr/>
      </w:pP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ما رووه عن زرقان صاحب ابن أبي دواد وصديقه الحميم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ابن أبي دواد ذات يوم من عند المعتصم وهو مغتمّ فقلت له في ذلك، فقال وددت اليوم أنّي قدمت منذ عشرين سنة، قال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هذا الأسود أبي جعفر محمد بن عليّ بن موسى اليوم بين يدي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سارقاً أقرّ على نفسه بالسرقة، وسأل الخليفة تطهيره</w:t>
      </w:r>
    </w:p>
    <w:p>
      <w:pPr>
        <w:pStyle w:val="BookText"/>
        <w:rPr/>
      </w:pPr>
      <w:r>
        <w:rPr>
          <w:rFonts w:ascii="Amiri" w:hAnsi="Amiri" w:eastAsia="Amiri" w:cs="Amiri"/>
          <w:color w:val="111111"/>
          <w:sz w:val="28"/>
          <w:sz w:val="28"/>
          <w:szCs w:val="28"/>
          <w:rtl w:val="true"/>
          <w:lang w:bidi="ar-SA"/>
        </w:rPr>
        <w:t>بإقامة الحدّ عليه، فجمع لذلك الفقهاء في مجلسه ؛ وقد أحضر محمد بن عليّ فسألنا عن القطع في أيّ موضع يجب أن 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من الكرسوع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 اليد هي الأصابع والكفّ إلى الكرسوع، لقول الله في التيمّم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فَامْسَحُوا بِوُجُوهِكُمْ وَأَيْدِيكُمْ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واتّفق معي في ذلك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القطع من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الغسل دلّ ذلك على أنّ حدّ اليد هو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هذا يا أبا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القوم فيه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ممّا تكلّموا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هذا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بالله ما أخبرت بما عندك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أقسمت عليّ بالله، إنّي أقول إنّهم أخطأوا فيه السنّة، فإنّ القطع يجب أن يكون من مفصل أصول الأصابع، فيترك الكفّ،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سبعة أعضاء؛ الوجه واليدين والركبتين والرجلين، فإذا قطعت يده من الكرسوع أو المرفق لم يبق له يد يسجد عليها؛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الْمَسَاجِدَ لِلَّهِ </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يعني به هذه الأعضاء السبعة التي يسجد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،وما كان الله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المعتصم ذلك وأمر بقطع يد السارق من مفصل الأصابع دون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دواد قامت قيامتي وتمنّيت أنّي لم أك حياً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165" w:name="pg16299_219483"/>
    </w:p>
    <w:p>
      <w:pPr>
        <w:pStyle w:val="Heading5"/>
        <w:numPr>
          <w:ilvl w:val="4"/>
          <w:numId w:val="1"/>
        </w:numPr>
        <w:rPr/>
      </w:pPr>
      <w:bookmarkStart w:id="166" w:name="__RefHeading___Toc5369691_1280447820"/>
      <w:bookmarkStart w:id="167" w:name="_Toc64"/>
      <w:bookmarkEnd w:id="165"/>
      <w:bookmarkEnd w:id="166"/>
      <w:r>
        <w:rPr/>
        <w:t>21</w:t>
      </w:r>
      <w:r>
        <w:rPr>
          <w:rtl w:val="true"/>
        </w:rPr>
        <w:t xml:space="preserve"> /</w:t>
      </w:r>
      <w:r>
        <w:rPr/>
        <w:t>4</w:t>
      </w:r>
      <w:r>
        <w:rPr>
          <w:rtl w:val="true"/>
        </w:rPr>
        <w:t xml:space="preserve"> /</w:t>
      </w:r>
      <w:r>
        <w:rPr/>
        <w:t>2</w:t>
      </w:r>
      <w:r>
        <w:rPr>
          <w:rtl w:val="true"/>
        </w:rPr>
        <w:t>.</w:t>
      </w:r>
      <w:r>
        <w:rPr>
          <w:rtl w:val="true"/>
        </w:rPr>
        <w:t>العلم النبويّ</w:t>
      </w:r>
      <w:r>
        <w:rPr>
          <w:rtl w:val="true"/>
        </w:rPr>
        <w:t>:</w:t>
      </w:r>
      <w:bookmarkEnd w:id="167"/>
    </w:p>
    <w:p>
      <w:pPr>
        <w:pStyle w:val="BookText"/>
        <w:rPr/>
      </w:pPr>
      <w:r>
        <w:rPr>
          <w:rFonts w:ascii="Amiri" w:hAnsi="Amiri" w:eastAsia="Amiri" w:cs="Amiri"/>
          <w:color w:val="111111"/>
          <w:sz w:val="28"/>
          <w:sz w:val="28"/>
          <w:szCs w:val="28"/>
          <w:rtl w:val="true"/>
          <w:lang w:bidi="ar-SA"/>
        </w:rPr>
        <w:t xml:space="preserve">المصدر الثاني من مصادر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تعلّمهم السنّة النبويّة من النبيّ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ووصاياه، وما أورثه لهم؛ فقد أودع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أوصيائه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معارفه وعلومه، كما علّم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أبناءه تلك العلوم والمعارف، وتوارثوها إماماً عن إمام إلى أن وصلت إلى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رويت كثير من الأحاديث من طرق العامّة والخاصّة تدلّ على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تعلّم علوم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من ذاته المقدسة؛ من دون واسطة؛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مَكْحُولٍ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رَبِّی أَنْ يَجْعَلَهَا أُذُنَ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نَعِيم في الحليةِ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إِنَّ اللهَ أَمَرَنِي أنْ أُدْنِيَكَ وأَعَلَّمَكَ لِتَعِيَ ، فَأَنزَلَتْ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فَأَنْتَ أُذُنٌ وَاعِيَةٌ لعلمي</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فيه أيضاً عن سعيد بن منصور، وابن جرير، وابن المنذر، وابن أبي حاتم، وابن مردويه عن مكحولٍ ؛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سَأَلْتُ رَبِّي أَنْ يَجْعَلَهَا أُذُنَ </w:t>
      </w:r>
      <w:bookmarkStart w:id="168" w:name="pg16299_219484"/>
    </w:p>
    <w:p>
      <w:pPr>
        <w:pStyle w:val="BookText"/>
        <w:rPr/>
      </w:pPr>
      <w:bookmarkEnd w:id="168"/>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فَنَسِيتُهُ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ابن طاووس،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القندوزيّ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المرويات في هذا الباب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بِدُرْنُوكِ مِنَ الْجَنَّةِ، فَجَلَسْتُ عَلَيْهِ، فَلَمَّا صِرْتُ بَيْنَ يَدَيْ رَبِّی، كَلَّمَنِي، وَنَاجَانِی، فَمَا عُلِّمْتُ شَيْئًا إِلَّا عَلَّمْتُهُ عَلِيّاً، فَهُوَ بَابُ مَدِينَةِ عِلْمِي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5369693_1280447820"/>
      <w:bookmarkStart w:id="170" w:name="_Toc65"/>
      <w:bookmarkEnd w:id="169"/>
      <w:r>
        <w:rPr/>
        <w:t>21</w:t>
      </w:r>
      <w:r>
        <w:rPr>
          <w:rtl w:val="true"/>
        </w:rPr>
        <w:t xml:space="preserve"> /</w:t>
      </w:r>
      <w:r>
        <w:rPr/>
        <w:t>4</w:t>
      </w:r>
      <w:r>
        <w:rPr>
          <w:rtl w:val="true"/>
        </w:rPr>
        <w:t xml:space="preserve"> /</w:t>
      </w:r>
      <w:r>
        <w:rPr/>
        <w:t>3</w:t>
      </w:r>
      <w:r>
        <w:rPr>
          <w:rtl w:val="true"/>
        </w:rPr>
        <w:t>.</w:t>
      </w:r>
      <w:r>
        <w:rPr>
          <w:rtl w:val="true"/>
        </w:rPr>
        <w:t xml:space="preserve">الصحيفة الجامعة للإمام عليّ </w:t>
      </w:r>
      <w:r>
        <w:rPr>
          <w:rtl w:val="true"/>
        </w:rPr>
        <w:t>(</w:t>
      </w:r>
      <w:r>
        <w:rPr>
          <w:rtl w:val="true"/>
        </w:rPr>
        <w:t>علیه السلام</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أحد مصادر العلم لدى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مجموعة من الروايات من طرق الفريقين تفيد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كتاباً أملاه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روي عن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وَإِنَّ عِنْدَنَا الْجَامِعَةَ، وَمَا يُدْرِيهِمْ مَا الْجَامِعَةُ؟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الْجَامِعَةُ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طُولُها سَبْعُونَ ذِرَاعاً بِذِرَاعٍ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وَإِمْلَائِهِ، مِنْ فَلْقِ فِيهِ، وَخَطِّ عَلِيٌّ بِيَمِينِهِ، فِيهَا كُلُّ حَلَالٍ وَحَرَامِ، وَكُل شیء يَحْتَاجُ النَّاسُ إِلَيْهِ؛ حَتَّى الْأَرْشُ فِي الْخَدْشِ وَضَرَبَ بِيَدِهِ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لِي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لَكَ فَاصْنَعْ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فَغَمَزَنِي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أَرْشُ هَذَا، كَأَنَّهُ مُغْضَبٌ،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لَعِلْمٌ، وَلَيْسَ بِذَاكَ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bookmarkStart w:id="171" w:name="pg16299_219485"/>
    </w:p>
    <w:p>
      <w:pPr>
        <w:pStyle w:val="BookText"/>
        <w:rPr/>
      </w:pPr>
      <w:bookmarkEnd w:id="1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لَا يَمُوتُ صَاحِبُهُنَّ أَبَداً حَتَّى يَرَى وَبَالَهُنَّ الْبَغْيُّ وقَطِيعَةُ الرَّحِمِ والْيَمِينُ الْكَاذِبَةُ يُبَارِزُ اللَّهَ بِهَا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الشريف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الجفر والجامعة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كتابان لعليّ رضي الله تعالى عنه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ثُمَّ ذَهَبَ ، فَرَقَّ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رَأَيْتُكَ صَنَعْتَ بِهِ مَا لَمْ تَكُنْ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رَفَقْتُ لَهُ لِأَنَّهُ يُنْسَبُ إِلَى أَمْرٍ لَيْسَ لَهُ، لَمْ أَجِدْهُ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خُلَفَاءِ هَذِهِ الْأُمَّةِ، وَلَا مِنْ مُلُوكِهَا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5369695_1280447820"/>
      <w:bookmarkStart w:id="173" w:name="_Toc66"/>
      <w:bookmarkEnd w:id="172"/>
      <w:r>
        <w:rPr/>
        <w:t>21</w:t>
      </w:r>
      <w:r>
        <w:rPr>
          <w:rtl w:val="true"/>
        </w:rPr>
        <w:t xml:space="preserve"> /</w:t>
      </w:r>
      <w:r>
        <w:rPr/>
        <w:t>4</w:t>
      </w:r>
      <w:r>
        <w:rPr>
          <w:rtl w:val="true"/>
        </w:rPr>
        <w:t xml:space="preserve"> /</w:t>
      </w:r>
      <w:r>
        <w:rPr/>
        <w:t>4</w:t>
      </w:r>
      <w:r>
        <w:rPr>
          <w:rtl w:val="true"/>
        </w:rPr>
        <w:t>.</w:t>
      </w:r>
      <w:r>
        <w:rPr>
          <w:rtl w:val="true"/>
        </w:rPr>
        <w:t xml:space="preserve">الجفر </w:t>
      </w:r>
      <w:r>
        <w:rPr>
          <w:rtl w:val="true"/>
        </w:rPr>
        <w:t>:</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أحد مصادر علم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وتعني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الوعاء من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يحوي علم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والأوصياء، والماضين من بني إسرائيل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مجموعة من الرويات التي تخبر عن وجود الجفر، وكونه لدى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عِنْدَنَا الْجَفْرَ، وَمَا يُدْرِيهِمْ مَا الْجَفْرُ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أَدَمٍ، فِيهِ عِلْمُ النَّبِيِّينَ، وَالْوَصِيِّينَ، وَعِلْمُ الْعُلَمَاءِ الَّذِينَ مَضَوْا مِنْ بَنِي إِسْرَائِيلَ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74" w:name="pg16299_219486"/>
    </w:p>
    <w:p>
      <w:pPr>
        <w:pStyle w:val="BookText"/>
        <w:rPr/>
      </w:pPr>
      <w:bookmarkEnd w:id="174"/>
      <w:r>
        <w:rPr>
          <w:rFonts w:ascii="IRNazanin" w:hAnsi="IRNazanin" w:eastAsia="IRNazanin"/>
          <w:color w:val="111111"/>
          <w:sz w:val="28"/>
          <w:sz w:val="28"/>
          <w:szCs w:val="28"/>
          <w:rtl w:val="true"/>
          <w:lang w:bidi="fa-IR"/>
        </w:rPr>
        <w:t xml:space="preserve">وقد قرّر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جمله شروط الإمام والقائد أن يكون كلّ من كتابي الجفر الأكبر والأصغر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بحوزته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مريم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الْجُفْرُ؛ وهُوَ أَدِيمٌ عُكَاظِيٌّ، قَدْ كُتِبَ فِيهِ حَتَّى مُلِئَتْ أَكَارِعُهُ، فِيهِ مَا كَانَ، وَمَا هُوَ كَائِنٌ إِلَى يَوْمِ الْقِيَامَةِ</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تمسّك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عديدة بكتاب الجفر، واستشهدوا بما جاء فيه؛ فحينما كتب المأمون كتاباً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وأوكل ولاية عهده إليه؛ كتب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ظهر ذلك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وَالْجامِعَةُ وَالجُفْرُ يَدُلَّانِ عَلَى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امْتَثَلْتُ أَمْرَ أَمِيرِ الْمُؤْمِنِينَ، وَآثَرْتُ رضاه </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في شأن أصحاب 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الجُفْر الَّذِي يَذْكُرُونَهُ لَمَا يَسُوؤُهُمْ؛ لِأَنَّهُمْ لَا يَقُولُونَ الْحَقَّ، والْحَقُّ فيه، فَلْيُخْرِجُوا قَضَايَا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وفَرَائِضَهُ؛ إِنْ 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وَسَلُوهُمْ عَنِ الْخَالَاتِ والْعَمَّاتِ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5369697_1280447820"/>
      <w:bookmarkStart w:id="176" w:name="_Toc67"/>
      <w:bookmarkEnd w:id="175"/>
      <w:r>
        <w:rPr/>
        <w:t>21</w:t>
      </w:r>
      <w:r>
        <w:rPr>
          <w:rtl w:val="true"/>
        </w:rPr>
        <w:t xml:space="preserve"> /</w:t>
      </w:r>
      <w:r>
        <w:rPr/>
        <w:t>4</w:t>
      </w:r>
      <w:r>
        <w:rPr>
          <w:rtl w:val="true"/>
        </w:rPr>
        <w:t xml:space="preserve"> /</w:t>
      </w:r>
      <w:r>
        <w:rPr/>
        <w:t>5</w:t>
      </w:r>
      <w:r>
        <w:rPr>
          <w:rtl w:val="true"/>
        </w:rPr>
        <w:t>.</w:t>
      </w:r>
      <w:r>
        <w:rPr>
          <w:rtl w:val="true"/>
        </w:rPr>
        <w:t xml:space="preserve">مصحف فاطمة </w:t>
      </w:r>
      <w:r>
        <w:rPr>
          <w:rtl w:val="true"/>
        </w:rPr>
        <w:t>(</w:t>
      </w:r>
      <w:r>
        <w:rPr>
          <w:rtl w:val="true"/>
        </w:rPr>
        <w:t>علیها السلام</w:t>
      </w:r>
      <w:r>
        <w:rPr>
          <w:rtl w:val="true"/>
        </w:rPr>
        <w:t>):</w:t>
      </w:r>
      <w:bookmarkEnd w:id="17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صحيفتها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المصادر المعرفيّة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يشتمل على أخبار غيبيّة ، وأحداث سوف تحدث في المستقبل؛ نزل به جبرئيل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الإمام الخميني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والصحيفة الفاطمية؛ وهي الكتاب الملهم من قِبَل الله تعالى إلى الزهراء المرضيّة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عندما سئل عن هذا المصحف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وسَبْعِينَ يَوْماً، وَكَانَ دَخَلَهَا حُزْنُ شَدِيدٌ عَلَى أَبِيهَا، وَكَانَ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فَيُحْسِنُ عَزَاءَهَا عَلَى أَبِيهَا ، ويُطيِّبُ نَفْسَهَا، ويُخبرُهَا عَنْ أَبِيهَا، وَمَكَانِهِ ، ويُخبرُهَا بِمَا يَكُونُ بَعْدَهَا فِي ذُرِّيَّتِهَا،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ذَلِكَ فَهَذَا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حمّاد بن عثمان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الزَّنَادِقَةُ فِي سَنَةِ ثَمَانٍ وعِشْرِينَ وَمِائَةٍ، وَذَلِكَ أَنِّی نَظَرْتُ فِي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سُكَّرة؛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أَتَدْرِي فِي أَيَّ شَيْءٍ كُنْتُ أَنْظُرُ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أَنْظُرُ فِي 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مِنْ مَلِكٍ يَمْلِكُ الْأَرْضَ إِلَّا وهُوَ مَكْتُوبٌ فِيهِ بِاسْمِهِ، واسم أبيه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177" w:name="pg16299_219488"/>
    </w:p>
    <w:p>
      <w:pPr>
        <w:pStyle w:val="BookText"/>
        <w:rPr/>
      </w:pPr>
      <w:bookmarkEnd w:id="177"/>
      <w:r>
        <w:rPr>
          <w:rFonts w:ascii="IRNazanin" w:hAnsi="IRNazanin" w:eastAsia="IRNazanin"/>
          <w:color w:val="111111"/>
          <w:sz w:val="28"/>
          <w:sz w:val="28"/>
          <w:szCs w:val="28"/>
          <w:rtl w:val="true"/>
          <w:lang w:bidi="fa-IR"/>
        </w:rPr>
        <w:t xml:space="preserve">وروى سليمان بن خالد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وَلْيُخْرِجُوا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فِيهِ وَصِيَّةَ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سُئل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آل إليه أمر هذا المصحف بعد رحيلها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دَفَعَتْهُ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مَضَى صَارَ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عِنْدَ أَهْلِهِ؛ حَتَّى يَدْفَعُوهُ إِلَى صَاحِبِ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عَلَامَاتٌ يَكُونُ أَعْلَمَ النَّاسِ وأَحْكَمَ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عِنْدَهُ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العلّامة الطهرانيّ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ودائع الإمامة، عند مولانا وإمامنا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روي في عدة أحاديث من طرق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5369699_1280447820"/>
      <w:bookmarkStart w:id="179" w:name="_Toc68"/>
      <w:bookmarkEnd w:id="178"/>
      <w:r>
        <w:rPr/>
        <w:t>21</w:t>
      </w:r>
      <w:r>
        <w:rPr>
          <w:rtl w:val="true"/>
        </w:rPr>
        <w:t xml:space="preserve"> /</w:t>
      </w:r>
      <w:r>
        <w:rPr/>
        <w:t>4</w:t>
      </w:r>
      <w:r>
        <w:rPr>
          <w:rtl w:val="true"/>
        </w:rPr>
        <w:t xml:space="preserve"> /</w:t>
      </w:r>
      <w:r>
        <w:rPr/>
        <w:t>6</w:t>
      </w:r>
      <w:r>
        <w:rPr>
          <w:rtl w:val="true"/>
        </w:rPr>
        <w:t>.</w:t>
      </w:r>
      <w:r>
        <w:rPr>
          <w:rtl w:val="true"/>
        </w:rPr>
        <w:t xml:space="preserve">التحديث </w:t>
      </w:r>
      <w:r>
        <w:rPr>
          <w:rtl w:val="true"/>
        </w:rPr>
        <w:t>:</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تحديث الملائكة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يجعلهم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مصادر علومهم؛ فإنّ بعض تلك العلوم انتقل إليهم من خلال التحديث وإلقاء الملائكة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تتحدّث الملائكة معه من غير أن يكون نبيّاً؛ أو الذي يرى الملائكة، أو الذي يحضر لديه العلم بأمور من خلال الإلهام والمكاشفة، أو تُلقى في روعه حقائق تخفى على الآخرين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وهناك عدد من أمثلة تحديث الملائكة لبعض البشر من غير أن يكونوا من الأنبياء؛ فقد تحدّثت الملائكة مع السيّدة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 كما تحدّثت مع سارة زوج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وتحدّثت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علماء العامّة أنّ عمر كان محدّثاً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استعرض الباحثون الإسلاميّون مجموعة من المصادر الأخرى لعلم الإمام؛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والاسم الأعظم، والرؤيا الصادقة، وكتب الأنبياء، وعالم الملكوت، والعقل</w:t>
      </w:r>
      <w:r>
        <w:rPr>
          <w:rFonts w:eastAsia="Amiri" w:cs="Amiri" w:ascii="Amiri" w:hAnsi="Amiri"/>
          <w:color w:val="111111"/>
          <w:sz w:val="28"/>
          <w:szCs w:val="28"/>
          <w:rtl w:val="true"/>
          <w:lang w:bidi="ar-SA"/>
        </w:rPr>
        <w:t>.</w:t>
      </w:r>
      <w:bookmarkStart w:id="180" w:name="pg16299_219490"/>
    </w:p>
    <w:p>
      <w:pPr>
        <w:pStyle w:val="Heading3"/>
        <w:numPr>
          <w:ilvl w:val="2"/>
          <w:numId w:val="1"/>
        </w:numPr>
        <w:rPr/>
      </w:pPr>
      <w:bookmarkStart w:id="181" w:name="__RefHeading___Toc5369701_1280447820"/>
      <w:bookmarkStart w:id="182" w:name="_Toc69"/>
      <w:bookmarkEnd w:id="180"/>
      <w:bookmarkEnd w:id="181"/>
      <w:r>
        <w:rPr/>
        <w:t>22</w:t>
      </w:r>
      <w:r>
        <w:rPr>
          <w:rtl w:val="true"/>
        </w:rPr>
        <w:t>.</w:t>
      </w:r>
      <w:r>
        <w:rPr>
          <w:rtl w:val="true"/>
        </w:rPr>
        <w:t>أفضلية الإمام</w:t>
      </w:r>
      <w:bookmarkEnd w:id="182"/>
    </w:p>
    <w:p>
      <w:pPr>
        <w:pStyle w:val="Heading4"/>
        <w:numPr>
          <w:ilvl w:val="3"/>
          <w:numId w:val="1"/>
        </w:numPr>
        <w:rPr/>
      </w:pPr>
      <w:bookmarkStart w:id="183" w:name="__RefHeading___Toc5369703_1280447820"/>
      <w:bookmarkStart w:id="184" w:name="_Toc70"/>
      <w:bookmarkEnd w:id="183"/>
      <w:r>
        <w:rPr/>
        <w:t>22</w:t>
      </w:r>
      <w:r>
        <w:rPr>
          <w:rtl w:val="true"/>
        </w:rPr>
        <w:t xml:space="preserve"> /</w:t>
      </w:r>
      <w:r>
        <w:rPr/>
        <w:t>1</w:t>
      </w:r>
      <w:r>
        <w:rPr>
          <w:rtl w:val="true"/>
        </w:rPr>
        <w:t>.</w:t>
      </w:r>
      <w:r>
        <w:rPr>
          <w:rtl w:val="true"/>
        </w:rPr>
        <w:t xml:space="preserve">تمهيد </w:t>
      </w:r>
      <w:r>
        <w:rPr>
          <w:rtl w:val="true"/>
        </w:rPr>
        <w:t>:</w:t>
      </w:r>
      <w:bookmarkEnd w:id="184"/>
    </w:p>
    <w:p>
      <w:pPr>
        <w:pStyle w:val="BookText"/>
        <w:rPr/>
      </w:pPr>
      <w:r>
        <w:rPr>
          <w:rFonts w:ascii="IRNazanin" w:hAnsi="IRNazanin" w:eastAsia="IRNazanin"/>
          <w:color w:val="111111"/>
          <w:sz w:val="28"/>
          <w:sz w:val="28"/>
          <w:szCs w:val="28"/>
          <w:rtl w:val="true"/>
          <w:lang w:bidi="fa-IR"/>
        </w:rPr>
        <w:t xml:space="preserve">تمثّل صفة أفضليّة الإمام على من سواه إحدى الصفات المهمّة له؛ وهي من الصفات التي اتّفق جميع علماء الإماميّة في ثبوتها للإمام فعلى سبيل المثال يرى الشيخ الطوسيّ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وجوب أفضليّة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تؤسس لتحقّق معنيين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أكثر الناس ثواباً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أفضل من غيره في جميع الأمور الظاهرية، وفي كلّ ما هو متعلّق بأمر الإمامة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ويرى السيّد المرتضى </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أحد الشروط الواجبة في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الأفضل ؛ بمعنى أن يكون من جهة الثواب أفضل من غيره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المعتزلة أنّهم يوافقون الإماميّة في رؤيتهم لهذا الأمر؛ في حين يخالفهم في ذلك الأشاعرة وباقي المعتزلة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 الفيّاض اللاهيجيّ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القائلين بالحسن والقبح العقليّين يذهبون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أفضليّة الإمام، أمّا غيرهم وهم الرافضون لهذا المبدأ فينكرون شرطيّة هذا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نقل عن أبي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5" w:name="pg16299_219491"/>
    </w:p>
    <w:p>
      <w:pPr>
        <w:pStyle w:val="BookText"/>
        <w:rPr/>
      </w:pPr>
      <w:bookmarkEnd w:id="185"/>
      <w:r>
        <w:rPr>
          <w:rFonts w:ascii="Amiri" w:hAnsi="Amiri" w:eastAsia="Amiri" w:cs="Amiri"/>
          <w:color w:val="111111"/>
          <w:sz w:val="28"/>
          <w:sz w:val="28"/>
          <w:szCs w:val="28"/>
          <w:rtl w:val="true"/>
          <w:lang w:bidi="ar-SA"/>
        </w:rPr>
        <w:t xml:space="preserve">وسعد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أذعنا بوجوب الأفضليّة في الإمام، بالرغم من أنّهما لم يقولا بالحسن و القبح العقليّين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5369705_1280447820"/>
      <w:bookmarkStart w:id="187" w:name="_Toc71"/>
      <w:bookmarkEnd w:id="186"/>
      <w:r>
        <w:rPr/>
        <w:t>22</w:t>
      </w:r>
      <w:r>
        <w:rPr>
          <w:rtl w:val="true"/>
        </w:rPr>
        <w:t xml:space="preserve"> /</w:t>
      </w:r>
      <w:r>
        <w:rPr/>
        <w:t>2</w:t>
      </w:r>
      <w:r>
        <w:rPr>
          <w:rtl w:val="true"/>
        </w:rPr>
        <w:t>.</w:t>
      </w:r>
      <w:r>
        <w:rPr>
          <w:rtl w:val="true"/>
        </w:rPr>
        <w:t xml:space="preserve">أفضليّة الإمام ضرورة </w:t>
      </w:r>
      <w:r>
        <w:rPr>
          <w:rtl w:val="true"/>
        </w:rPr>
        <w:t>:</w:t>
      </w:r>
      <w:bookmarkEnd w:id="187"/>
    </w:p>
    <w:p>
      <w:pPr>
        <w:pStyle w:val="BookText"/>
        <w:rPr/>
      </w:pPr>
      <w:r>
        <w:rPr>
          <w:rFonts w:ascii="Amiri" w:hAnsi="Amiri" w:eastAsia="Amiri" w:cs="Amiri"/>
          <w:color w:val="111111"/>
          <w:sz w:val="28"/>
          <w:sz w:val="28"/>
          <w:szCs w:val="28"/>
          <w:rtl w:val="true"/>
          <w:lang w:bidi="ar-SA"/>
        </w:rPr>
        <w:t>أكّد منّظرو الإماميّة على وجوب أفضليّة الإمام، وكونها من ضروريّات الإمامة؛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إبراهيم بن نوبخت</w:t>
      </w:r>
      <w:r>
        <w:rPr>
          <w:rStyle w:val="FootnoteAnchor"/>
          <w:rtl w:val="true"/>
        </w:rPr>
        <w:footnoteReference w:id="2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الصلاح الحلبيّ </w:t>
      </w:r>
      <w:r>
        <w:rPr>
          <w:rStyle w:val="FootnoteAnchor"/>
          <w:rtl w:val="true"/>
        </w:rPr>
        <w:footnoteReference w:id="2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والحمصيّ الرازيّ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ميثم البحرانيّ </w:t>
      </w:r>
      <w:r>
        <w:rPr>
          <w:rStyle w:val="FootnoteAnchor"/>
          <w:rtl w:val="true"/>
        </w:rPr>
        <w:footnoteReference w:id="234"/>
      </w:r>
      <w:r>
        <w:rPr>
          <w:rFonts w:eastAsia="IRNazanin" w:cs="IRNazanin"/>
          <w:color w:val="111111"/>
          <w:sz w:val="28"/>
          <w:szCs w:val="28"/>
          <w:rtl w:val="true"/>
          <w:lang w:bidi="fa-IR"/>
        </w:rPr>
        <w:t>(</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والفاضل المقداد</w:t>
      </w:r>
      <w:r>
        <w:rPr>
          <w:rStyle w:val="FootnoteAnchor"/>
          <w:rtl w:val="true"/>
        </w:rPr>
        <w:footnoteReference w:id="2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w:t>
      </w:r>
      <w:r>
        <w:rPr>
          <w:rStyle w:val="FootnoteAnchor"/>
          <w:rtl w:val="true"/>
        </w:rPr>
        <w:footnoteReference w:id="23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عبدالله شَبّر </w:t>
      </w:r>
      <w:r>
        <w:rPr>
          <w:rStyle w:val="FootnoteAnchor"/>
          <w:rtl w:val="true"/>
        </w:rPr>
        <w:footnoteReference w:id="2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إسماعيل الطبرسيّ النوريّ </w:t>
      </w:r>
      <w:r>
        <w:rPr>
          <w:rStyle w:val="FootnoteAnchor"/>
          <w:rtl w:val="true"/>
        </w:rPr>
        <w:footnoteReference w:id="2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حسين المظفّر </w:t>
      </w:r>
      <w:r>
        <w:rPr>
          <w:rStyle w:val="FootnoteAnchor"/>
          <w:rtl w:val="true"/>
        </w:rPr>
        <w:footnoteReference w:id="239"/>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ما تقدّم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الرؤية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الأفضل من جميع أمّته فرداً فرداً في جميع الأبعاد الشخصيّة والسلوكيّة؛ بما يعمّ القضايا الدنيويّة الظاهريّة، والأخرويّة الروحانيّة؛ فالإمام هو الشخص الذي يتفوّق على الآخرين في جميع الفضائل الإنسانية، والسجايا الأخلاقيّة، ويفضلهم في العبادة والإيمان والعمل الصالح؛ فالإمام هو أعلم وأتقى وأزهد وأشجع وأكرم وأكيس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أوضح العلّامة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لا نريد بالأفضل إلّا الجامع لجميع صفات الكمال التي يمكن اجتماعها في البشر؛ لا الأفضلية في صفة دون أخرى، فيكون حينئذ الأفقه مثلاً هو الأبصر بشؤون السياسة، والأعرف بمصالح الأمور ومفاسدها، والأثبت في إدارة الصالح العامّ، والأبسل في مواقف الحروب، والأقضى في المحاكمات والأخشن في ذات الله، والأرأف بضعفاء الأمّة، والأسمح على محاويج الملأ الدينيّ، إلى أمثالها من الشرائط والأوصاف، إذن فلا تصوير لما حسبوه من أنّ المفضول قد يكون أقدر وأعرف وأقوم</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بعض الأشاعرة والمعتزلة ممّن يقول باشتراط الأفضليّة للإمام قول الإماميّة في معيار الأفضلية، فقالوا إنّ أفضلية الإمام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الثواب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المنظّرون من غير الإماميّة فقد انقسموا في هذه القضيّة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فأكّدت الأولى على وجوب اشتراط الأفضليّة للإمام بوضوح وصراحة، لكنّ الأكثريّة لم يعتمدوا أفضليّة الإمام في ضمن شروط الإمام، بيد أنّهم لمّا رأوا الاستدلالات العقليّة والنقليّة التي أقامتها الإماميّة في مبحث ضرورة أفضليّة الإمام، ووقفوا على الحقائق التاريخيّة التي لا يمكن إنكارها، والتي تؤكّد أنّ أئمة الشيعة كانوا أفضل الأمّة على الإطلاق، وجودوا أنفسهم مضطرّين إلى الولوج في هذا الباب، وطفقوا ينحتون لخلفائهم فضائل مختلقة</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لا يمكن التغاضي عن إشكال يرد عليهم، و مفاده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أنكم بذلتم قصارى الجهد لإثبات حقانيّة حُكّامكم من خلال أبحاثكم في قضيّة الأفضليّة، وتلفيقكم للقرائن والشواهد، لكن ما السبب الذي دعاكم لإقصاء الأفضليّة من شروط الإمامة؟ ومع أنّكم تلاحظون الفضائل الجمّة 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يتغيّر موقفكم، وترفعون الراية البيضاء ؛ وأنتم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تقديم المفضول على الفاضل ؛ لحفظ المصالح ودرء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أبناء العامّة </w:t>
      </w:r>
      <w:bookmarkStart w:id="188" w:name="pg16299_219493"/>
    </w:p>
    <w:p>
      <w:pPr>
        <w:pStyle w:val="BookText"/>
        <w:rPr/>
      </w:pPr>
      <w:bookmarkEnd w:id="188"/>
      <w:r>
        <w:rPr>
          <w:rFonts w:ascii="Amiri" w:hAnsi="Amiri" w:eastAsia="Amiri" w:cs="Amiri"/>
          <w:color w:val="111111"/>
          <w:sz w:val="28"/>
          <w:sz w:val="28"/>
          <w:szCs w:val="28"/>
          <w:rtl w:val="true"/>
          <w:lang w:bidi="ar-SA"/>
        </w:rPr>
        <w:t>ينكرون شرط أفضليّة الإمام، ويخالفون رؤية الإماميّة في هذا المجال، فلماذا يجهدون أنفسهم إذن في استعراض أفضليّة أبي بكر وعمر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369707_1280447820"/>
      <w:bookmarkStart w:id="190" w:name="_Toc72"/>
      <w:bookmarkEnd w:id="189"/>
      <w:r>
        <w:rPr/>
        <w:t>22</w:t>
      </w:r>
      <w:r>
        <w:rPr>
          <w:rtl w:val="true"/>
        </w:rPr>
        <w:t xml:space="preserve"> /</w:t>
      </w:r>
      <w:r>
        <w:rPr/>
        <w:t>3</w:t>
      </w:r>
      <w:r>
        <w:rPr>
          <w:rtl w:val="true"/>
        </w:rPr>
        <w:t>.</w:t>
      </w:r>
      <w:r>
        <w:rPr>
          <w:rtl w:val="true"/>
        </w:rPr>
        <w:t xml:space="preserve">الأدلّة العقليّة على الأفضلية </w:t>
      </w:r>
      <w:r>
        <w:rPr>
          <w:rtl w:val="true"/>
        </w:rPr>
        <w:t>:</w:t>
      </w:r>
      <w:bookmarkEnd w:id="190"/>
    </w:p>
    <w:p>
      <w:pPr>
        <w:pStyle w:val="BookText"/>
        <w:rPr/>
      </w:pPr>
      <w:r>
        <w:rPr>
          <w:rFonts w:ascii="Amiri" w:hAnsi="Amiri" w:eastAsia="Amiri" w:cs="Amiri"/>
          <w:color w:val="111111"/>
          <w:sz w:val="28"/>
          <w:sz w:val="28"/>
          <w:szCs w:val="28"/>
          <w:rtl w:val="true"/>
          <w:lang w:bidi="ar-SA"/>
        </w:rPr>
        <w:t xml:space="preserve">استدلّ علماء الإماميّة على أفضليّة الإمام من خلال الأدلّة العقليّة المثبتة للعصمة، والأعلميّة </w:t>
      </w:r>
      <w:r>
        <w:rPr>
          <w:rStyle w:val="FootnoteAnchor"/>
          <w:rtl w:val="true"/>
        </w:rPr>
        <w:footnoteReference w:id="242"/>
      </w:r>
      <w:r>
        <w:rPr>
          <w:rFonts w:ascii="Amiri" w:hAnsi="Amiri" w:eastAsia="Amiri" w:cs="Amiri"/>
          <w:color w:val="111111"/>
          <w:sz w:val="28"/>
          <w:sz w:val="28"/>
          <w:szCs w:val="28"/>
          <w:rtl w:val="true"/>
          <w:lang w:bidi="ar-SA"/>
        </w:rPr>
        <w:t xml:space="preserve">فقال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وإذا ثبتت عصمته فكل من أوجب له العصمة قطع على أنّه أكثر ثواباً؛ لأنّ أحداً لا يُفرّق بين المسألتين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وأردف المحقّق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أعلم الأمّة؛ فيكون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العلم فضيلة موجبة للثواب؛ فيكون تزايدها موجباً لازدياده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الآخر على وجوب أفضليّة الإمام هو برهان اللطف؛ فإنّ تعيين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أثبتناه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اللطف الإلهيّ، واللطف يؤدّي بالعبد إلى التزام الطاعات، واجتناب المعاصي وعليه فإنّ الإمام الذي يجد ويجتهد في استقطاب الناس، وسوقهم صوب الطاعات، وصرفهم عن المعاصي، وتجنيبهم إيّاها، لابدّ من أن يكون هو في نفسه أفضل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صعيد العمل بالتكاليف الإلهيّة والطاعات والعبادات، أم في الاتّصاف بالفضائل الأخلاقيّة والكمالات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تتسنّى له أسباب أداء هذا الدور المهمّ والخطير، وينجح في هداية الآخرين إلى سبيل الله سُبحَانَهُ وَتَعَالى، والسعادة الأبديّة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91" w:name="pg16299_219494"/>
    </w:p>
    <w:p>
      <w:pPr>
        <w:pStyle w:val="Heading3"/>
        <w:numPr>
          <w:ilvl w:val="2"/>
          <w:numId w:val="1"/>
        </w:numPr>
        <w:rPr/>
      </w:pPr>
      <w:bookmarkStart w:id="192" w:name="__RefHeading___Toc5369709_1280447820"/>
      <w:bookmarkStart w:id="193" w:name="_Toc73"/>
      <w:bookmarkEnd w:id="191"/>
      <w:bookmarkEnd w:id="192"/>
      <w:r>
        <w:rPr/>
        <w:t>23</w:t>
      </w:r>
      <w:r>
        <w:rPr>
          <w:rtl w:val="true"/>
        </w:rPr>
        <w:t>.</w:t>
      </w:r>
      <w:r>
        <w:rPr>
          <w:rtl w:val="true"/>
        </w:rPr>
        <w:t xml:space="preserve">التعيين والنصّ على الإمام </w:t>
      </w:r>
      <w:r>
        <w:rPr>
          <w:rtl w:val="true"/>
        </w:rPr>
        <w:t>:</w:t>
      </w:r>
      <w:bookmarkEnd w:id="193"/>
    </w:p>
    <w:p>
      <w:pPr>
        <w:pStyle w:val="Heading4"/>
        <w:numPr>
          <w:ilvl w:val="3"/>
          <w:numId w:val="1"/>
        </w:numPr>
        <w:rPr/>
      </w:pPr>
      <w:bookmarkStart w:id="194" w:name="__RefHeading___Toc5369711_1280447820"/>
      <w:bookmarkStart w:id="195" w:name="_Toc74"/>
      <w:bookmarkEnd w:id="194"/>
      <w:r>
        <w:rPr/>
        <w:t>23</w:t>
      </w:r>
      <w:r>
        <w:rPr>
          <w:rtl w:val="true"/>
        </w:rPr>
        <w:t xml:space="preserve"> /</w:t>
      </w:r>
      <w:r>
        <w:rPr/>
        <w:t>1</w:t>
      </w:r>
      <w:r>
        <w:rPr>
          <w:rtl w:val="true"/>
        </w:rPr>
        <w:t>.</w:t>
      </w:r>
      <w:r>
        <w:rPr>
          <w:rtl w:val="true"/>
        </w:rPr>
        <w:t>تمهيد</w:t>
      </w:r>
      <w:bookmarkEnd w:id="195"/>
    </w:p>
    <w:p>
      <w:pPr>
        <w:pStyle w:val="BookText"/>
        <w:rPr/>
      </w:pPr>
      <w:r>
        <w:rPr>
          <w:rFonts w:ascii="Amiri" w:hAnsi="Amiri" w:eastAsia="Amiri" w:cs="Amiri"/>
          <w:color w:val="111111"/>
          <w:sz w:val="28"/>
          <w:sz w:val="28"/>
          <w:szCs w:val="28"/>
          <w:rtl w:val="true"/>
          <w:lang w:bidi="ar-SA"/>
        </w:rPr>
        <w:t>تمثّل مسألة تعيين الإمام من خلال النصّ الإلهيّ، أو بواسطة اختيار الناس وانتخابهم أهمّ مواضع الاختلاف بين الإماميّة ومخالفيهم؛ فهل يجب تعيين مصداق الإمام بنصّ من عند الله جَلَّ وَعَلا، أم أنّ هذا الأمر موكول لاختيار البشر؟ وهل يوجد نصّ جليّ أو خفيّ يُثبت الإمامة؟</w:t>
      </w:r>
    </w:p>
    <w:p>
      <w:pPr>
        <w:pStyle w:val="BookText"/>
        <w:rPr/>
      </w:pPr>
      <w:r>
        <w:rPr>
          <w:rFonts w:ascii="Amiri" w:hAnsi="Amiri" w:eastAsia="Amiri" w:cs="Amiri"/>
          <w:color w:val="111111"/>
          <w:sz w:val="28"/>
          <w:sz w:val="28"/>
          <w:szCs w:val="28"/>
          <w:rtl w:val="true"/>
          <w:lang w:bidi="ar-SA"/>
        </w:rPr>
        <w:t xml:space="preserve">يرى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 والفاضل المقداد</w:t>
      </w:r>
      <w:r>
        <w:rPr>
          <w:rStyle w:val="FootnoteAnchor"/>
          <w:rtl w:val="true"/>
        </w:rPr>
        <w:footnoteReference w:id="2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ونبيّه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إثبات إمامة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مجموعة كبيرة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علماء أهل السنّة تعرّضوا لهذه النصوص بالنقد والتأويل، وأنكروا شرط النصّ الإلهيّ على الإمام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دفعت أهميّة هذا البحث بعلماء الفريقين إلى أن يُفردوا فصلاً مستقلّاً يدرس طرق تعيين الإمام؛ منهم من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الطوسيّ</w:t>
      </w:r>
      <w:r>
        <w:rPr>
          <w:rStyle w:val="FootnoteAnchor"/>
          <w:rtl w:val="true"/>
        </w:rPr>
        <w:footnoteReference w:id="2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والمحقّق الحلي</w:t>
      </w:r>
      <w:r>
        <w:rPr>
          <w:rStyle w:val="FootnoteAnchor"/>
          <w:rtl w:val="true"/>
        </w:rPr>
        <w:footnoteReference w:id="2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ميثم البحرانيّ</w:t>
      </w:r>
      <w:r>
        <w:rPr>
          <w:rStyle w:val="FootnoteAnchor"/>
          <w:rtl w:val="true"/>
        </w:rPr>
        <w:footnoteReference w:id="2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الصلاح الحلبيّ </w:t>
      </w:r>
      <w:r>
        <w:rPr>
          <w:rStyle w:val="FootnoteAnchor"/>
          <w:rtl w:val="true"/>
        </w:rPr>
        <w:footnoteReference w:id="253"/>
      </w:r>
      <w:r>
        <w:rPr>
          <w:rFonts w:eastAsia="IRNazanin" w:cs="IRNazanin"/>
          <w:color w:val="111111"/>
          <w:sz w:val="28"/>
          <w:szCs w:val="28"/>
          <w:rtl w:val="true"/>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وينقسم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العلماء بعدة لحاظات؛ أهمّها درجة صراحة النصّ، فقُسّم النصّ بهذا اللحاظ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فالنصّ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 سامعوه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منه باضطرار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الذي في ظاهره ولفظه الصريح بالامامة والخلافة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وينتفي فيه احتمال الخلاف</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النصّ الجلّي على إمامة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سَلَّمُوا عَلَى عَلِيّ بِإِمْرَةِ الْمُؤْمِنين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خَلِيفَتِي فِيكُمْ مِنْ بَعْدِي فَاسْمَعُوا لَهُ وأَطِيعُوهُ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النصّ الخفيّ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نقطع على أنّ سامعيه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النصّ بالإمامة منه اضطراراً، ولا يمتنع عندنا أن يكونوا علموه استدلالاً من حيث اعتبار دلالة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عند البعض </w:t>
      </w:r>
      <w:r>
        <w:rPr>
          <w:rStyle w:val="FootnoteAnchor"/>
          <w:rtl w:val="true"/>
        </w:rPr>
        <w:footnoteReference w:id="257"/>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مِنِّى بمَنْزلَةِ هَارُونَ مِنْ مُوسَى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الإماميّة الاثني عشريّة والكيسانيّة إلى أنّ المثبت للإمامة هو النصّ الجليّ فقط </w:t>
      </w:r>
      <w:r>
        <w:rPr>
          <w:rStyle w:val="FootnoteAnchor"/>
          <w:rtl w:val="true"/>
        </w:rPr>
        <w:footnoteReference w:id="260"/>
      </w:r>
      <w:r>
        <w:rPr>
          <w:rFonts w:ascii="Amiri" w:hAnsi="Amiri" w:eastAsia="Amiri" w:cs="Amiri"/>
          <w:color w:val="111111"/>
          <w:sz w:val="28"/>
          <w:sz w:val="28"/>
          <w:szCs w:val="28"/>
          <w:rtl w:val="true"/>
          <w:lang w:bidi="ar-SA"/>
        </w:rPr>
        <w:t xml:space="preserve">، وعدّوا كلاً من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المنزلة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زمرة النصوص الجليّة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أهل السنّة فقد تأسّى قلّة منهم بما ذهب إليه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فزعموا صدور نصّ خفيّ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على إمامة أبي بكر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طرق تعيين الإمام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وجود النصّ لتعيين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انعقد عليه إجماع المسلمين، بخلاف غيرها من الطرق؛ فكلّها مختلف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الزيديّة بقطعيّة إمامة كلّ فرد فاطميّ ، عالم، زاهد، يخرج بالسيف، ويدعو الناس إلى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الأشاعرة والمعتزلة فقد عدّوا البيعة سبباً في تعيين الإمام في حين أنكر الشيعة الاثناعشريّة هذا الطريق</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الظاهر أنّ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أجمعوا على طاعة إمام بعده، فذهب بعضهم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قالوا إنّا ننصب إماماً، ونصبوا أبا بكر ، وبايعوه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نصب إمام واجباً لخالفهم من الأمّة أحد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أجمعوا على عمر بنصّ أبي بكر، ثمّ على عثمان بسبب الشورى، ثمّ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أكثر أهل الحلّ والعقد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من ذلك أنّ الإمام يُنصب إمّا بنصّ من الذي قبله، وإمّا باختيار أهل الحلّ والعقد إيَّاه، وهذا هو العمدة عند أهل السنة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الطوسيّ بخصوص نصب الإمام في موضع آخر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القائلون بوجوبه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الشيعة القائلون بإمامة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في طريق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اتّفقوا على أنّه نصّ من الله تعالى أو ممّن هو منصوص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تعالى لا غير، فقالت الاثناعشريّة والكيسانيّة أنّه إنّما يحصل بالنصّ الجليّ؛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 أنّه يحصل بالنصّ الخفىّ أيضاً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وقد عدّ الفخر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سبباً في حصول الإمامة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كلّ من الإيجيّ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تعيين مصداق الإمام يتمّ بأحد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وإمّا بنصّ الإمام السابق، وإمّا من خلال بيعة أهل الحلّ والعقد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الطريق الثالث عندهم هو إمامة أبي بكر </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سعد الدين التفتازاني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أضاف إلى الطرق الثلاثة السابقة طريقاً رابعاً ؛ وهو الغلبة والقهر بالسيف؛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والاستيلاء؛ فإذا مات الإمام وتصدّى للإمامة من يستجمع شرائطها من غير بيعة واستخلاف وقهر الناس بشوكته؛ انعقدت الخلافة له، وكذا إذا كان فاسقاً أو جاهلاً على الأظهر، إلّا أنّه يعصى بما فعل ولا يُعتبر الشخص إماماً بتفرده بشروط الإمامة، ويجب طاعة الإمام ما لم يخالف حكم الشرع؛ سواء كان عادلاً أو جابراً ولا يجوز نصب إمامين في وقت واحد على الأظهر وإذا ثبت الإمام بالقهر والغلبة ثمّ جاء آخر فقهره؛ انعزل وصار القاهر إماماً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هنا أنّ نظريّات أهل السنة فيما يتعلّق بطرق تعيين الإمام تعاني بأسرها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المصادرة على المطلوب </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فهي تبيّن طرقاً لتعيين الإمام على أساس تبرير من الوضع الموجود، وإضفاء حالة من الشرعيّة على خلافة أبي بكر، وعمر، وعثمان، وغيرهم من الحكّام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ويكمن أحد أهمّ الإشكالات التي ترد على نظرية البيعة في ارتكازها على الإجماع؛ وليس السبب في ذلك اختلاف الرأي الواقع بين أهل السنّة أنفسهم في تحقّق هذا الإجماع، وعدد الأشخاص الذين انعقد بهم وحسب؛ بل إنّ هذا الإجماع فاقد للحجيّة والمشروعيّة، ولن يكتسبهما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لأنّهم إذا سُئلوا عن إثبات حقّانيّة إمامة أبي بكر، لأجابوا بأنّها ثبتت ببيعة واحد، أو مجموعة من أهل الحلّ والعقد، ثمّ إذا سُئلوا عن مشروعيّة البيعة في نفسها، لأجابوا بأنّ خليفتهم الأوّل عُيّن بهذه الطريقة، فيصبح من المعلوم أنّ هذه الطريقة مشروعة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الاستدلال ليس إلّا دوراً صريحاً؛ والدور باطل</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 منظّرو الإماميّة قاطبة على أنّ العصمة هي إحدى الشروط الواجبة في حقّ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أشرنا في البحوث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علماء الإماميّة قد أقاموا لإثباتها عدداً من 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فإنّ الإذعان بضرورة إثبات العصمة للإمام يمحو إمكانيّة الإجابة على السؤال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معرفة الإمام الواجد للعصمة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 إنّه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الطريق الذي يجب أن ننتهجه كي نتمكّن من تعيين الإمام المعصوم؟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فههنا تقف البشريّة منتظرة العلم الغيبي الذي اختصّ به المولى من دون غيره؛ وذلك من حيث كونه عَزَّ وَجَلَّ الوحيد العالم بخفايا الأمور، والمحيط بما في صدور الناس من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المنطلق، فإنّ الجهة الوحيدة القادرة على تعيين الإمام واختياره، وتقديمه للبشريّة هي الله، وليس لأحد دونه القدرة على التدخّل في هذا الأمر الخطير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يقول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ضرورة النصّ وإثباتها من خلال 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تقتضي النصّ</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أي إنّ ثبوت العصمة للإمام يقتضي وجود النصّ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أنّه يجب أن يكون الإمام معصوماً؛ والعصمة أمر خفيّ لا يعلمها إلّا الله تعالى، فيجب أن يكون نصبه من قبله تعالى؛ لأنّه العالم بالشرط دون غيره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تمسّك بهذا الدليل بعض علماء الإماميّة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w:t>
      </w:r>
      <w:r>
        <w:rPr>
          <w:rStyle w:val="FootnoteAnchor"/>
          <w:rtl w:val="true"/>
        </w:rPr>
        <w:footnoteReference w:id="27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والفيّاض اللاهيجيّ </w:t>
      </w:r>
      <w:r>
        <w:rPr>
          <w:rStyle w:val="FootnoteAnchor"/>
          <w:rtl w:val="true"/>
        </w:rPr>
        <w:footnoteReference w:id="27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مهديّ النراقيّ </w:t>
      </w:r>
      <w:r>
        <w:rPr>
          <w:rStyle w:val="FootnoteAnchor"/>
          <w:rtl w:val="true"/>
        </w:rPr>
        <w:footnoteReference w:id="278"/>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196" w:name="pg16299_219500"/>
    </w:p>
    <w:p>
      <w:pPr>
        <w:pStyle w:val="Heading3"/>
        <w:numPr>
          <w:ilvl w:val="2"/>
          <w:numId w:val="1"/>
        </w:numPr>
        <w:rPr/>
      </w:pPr>
      <w:bookmarkStart w:id="197" w:name="__RefHeading___Toc5369713_1280447820"/>
      <w:bookmarkStart w:id="198" w:name="_Toc75"/>
      <w:bookmarkEnd w:id="196"/>
      <w:bookmarkEnd w:id="197"/>
      <w:r>
        <w:rPr/>
        <w:t>24</w:t>
      </w:r>
      <w:r>
        <w:rPr>
          <w:rtl w:val="true"/>
        </w:rPr>
        <w:t>.</w:t>
      </w:r>
      <w:r>
        <w:rPr>
          <w:rtl w:val="true"/>
        </w:rPr>
        <w:t>الإمامة الخاصّة</w:t>
      </w:r>
      <w:bookmarkEnd w:id="198"/>
    </w:p>
    <w:p>
      <w:pPr>
        <w:pStyle w:val="Heading4"/>
        <w:numPr>
          <w:ilvl w:val="3"/>
          <w:numId w:val="1"/>
        </w:numPr>
        <w:rPr/>
      </w:pPr>
      <w:bookmarkStart w:id="199" w:name="__RefHeading___Toc5369715_1280447820"/>
      <w:bookmarkStart w:id="200" w:name="_Toc76"/>
      <w:bookmarkEnd w:id="199"/>
      <w:r>
        <w:rPr/>
        <w:t>24</w:t>
      </w:r>
      <w:r>
        <w:rPr>
          <w:rtl w:val="true"/>
        </w:rPr>
        <w:t xml:space="preserve"> /</w:t>
      </w:r>
      <w:r>
        <w:rPr/>
        <w:t>1</w:t>
      </w:r>
      <w:r>
        <w:rPr>
          <w:rtl w:val="true"/>
        </w:rPr>
        <w:t>.</w:t>
      </w:r>
      <w:r>
        <w:rPr>
          <w:rtl w:val="true"/>
        </w:rPr>
        <w:t>تمهيد</w:t>
      </w:r>
      <w:bookmarkEnd w:id="200"/>
    </w:p>
    <w:p>
      <w:pPr>
        <w:pStyle w:val="BookText"/>
        <w:rPr/>
      </w:pPr>
      <w:r>
        <w:rPr>
          <w:rFonts w:ascii="IRNazanin" w:hAnsi="IRNazanin" w:eastAsia="IRNazanin"/>
          <w:color w:val="111111"/>
          <w:sz w:val="28"/>
          <w:sz w:val="28"/>
          <w:szCs w:val="28"/>
          <w:rtl w:val="true"/>
          <w:lang w:bidi="fa-IR"/>
        </w:rPr>
        <w:t xml:space="preserve">بعد أن فرغنا من بيان حقيقة الإمامة ومشروعيّتها، وأوضحنا ثبوت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تعيينه، تثبت إلى درجة كبيرة الإمامة الخاصّة لأمير المؤمنين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وبتعيين كبرى مسألة الإمامة يتّجه طالب العلم إلى تعيين مصداق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أصل البحث في هذا الموضوع منصبّ على تحديد 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ذهب أبناء العامّة من المسلمين إلى أنّ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بكر بن أبي قحافة؛ وذلك لانعدام وجود نصّ نبويّ صريح يحدّد الإمام والخليفة من بعده، ولأنّ المسلمين قد أجمعوا عليه، وما تميّز به من فضائل أمّا أتباع المذهب الإماميّ فذهبوا إلى أنّ الإمام والخليفة المباشر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ورد من نصوص شريفة جليّة، ولما قام من دلائل عقليّة على ذلك، ناهيك عما تميّز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فريدة ومناقب جليلة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استدلّ علماء الإماميّة ببراهين عديدة من جملتها أدلّة عقليّة، وأخرى استُشهد فيها بالآيات القرآنية والأحاديث القدسيّة والنبويّة وما روي عن أمير المؤمنين وولده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الإمامة الخاصّة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تناول العلّامة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العلّامة السيّد حامد 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بالمير حامد حسين الهنديّ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الأحاديث الدالّة على هذا الأمر في مصادر أهل السنّة</w:t>
      </w:r>
      <w:r>
        <w:rPr>
          <w:rFonts w:eastAsia="Amiri" w:cs="Amiri" w:ascii="Amiri" w:hAnsi="Amiri"/>
          <w:color w:val="111111"/>
          <w:sz w:val="28"/>
          <w:szCs w:val="28"/>
          <w:rtl w:val="true"/>
          <w:lang w:bidi="ar-SA"/>
        </w:rPr>
        <w:t xml:space="preserve">. </w:t>
      </w:r>
      <w:bookmarkStart w:id="201" w:name="pg16299_219501"/>
    </w:p>
    <w:p>
      <w:pPr>
        <w:pStyle w:val="BookText"/>
        <w:rPr/>
      </w:pPr>
      <w:bookmarkEnd w:id="201"/>
      <w:r>
        <w:rPr>
          <w:rFonts w:ascii="Amiri" w:hAnsi="Amiri" w:eastAsia="Amiri" w:cs="Amiri"/>
          <w:color w:val="111111"/>
          <w:sz w:val="28"/>
          <w:sz w:val="28"/>
          <w:szCs w:val="28"/>
          <w:rtl w:val="true"/>
          <w:lang w:bidi="ar-SA"/>
        </w:rPr>
        <w:t>وتنقسم أدلّة إثبات الإمامة الخاصّة إلى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عقليّة، وأخرى 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الأدلّة النقليّة فهي منقسمة بدورها إلى عامّة، وخاصة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الأدلّة النقليّة العامّة هي الأدلّة التي عرضت إثبات إمامة مجموع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السفينة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والأدلّة النقليّة الخاصّة هي الأدلّة تناولت الكرامات الخاصّة لكلّ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الروايات الخاصّة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الناظرة إلى إثبات إمامة الأئمّة الاثني عشر فرداً 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يأتي نستعرض كوكبة من الأدلّة المثبتة للإمامة الخاصّة؛ نقليّة وعقليّة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5369717_1280447820"/>
      <w:bookmarkStart w:id="203" w:name="_Toc77"/>
      <w:bookmarkEnd w:id="202"/>
      <w:r>
        <w:rPr/>
        <w:t>24</w:t>
      </w:r>
      <w:r>
        <w:rPr>
          <w:rtl w:val="true"/>
        </w:rPr>
        <w:t xml:space="preserve"> /</w:t>
      </w:r>
      <w:r>
        <w:rPr/>
        <w:t>2</w:t>
      </w:r>
      <w:r>
        <w:rPr>
          <w:rtl w:val="true"/>
        </w:rPr>
        <w:t xml:space="preserve">. </w:t>
      </w:r>
      <w:r>
        <w:rPr>
          <w:rtl w:val="true"/>
        </w:rPr>
        <w:t xml:space="preserve">أفضليّة أمير المؤمنين </w:t>
      </w:r>
      <w:r>
        <w:rPr>
          <w:rtl w:val="true"/>
        </w:rPr>
        <w:t>(</w:t>
      </w:r>
      <w:r>
        <w:rPr>
          <w:rtl w:val="true"/>
        </w:rPr>
        <w:t>علیه السلام</w:t>
      </w:r>
      <w:r>
        <w:rPr>
          <w:rtl w:val="true"/>
        </w:rPr>
        <w:t>) :</w:t>
      </w:r>
      <w:bookmarkEnd w:id="203"/>
    </w:p>
    <w:p>
      <w:pPr>
        <w:pStyle w:val="Heading5"/>
        <w:numPr>
          <w:ilvl w:val="4"/>
          <w:numId w:val="1"/>
        </w:numPr>
        <w:rPr/>
      </w:pPr>
      <w:bookmarkStart w:id="204" w:name="__RefHeading___Toc5369719_1280447820"/>
      <w:bookmarkStart w:id="205" w:name="_Toc78"/>
      <w:bookmarkEnd w:id="204"/>
      <w:r>
        <w:rPr>
          <w:rtl w:val="true"/>
        </w:rPr>
        <w:t>إشارة</w:t>
      </w:r>
      <w:bookmarkEnd w:id="20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أفضليّة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معتقد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لإمامته، وباعتراف كلّ من الشيعة والسنّة؛ لم يكن بين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يضاهي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كلّ من المحقّق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وعشرين نموذجاً لأفضليّة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ويلازم بيان الأمثلة والنماذج التي تظهر أفضليّة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الإثبات العقليّ على إمامته؛ إذ من الواجب أن يكون خليفة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مقامه من بعده هو الأفضل بين صحابته، وطالما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الأفضل بينهم جميعاً، فقد وجب أن يكون هو الخليفة</w:t>
      </w:r>
      <w:r>
        <w:rPr>
          <w:rFonts w:eastAsia="IRNazanin" w:cs="IRNazanin"/>
          <w:color w:val="111111"/>
          <w:sz w:val="28"/>
          <w:szCs w:val="28"/>
          <w:rtl w:val="true"/>
          <w:lang w:bidi="fa-IR"/>
        </w:rPr>
        <w:t xml:space="preserve">. </w:t>
      </w:r>
      <w:bookmarkStart w:id="206" w:name="pg16299_219502"/>
    </w:p>
    <w:p>
      <w:pPr>
        <w:pStyle w:val="BookText"/>
        <w:rPr/>
      </w:pPr>
      <w:bookmarkEnd w:id="206"/>
      <w:r>
        <w:rPr>
          <w:rFonts w:ascii="IRNazanin" w:hAnsi="IRNazanin" w:eastAsia="IRNazanin"/>
          <w:color w:val="111111"/>
          <w:sz w:val="28"/>
          <w:sz w:val="28"/>
          <w:szCs w:val="28"/>
          <w:rtl w:val="true"/>
          <w:lang w:bidi="fa-IR"/>
        </w:rPr>
        <w:t xml:space="preserve">ويمكن استعراض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عهود من حياته الشريفة؛ امتدّت لثلاثة وستّين عاماً؛ وهي على التفصيل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التي قضاها في كنف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يتربّى في أحضانه، وينهل من نمير علومه؛ وهي فترة امتدّت لعشرة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التي أمضاها بعد إعلان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فيها جاهداً لخدمة الدين وتثبيت أركان الشريعة؛ وهي فترة امتدّت ثلاثة وعشرين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التي حافظ فيها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شوكة الإسلام ووحدة المسلمين بعد أن لم تُنفّذ الأمّة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فقعد عن المطالبة بحقّه؛ وهي فترة امتدّت خمسة وعشرين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التي عاد فيها العدل إلى نصابه، وتولّى فيها الإمام سدّة الحكم، وهي فترة لم تتجاوز الأربعة أعوام وتسعة أشهر طبق خلالها معالم العدالة في حكومته الراشدة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عرض كلّ من المحقّق الطوسيّ </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الحلّي </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العهود الأربعة من حياته، ضمن خمسة وعشرين نقطة نستعرضها فيما يأتي</w:t>
      </w:r>
      <w:r>
        <w:rPr>
          <w:rFonts w:eastAsia="IRNazanin" w:cs="IRNazanin"/>
          <w:color w:val="111111"/>
          <w:sz w:val="28"/>
          <w:szCs w:val="28"/>
          <w:rtl w:val="true"/>
          <w:lang w:bidi="fa-IR"/>
        </w:rPr>
        <w:t>:</w:t>
      </w:r>
    </w:p>
    <w:p>
      <w:pPr>
        <w:pStyle w:val="Heading5"/>
        <w:numPr>
          <w:ilvl w:val="4"/>
          <w:numId w:val="1"/>
        </w:numPr>
        <w:rPr/>
      </w:pPr>
      <w:bookmarkStart w:id="207" w:name="__RefHeading___Toc5369721_1280447820"/>
      <w:bookmarkStart w:id="208" w:name="_Toc79"/>
      <w:bookmarkEnd w:id="207"/>
      <w:r>
        <w:rPr/>
        <w:t>24</w:t>
      </w:r>
      <w:r>
        <w:rPr>
          <w:rtl w:val="true"/>
        </w:rPr>
        <w:t xml:space="preserve"> /</w:t>
      </w:r>
      <w:r>
        <w:rPr/>
        <w:t>2</w:t>
      </w:r>
      <w:r>
        <w:rPr>
          <w:rtl w:val="true"/>
        </w:rPr>
        <w:t xml:space="preserve"> /</w:t>
      </w:r>
      <w:r>
        <w:rPr/>
        <w:t>1</w:t>
      </w:r>
      <w:r>
        <w:rPr>
          <w:rtl w:val="true"/>
        </w:rPr>
        <w:t xml:space="preserve">. </w:t>
      </w:r>
      <w:r>
        <w:rPr>
          <w:rtl w:val="true"/>
        </w:rPr>
        <w:t>الفضيلة الأولى</w:t>
      </w:r>
      <w:r>
        <w:rPr>
          <w:rtl w:val="true"/>
        </w:rPr>
        <w:t>:</w:t>
      </w:r>
      <w:bookmarkEnd w:id="208"/>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جهاداً وأعظم بلاء في غزوات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بأجمعها، ولم يبلغ أحد درجته في ذلك؛ منها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بدر؛ وهي أوّل حرب امتحن بها المؤمنون لقلّتهم وكثرة المشركين، فقتل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عتبة بن ربيعة وشيبة بن ربيعة، ثمّ العاص بن سعيد بن </w:t>
      </w:r>
    </w:p>
    <w:p>
      <w:pPr>
        <w:pStyle w:val="BookText"/>
        <w:rPr/>
      </w:pPr>
      <w:r>
        <w:rPr>
          <w:rFonts w:ascii="IRNazanin" w:hAnsi="IRNazanin" w:eastAsia="IRNazanin"/>
          <w:color w:val="111111"/>
          <w:sz w:val="28"/>
          <w:sz w:val="28"/>
          <w:szCs w:val="28"/>
          <w:rtl w:val="true"/>
          <w:lang w:bidi="fa-IR"/>
        </w:rPr>
        <w:t xml:space="preserve">العاص، ثمّ حنظلة بن أبي سفيان ثمّ طعيمة بن عدي، ثم نوفل بن خويلد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شجاعاً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يكفيه أمره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يزل يقاتل حتى قتل نصف المشركين المقتولين والباقي من المسلمين وثلاثة آلاف من الملائكة مسوّمين قتلوا النصف الآخر، ومع ذلك كانت الراية في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حيث جمع له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اللواء والراية، وكانت راية المشركين مع طلحة بن أبي طلحة ؛ وكان يسمّى كبش الكتيبة، فقتله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الراية غيره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يزل يقتل واحداً بعد واحد حتى قتل تسعة نفر، فانهزم المشركون واشتغل المسلمون بالغنائم فحمل خالد بن الوليد بأصحابه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فضربوه بالسيوف والرماح والحجر حتى غشي عليه فانهزم الناس عنه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إفاقته،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اكفني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فهزمهم عنه، وكان أكثر المقتولين بسيفه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الأحزاب، وقد بالغ في قتل المشركين ، وقتل عمرو بن عبدود الذي كان بطل المشركين، ودعا إلى البراز مراراً، فامتنع عنه المسلمون،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مبارزته،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 من ذلك لينظر صنع المسلمين، فلمّا رأى امتناعهم أذن له، وعمّمه بعمامته، ودعا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عَمْراً إلى المبارزة أحجم المسلمون عنه كافّة، ما خلا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برز إليه، فقتله الله على يديه والذي نفس حذيفة بيده لعمله في ذلك اليوم أعظم أجراً من عمل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وكان الفتح في ذلك اليوم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لضربة عليّ خير من عبادة الثقلين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خيبر، وصيت جهاده فيها غير خفيّ، وقد نصر الله الإسلام على يديه،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حصنهم بضعة عشر يوماً، وكانت الراية بيد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الرمد، فسلّم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الراية إلى أبي بكر ومعه جماعة، فرجعوا منهزمين خائفين، فدفعها في الغد إلى عمر بن الخطّاب، فصنع كالذي سبقه،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لأُسلّمنّ الراية </w:t>
      </w:r>
      <w:bookmarkStart w:id="209" w:name="pg16299_219504"/>
    </w:p>
    <w:p>
      <w:pPr>
        <w:pStyle w:val="BookText"/>
        <w:rPr/>
      </w:pPr>
      <w:bookmarkEnd w:id="209"/>
      <w:r>
        <w:rPr>
          <w:rFonts w:ascii="IRNazanin" w:hAnsi="IRNazanin" w:eastAsia="IRNazanin"/>
          <w:color w:val="111111"/>
          <w:sz w:val="28"/>
          <w:sz w:val="28"/>
          <w:szCs w:val="28"/>
          <w:rtl w:val="true"/>
          <w:lang w:bidi="fa-IR"/>
        </w:rPr>
        <w:t>غداً إلى رجل يحبّه الله ورسوله ويحبُّ الله ورسوله كرّارٍ غير فرّار، لا يرجع حتى يُفتَح على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أصبح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ايتوني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رمد، فتفل في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الراية إليه، فقتل مرحباً، فانهزم أصحابه وغلقوا الأبواب، ففتح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،واقتلعه وجعله جسراً على الخندق وعبروا وظفروا، فلمّا انصرفوا أخذه بيمينه ودحاه أذرعاً، وكان يغلقه عشرون وعجز المسلمون عن نقله حتى نقله سبعون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قلعتُ باب خيبر ورميت بها خلف ظهري أربعين ذراعاً بقوّة جسديّة، ولا حركة غذائيّة، لكنّي أيّدتُ بقوّة ملكوتيّة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5369723_1280447820"/>
      <w:bookmarkStart w:id="211" w:name="_Toc80"/>
      <w:bookmarkEnd w:id="210"/>
      <w:r>
        <w:rPr/>
        <w:t>24</w:t>
      </w:r>
      <w:r>
        <w:rPr>
          <w:rtl w:val="true"/>
        </w:rPr>
        <w:t xml:space="preserve"> /</w:t>
      </w:r>
      <w:r>
        <w:rPr/>
        <w:t>2</w:t>
      </w:r>
      <w:r>
        <w:rPr>
          <w:rtl w:val="true"/>
        </w:rPr>
        <w:t xml:space="preserve"> /</w:t>
      </w:r>
      <w:r>
        <w:rPr/>
        <w:t>2</w:t>
      </w:r>
      <w:r>
        <w:rPr>
          <w:rtl w:val="true"/>
        </w:rPr>
        <w:t xml:space="preserve">. </w:t>
      </w:r>
      <w:r>
        <w:rPr>
          <w:rtl w:val="true"/>
        </w:rPr>
        <w:t>الفضيلة الثانية</w:t>
      </w:r>
      <w:r>
        <w:rPr>
          <w:rtl w:val="true"/>
        </w:rPr>
        <w:t>:</w:t>
      </w:r>
      <w:bookmarkEnd w:id="211"/>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هذه الأمّة؛ فقد أطبق المسلمون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أعلى مراتب الذكاء وقوّة الفكر والحدس، وقد نشأ في حجر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ملازماً له، مستفيداً منه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أَلْفَ بَابٍ مِنَ العِلْمِ، فَفَتَحَ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مِنْ كُلُّ بَابٍ أَلْف تبب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أكمل الناس وأفضلهم، ومع حصول القبول التام والمؤثر الكامل يكون الفعل أقوى وأتمّ، وهذا برهان 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ذلك أنّ الأحكام الشرعيّة كانت تشتبه أحياناً على الصحابة، وربّما أفتى بعضهم خطأ، وقد كانوا يراجعونه في ذلك، ولم يُنقَل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أحداً منهم في شيء البتة، وذلك يدلّ على أنّه أفضل من غيره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روي من ذلك أنّ رجلاً من اليهود لقي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الله تعالى؟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العرش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خلت الأرض منه حيث اختصّ ببعض الأمكنة، فانصرف اليهودي متهكّماً بالإسلام، فلقيه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جلّ وعزّ أيّن الأين فلا أين له، وجلّ عن أن يحويه مكان، وهو في كلّ مكان بغير مماسّة ولا مجاورة ،يحيط علماً بما فيها ولا يخلو شيء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فأسلم على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وسئل أبو بكر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فحار جواباً، حتّى فسرّهما الإمام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عمر بن الخطّاب عن أحكام كثيرة فحكم فيها بغير الصواب، فاعترضه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فرجع عمّا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عنه أيضاً إسقاط حدّ الشرب عن قدامة بن مظعون لما تلا عليه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وعملوا الصالحات لا يستحلّون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بردّه، واستتابته؛ فإن تاب فاجلده وإلّا فاقتله، فتاب ولم يدرِ عمر كم يحدّه، فأمره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بحدّه ثمانين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واقعة أخرى أمر عمر برجم مجنونة زنت، فردّه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عن المجنون حتّى يفيق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الخليفة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أيضاً أنّ امرأةً ولدت لستّة أشهر، فأمر عمر برجمها،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أقلّ الحمل ستة أشهر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وَفِصَالُهُ فِي عَامَيْنِ،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أمر الخليفة الثاني أيضاً برجم امرأة حامل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لك سبيل عليها فليس لك على ما في بطنها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w:t>
      </w:r>
      <w:r>
        <w:rPr>
          <w:rFonts w:eastAsia="IRNazanin" w:cs="IRNazanin"/>
          <w:color w:val="111111"/>
          <w:sz w:val="28"/>
          <w:szCs w:val="28"/>
          <w:rtl w:val="true"/>
          <w:lang w:bidi="fa-IR"/>
        </w:rPr>
        <w:t xml:space="preserve">. </w:t>
      </w:r>
      <w:bookmarkStart w:id="212" w:name="pg16299_219506"/>
    </w:p>
    <w:p>
      <w:pPr>
        <w:pStyle w:val="BookText"/>
        <w:rPr/>
      </w:pPr>
      <w:bookmarkEnd w:id="212"/>
      <w:r>
        <w:rPr>
          <w:rFonts w:ascii="Amiri" w:hAnsi="Amiri" w:eastAsia="Amiri" w:cs="Amiri"/>
          <w:color w:val="111111"/>
          <w:sz w:val="28"/>
          <w:sz w:val="28"/>
          <w:szCs w:val="28"/>
          <w:rtl w:val="true"/>
          <w:lang w:bidi="ar-SA"/>
        </w:rPr>
        <w:t>وغير ذلك من الوقائع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اتّفق المسلمون في رواية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أقضاكم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والقضاء يستلزم العلم، فيكون أفضل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استناد العلماء بأسرهم إليه ؛ فإنّ علم النحو مستند إليه،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المعارف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أبا الحسن الأشعريّ تلميذ أبي علي الجبائيّ من المعتزلة وجميع المعتزلة ينتسبون إليه، ويدعون أخذ معارفهم منه، وأهل التفسير رجعوا إلى ابن عباس فيه وهو تلميذ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والفقهاء ينتسبون إليه، والخوارج مع بعدهم عنه ينتسبون إلى أكابرهم؛ وهم تلامذة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13" w:name="__RefHeading___Toc5369725_1280447820"/>
      <w:bookmarkStart w:id="214" w:name="_Toc81"/>
      <w:bookmarkEnd w:id="213"/>
      <w:r>
        <w:rPr/>
        <w:t>24</w:t>
      </w:r>
      <w:r>
        <w:rPr>
          <w:rtl w:val="true"/>
        </w:rPr>
        <w:t xml:space="preserve"> /</w:t>
      </w:r>
      <w:r>
        <w:rPr/>
        <w:t>2</w:t>
      </w:r>
      <w:r>
        <w:rPr>
          <w:rtl w:val="true"/>
        </w:rPr>
        <w:t xml:space="preserve"> /</w:t>
      </w:r>
      <w:r>
        <w:rPr/>
        <w:t>3</w:t>
      </w:r>
      <w:r>
        <w:rPr>
          <w:rtl w:val="true"/>
        </w:rPr>
        <w:t xml:space="preserve">. </w:t>
      </w:r>
      <w:r>
        <w:rPr>
          <w:rtl w:val="true"/>
        </w:rPr>
        <w:t>الفضيلة الثالثة</w:t>
      </w:r>
      <w:r>
        <w:rPr>
          <w:rtl w:val="true"/>
        </w:rPr>
        <w:t>:</w:t>
      </w:r>
      <w:bookmarkEnd w:id="214"/>
    </w:p>
    <w:p>
      <w:p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وأطبق المفسّرون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نفسيهما واحدة؛ فلم يبق المراد من ذلك إلّا المساوي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فمساويه كذلك أيضاً</w:t>
      </w:r>
      <w:r>
        <w:rPr>
          <w:rFonts w:eastAsia="IRNazanin" w:cs="IRNazanin"/>
          <w:color w:val="111111"/>
          <w:sz w:val="28"/>
          <w:szCs w:val="28"/>
          <w:rtl w:val="true"/>
          <w:lang w:bidi="fa-IR"/>
        </w:rPr>
        <w:t>.</w:t>
      </w:r>
    </w:p>
    <w:p>
      <w:pPr>
        <w:pStyle w:val="Heading5"/>
        <w:numPr>
          <w:ilvl w:val="4"/>
          <w:numId w:val="1"/>
        </w:numPr>
        <w:rPr/>
      </w:pPr>
      <w:bookmarkStart w:id="215" w:name="__RefHeading___Toc5369727_1280447820"/>
      <w:bookmarkStart w:id="216" w:name="_Toc82"/>
      <w:bookmarkEnd w:id="215"/>
      <w:r>
        <w:rPr/>
        <w:t>24</w:t>
      </w:r>
      <w:r>
        <w:rPr>
          <w:rtl w:val="true"/>
        </w:rPr>
        <w:t xml:space="preserve"> /</w:t>
      </w:r>
      <w:r>
        <w:rPr/>
        <w:t>2</w:t>
      </w:r>
      <w:r>
        <w:rPr>
          <w:rtl w:val="true"/>
        </w:rPr>
        <w:t xml:space="preserve"> /</w:t>
      </w:r>
      <w:r>
        <w:rPr/>
        <w:t>4</w:t>
      </w:r>
      <w:r>
        <w:rPr>
          <w:rtl w:val="true"/>
        </w:rPr>
        <w:t xml:space="preserve">. </w:t>
      </w:r>
      <w:r>
        <w:rPr>
          <w:rtl w:val="true"/>
        </w:rPr>
        <w:t xml:space="preserve">الفضيلة الرابعة </w:t>
      </w:r>
      <w:r>
        <w:rPr>
          <w:rtl w:val="true"/>
        </w:rPr>
        <w:t>:</w:t>
      </w:r>
      <w:bookmarkEnd w:id="2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السخاء على غيره، فقد روي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أسخى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أنّه جاد بقوته وقوت عياله، وبات طاوياً هو وإيّاهم ثلاثة أيام؛ حتى أنزل الله سُبحَانَهُ وَتَعَالى في حقّهم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17" w:name="pg16299_219507"/>
    </w:p>
    <w:p>
      <w:pPr>
        <w:pStyle w:val="BookText"/>
        <w:rPr/>
      </w:pPr>
      <w:bookmarkEnd w:id="217"/>
      <w:r>
        <w:rPr>
          <w:rFonts w:ascii="Amiri" w:hAnsi="Amiri" w:eastAsia="Amiri" w:cs="Amiri"/>
          <w:color w:val="111111"/>
          <w:sz w:val="28"/>
          <w:sz w:val="28"/>
          <w:szCs w:val="28"/>
          <w:rtl w:val="true"/>
          <w:lang w:bidi="ar-SA"/>
        </w:rPr>
        <w:t>وتصدّق مرّة أخرى بجميع ما يملكه، وقد كان حينئذ لا يملك أكثر من أربعة دراهم؛ فتصدّق بدرهم ليلاً، وبدرهم نهاراً، وبدرهم سراً، وبدرهم علانية، فأنزل الله تَبَارَكَ وَتَعَالى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يعمل بالأجرة ويتصدّق بها، ويشدّ على بطنه الحجر من شدّة الجوع، وشهد له بذلك أعداؤه فضلاً عن أوليائه ؛ قال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ملك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من تبر وبيتاً من تبن؛ لأنفد تبره قبل تبنه، ولم يخلف شيئاً أصلاً</w:t>
      </w:r>
      <w:r>
        <w:rPr>
          <w:rFonts w:eastAsia="IRNazanin" w:cs="IRNazanin"/>
          <w:color w:val="111111"/>
          <w:sz w:val="28"/>
          <w:szCs w:val="28"/>
          <w:rtl w:val="true"/>
          <w:lang w:bidi="fa-IR"/>
        </w:rPr>
        <w:t>».</w:t>
      </w:r>
    </w:p>
    <w:p>
      <w:pPr>
        <w:pStyle w:val="Heading5"/>
        <w:numPr>
          <w:ilvl w:val="4"/>
          <w:numId w:val="1"/>
        </w:numPr>
        <w:rPr/>
      </w:pPr>
      <w:bookmarkStart w:id="218" w:name="__RefHeading___Toc5369729_1280447820"/>
      <w:bookmarkStart w:id="219" w:name="_Toc83"/>
      <w:bookmarkEnd w:id="218"/>
      <w:r>
        <w:rPr/>
        <w:t>24</w:t>
      </w:r>
      <w:r>
        <w:rPr>
          <w:rtl w:val="true"/>
        </w:rPr>
        <w:t xml:space="preserve"> /</w:t>
      </w:r>
      <w:r>
        <w:rPr/>
        <w:t>2</w:t>
      </w:r>
      <w:r>
        <w:rPr>
          <w:rtl w:val="true"/>
        </w:rPr>
        <w:t xml:space="preserve"> /</w:t>
      </w:r>
      <w:r>
        <w:rPr/>
        <w:t>5</w:t>
      </w:r>
      <w:r>
        <w:rPr>
          <w:rtl w:val="true"/>
        </w:rPr>
        <w:t>.</w:t>
      </w:r>
      <w:r>
        <w:rPr>
          <w:rtl w:val="true"/>
        </w:rPr>
        <w:t>الفضيلة الخامسة</w:t>
      </w:r>
      <w:r>
        <w:rPr>
          <w:rtl w:val="true"/>
        </w:rPr>
        <w:t>:</w:t>
      </w:r>
      <w:bookmarkEnd w:id="219"/>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أزهد 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وبيانه أنّه كان سيّد الأبدال، وإليه تُشدّ الرحال في معرفة الزهد والتسليك فيه وترتيب أحوال الرياضات، وذكر مقامات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أخشن الناس مأكلاً وملبساً، ولم يشبع من طعام قطّ، قال عبيد الله بن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يوماً فقدّم جراباً مختوماً فوجدنا فيه خبز شعير يابساً مرضوضاً، فأكل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كيف تختمه؟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 هذين الولدين يلتّانه بزيت أو 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شيء اختصّ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يشاركه فيه غيره، ولم ينل أحد بعض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نعلاه من ليف، ويرقع قميصه بجلد تارة، وبليف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أن يأتدّم، فإن فعل فبالملح أو بالخلّ، فإن ترقّى فبنبات الأرض، فإن ترقّى فبلبن، وكان لا يأكل اللحم إلّا قليلاً ويقول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تجعلوا بطونكم مقابر الحيوان</w:t>
      </w:r>
      <w:r>
        <w:rPr>
          <w:rFonts w:eastAsia="IRNazanin" w:cs="IRNazanin"/>
          <w:color w:val="111111"/>
          <w:sz w:val="28"/>
          <w:szCs w:val="28"/>
          <w:rtl w:val="true"/>
          <w:lang w:bidi="fa-IR"/>
        </w:rPr>
        <w:t>».</w:t>
      </w:r>
    </w:p>
    <w:p>
      <w:pPr>
        <w:pStyle w:val="Heading5"/>
        <w:numPr>
          <w:ilvl w:val="4"/>
          <w:numId w:val="1"/>
        </w:numPr>
        <w:rPr/>
      </w:pPr>
      <w:bookmarkStart w:id="220" w:name="__RefHeading___Toc5369731_1280447820"/>
      <w:bookmarkStart w:id="221" w:name="_Toc84"/>
      <w:bookmarkEnd w:id="220"/>
      <w:r>
        <w:rPr/>
        <w:t>24</w:t>
      </w:r>
      <w:r>
        <w:rPr>
          <w:rtl w:val="true"/>
        </w:rPr>
        <w:t xml:space="preserve"> /</w:t>
      </w:r>
      <w:r>
        <w:rPr/>
        <w:t>2</w:t>
      </w:r>
      <w:r>
        <w:rPr>
          <w:rtl w:val="true"/>
        </w:rPr>
        <w:t xml:space="preserve"> /</w:t>
      </w:r>
      <w:r>
        <w:rPr/>
        <w:t>6</w:t>
      </w:r>
      <w:r>
        <w:rPr>
          <w:rtl w:val="true"/>
        </w:rPr>
        <w:t>.</w:t>
      </w:r>
      <w:r>
        <w:rPr>
          <w:rtl w:val="true"/>
        </w:rPr>
        <w:t xml:space="preserve">الفضيلة السادسة </w:t>
      </w:r>
      <w:r>
        <w:rPr>
          <w:rtl w:val="true"/>
        </w:rPr>
        <w:t>:</w:t>
      </w:r>
      <w:bookmarkEnd w:id="2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تعلّم الناس صلاة الليل، واستفادوا منه ترتيب النوافل والدعوات وكانت جبهته كثفنة البعير لطول سجوده، وكان يحافظ </w:t>
      </w:r>
      <w:bookmarkStart w:id="222" w:name="pg16299_219508"/>
    </w:p>
    <w:p>
      <w:pPr>
        <w:pStyle w:val="BookText"/>
        <w:rPr/>
      </w:pPr>
      <w:bookmarkEnd w:id="222"/>
      <w:r>
        <w:rPr>
          <w:rFonts w:ascii="IRNazanin" w:hAnsi="IRNazanin" w:eastAsia="IRNazanin"/>
          <w:color w:val="111111"/>
          <w:sz w:val="28"/>
          <w:sz w:val="28"/>
          <w:szCs w:val="28"/>
          <w:rtl w:val="true"/>
          <w:lang w:bidi="fa-IR"/>
        </w:rPr>
        <w:t xml:space="preserve">على النافلة؛ حتى إنّه بسط له بين الصفين نطع ليلة الهرير؛ فصلّى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والسهام تقع بين يديه وإلى جوانبه وكانوا يستخرجون النصول من جسده وقت الصلاة لالتفاته بالكليّة إلى الله سُبحَانَهُ وَتَعَالَى حتى لا يبقى له التفات إلى غيره</w:t>
      </w:r>
      <w:r>
        <w:rPr>
          <w:rFonts w:eastAsia="IRNazanin" w:cs="IRNazanin"/>
          <w:color w:val="111111"/>
          <w:sz w:val="28"/>
          <w:szCs w:val="28"/>
          <w:rtl w:val="true"/>
          <w:lang w:bidi="fa-IR"/>
        </w:rPr>
        <w:t>.</w:t>
      </w:r>
    </w:p>
    <w:p>
      <w:pPr>
        <w:pStyle w:val="Heading5"/>
        <w:numPr>
          <w:ilvl w:val="4"/>
          <w:numId w:val="1"/>
        </w:numPr>
        <w:rPr/>
      </w:pPr>
      <w:bookmarkStart w:id="223" w:name="__RefHeading___Toc5369733_1280447820"/>
      <w:bookmarkStart w:id="224" w:name="_Toc85"/>
      <w:bookmarkEnd w:id="223"/>
      <w:r>
        <w:rPr/>
        <w:t>24</w:t>
      </w:r>
      <w:r>
        <w:rPr>
          <w:rtl w:val="true"/>
        </w:rPr>
        <w:t xml:space="preserve"> /</w:t>
      </w:r>
      <w:r>
        <w:rPr/>
        <w:t>2</w:t>
      </w:r>
      <w:r>
        <w:rPr>
          <w:rtl w:val="true"/>
        </w:rPr>
        <w:t xml:space="preserve"> /</w:t>
      </w:r>
      <w:r>
        <w:rPr/>
        <w:t>7</w:t>
      </w:r>
      <w:r>
        <w:rPr>
          <w:rtl w:val="true"/>
        </w:rPr>
        <w:t>.</w:t>
      </w:r>
      <w:r>
        <w:rPr>
          <w:rtl w:val="true"/>
        </w:rPr>
        <w:t xml:space="preserve">الفضيلة السابعة </w:t>
      </w:r>
      <w:r>
        <w:rPr>
          <w:rtl w:val="true"/>
        </w:rPr>
        <w:t>:</w:t>
      </w:r>
      <w:bookmarkEnd w:id="224"/>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أحلم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يقابل أحداً بإساءته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عن مروان بن الحكم يوم الجمل وكان شديد العداوة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وعفا عن عبد الله بن الزبير لما استأسره يوم الجمل، وكان يشتمه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الزبير رجلاً منّا أهل البيت حتى شبّ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وعفا عن سعيد بن العاص وكان عدوّاً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وأكرم عائشة، وبعثها إلى المدينة مع عشرين امرأة عقيب حربها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 عن أهل البصرة مع محاربتهم له، ولما حارب معاوية سبق أصحاب معاوية إلى الشريعة فمنعوه من الماء، فلما اشتدّ العطش بأصحابه حمل عليهم، وفرّقهم، وملك الشريعة، فأراد أصحابه أن يفعلوا بهم كذلك، فنهاهم عن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أفسحوا بعض الشريعة ففي حدّ السيف ما يغني عن ذلك</w:t>
      </w:r>
      <w:r>
        <w:rPr>
          <w:rFonts w:eastAsia="IRNazanin" w:cs="IRNazanin"/>
          <w:color w:val="111111"/>
          <w:sz w:val="28"/>
          <w:szCs w:val="28"/>
          <w:rtl w:val="true"/>
          <w:lang w:bidi="fa-IR"/>
        </w:rPr>
        <w:t>».</w:t>
      </w:r>
    </w:p>
    <w:p>
      <w:pPr>
        <w:pStyle w:val="Heading5"/>
        <w:numPr>
          <w:ilvl w:val="4"/>
          <w:numId w:val="1"/>
        </w:numPr>
        <w:rPr/>
      </w:pPr>
      <w:bookmarkStart w:id="225" w:name="__RefHeading___Toc5369735_1280447820"/>
      <w:bookmarkStart w:id="226" w:name="_Toc86"/>
      <w:bookmarkEnd w:id="225"/>
      <w:r>
        <w:rPr/>
        <w:t>24</w:t>
      </w:r>
      <w:r>
        <w:rPr>
          <w:rtl w:val="true"/>
        </w:rPr>
        <w:t xml:space="preserve"> /</w:t>
      </w:r>
      <w:r>
        <w:rPr/>
        <w:t>2</w:t>
      </w:r>
      <w:r>
        <w:rPr>
          <w:rtl w:val="true"/>
        </w:rPr>
        <w:t xml:space="preserve"> /</w:t>
      </w:r>
      <w:r>
        <w:rPr/>
        <w:t>8</w:t>
      </w:r>
      <w:r>
        <w:rPr>
          <w:rtl w:val="true"/>
        </w:rPr>
        <w:t>.</w:t>
      </w:r>
      <w:r>
        <w:rPr>
          <w:rtl w:val="true"/>
        </w:rPr>
        <w:t>الفضيلة الثامنة</w:t>
      </w:r>
      <w:r>
        <w:rPr>
          <w:rtl w:val="true"/>
        </w:rPr>
        <w:t>:</w:t>
      </w:r>
      <w:bookmarkEnd w:id="226"/>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الناس خلقاً، وأطلقهم وجهاً ؛ قال صعصعة بن صوحان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فينا كأحدنا، لين جانب، وشدّة تواضع، وسهولة قياد، وكنّا نهابه مهابة الأسير المربوط للسيّاف الواقف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معاوية لقيس بن سعد رحم الله أبا حسن؛ فلقد كان هشّاً بشّاً ذا فكاهة، فقال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لقد كان مع تلك الفكاهة والطلاقة أهيب من ذي لبدتين قد مسّه الطوى، تلك هيبة التقوى ليس كما يهابك طغام الشام </w:t>
      </w:r>
      <w:r>
        <w:rPr>
          <w:rFonts w:eastAsia="IRNazanin" w:cs="IRNazanin"/>
          <w:color w:val="111111"/>
          <w:sz w:val="28"/>
          <w:szCs w:val="28"/>
          <w:rtl w:val="true"/>
          <w:lang w:bidi="fa-IR"/>
        </w:rPr>
        <w:t>.</w:t>
      </w:r>
    </w:p>
    <w:p>
      <w:pPr>
        <w:pStyle w:val="Heading5"/>
        <w:numPr>
          <w:ilvl w:val="4"/>
          <w:numId w:val="1"/>
        </w:numPr>
        <w:rPr/>
      </w:pPr>
      <w:bookmarkStart w:id="227" w:name="__RefHeading___Toc5369737_1280447820"/>
      <w:bookmarkStart w:id="228" w:name="_Toc87"/>
      <w:bookmarkEnd w:id="227"/>
      <w:r>
        <w:rPr/>
        <w:t>24</w:t>
      </w:r>
      <w:r>
        <w:rPr>
          <w:rtl w:val="true"/>
        </w:rPr>
        <w:t xml:space="preserve"> /</w:t>
      </w:r>
      <w:r>
        <w:rPr/>
        <w:t>2</w:t>
      </w:r>
      <w:r>
        <w:rPr>
          <w:rtl w:val="true"/>
        </w:rPr>
        <w:t xml:space="preserve"> /</w:t>
      </w:r>
      <w:r>
        <w:rPr/>
        <w:t>9</w:t>
      </w:r>
      <w:r>
        <w:rPr>
          <w:rtl w:val="true"/>
        </w:rPr>
        <w:t>.</w:t>
      </w:r>
      <w:r>
        <w:rPr>
          <w:rtl w:val="true"/>
        </w:rPr>
        <w:t>الفضيلة التاسعة</w:t>
      </w:r>
      <w:bookmarkEnd w:id="22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أقدم الناس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سلمان الفارسي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أوّلكم وروداً علىَّ الحوض أوّلكم إسلاماً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أنس</w:t>
      </w:r>
      <w:r>
        <w:rPr>
          <w:rFonts w:eastAsia="Amiri" w:cs="Amiri" w:ascii="Amiri" w:hAnsi="Amiri"/>
          <w:color w:val="111111"/>
          <w:sz w:val="28"/>
          <w:szCs w:val="28"/>
          <w:rtl w:val="true"/>
          <w:lang w:bidi="ar-SA"/>
        </w:rPr>
        <w:t xml:space="preserve">: </w:t>
      </w:r>
      <w:bookmarkStart w:id="229" w:name="pg16299_219509"/>
    </w:p>
    <w:p>
      <w:pPr>
        <w:pStyle w:val="BookText"/>
        <w:rPr/>
      </w:pPr>
      <w:bookmarkEnd w:id="229"/>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وأسلم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أقدمهم سلماً،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البلوغ، فلا اعتبار به؛ فلأنّ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ستّاً وستين سنة أو خمساً وستّين،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الوحي ثلاثاً وعشرين سنة،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بعد النبيّ نحواً من ثلاثين سنة، فيكون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نزول الوحي فيما بين اثنتي عشرة سنة وبين ثلاث عشرة سنة، والبلوغ في هذا الوقت ممكن، فيكون واقعاً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زوّجتك أقدمهم سلماً، وأكثرهم علماً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369739_1280447820"/>
      <w:bookmarkStart w:id="231" w:name="_Toc88"/>
      <w:bookmarkEnd w:id="230"/>
      <w:r>
        <w:rPr/>
        <w:t>24</w:t>
      </w:r>
      <w:r>
        <w:rPr>
          <w:rtl w:val="true"/>
        </w:rPr>
        <w:t xml:space="preserve"> /</w:t>
      </w:r>
      <w:r>
        <w:rPr/>
        <w:t>2</w:t>
      </w:r>
      <w:r>
        <w:rPr>
          <w:rtl w:val="true"/>
        </w:rPr>
        <w:t xml:space="preserve"> /</w:t>
      </w:r>
      <w:r>
        <w:rPr/>
        <w:t>10</w:t>
      </w:r>
      <w:r>
        <w:rPr>
          <w:rtl w:val="true"/>
        </w:rPr>
        <w:t>.</w:t>
      </w:r>
      <w:r>
        <w:rPr>
          <w:rtl w:val="true"/>
        </w:rPr>
        <w:t>الفضيلة العاشرة</w:t>
      </w:r>
      <w:bookmarkEnd w:id="231"/>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أبلغ الناس في الفصاحة، وأعظمهم منزلة فيها بعد رسول الله ؛ حتى قال البلغاء كافّة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كلامه دون كلام الخالق وفوق كلام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 تعلّم الناس أصناف البلاغة ، حتى قال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سنّ الفصاحة لقريش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نباتة حفظت من خطبه مئة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الحميد بن يحيى حفظت سبعين</w:t>
      </w:r>
    </w:p>
    <w:p>
      <w:pPr>
        <w:pStyle w:val="BookText"/>
        <w:rPr/>
      </w:pPr>
      <w:r>
        <w:rPr>
          <w:rFonts w:ascii="Amiri" w:hAnsi="Amiri" w:eastAsia="Amiri" w:cs="Amiri"/>
          <w:color w:val="111111"/>
          <w:sz w:val="28"/>
          <w:sz w:val="28"/>
          <w:szCs w:val="28"/>
          <w:rtl w:val="true"/>
          <w:lang w:bidi="ar-SA"/>
        </w:rPr>
        <w:t xml:space="preserve">خطبة من خطبه </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5369741_1280447820"/>
      <w:bookmarkStart w:id="233" w:name="_Toc89"/>
      <w:bookmarkEnd w:id="232"/>
      <w:r>
        <w:rPr/>
        <w:t>24</w:t>
      </w:r>
      <w:r>
        <w:rPr>
          <w:rtl w:val="true"/>
        </w:rPr>
        <w:t xml:space="preserve"> /</w:t>
      </w:r>
      <w:r>
        <w:rPr/>
        <w:t>2</w:t>
      </w:r>
      <w:r>
        <w:rPr>
          <w:rtl w:val="true"/>
        </w:rPr>
        <w:t xml:space="preserve"> /</w:t>
      </w:r>
      <w:r>
        <w:rPr/>
        <w:t>11</w:t>
      </w:r>
      <w:r>
        <w:rPr>
          <w:rtl w:val="true"/>
        </w:rPr>
        <w:t xml:space="preserve">. </w:t>
      </w:r>
      <w:r>
        <w:rPr>
          <w:rtl w:val="true"/>
        </w:rPr>
        <w:t>الفضيلة الحادية عشر</w:t>
      </w:r>
      <w:r>
        <w:rPr>
          <w:rtl w:val="true"/>
        </w:rPr>
        <w:t>:</w:t>
      </w:r>
      <w:bookmarkEnd w:id="2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أسدّ الناس رأياً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وأجودهم تدبيراً، وأعرفهم بمزايا الأمور ومواقعها؛ وهو الذي أشار على عمر بالتخلف عن حرب الروم والفرس، وبَعْث نوّابه، ففي وجود الخليفة في الجيش وعلم العدوّ بذلك مدعاة لهم للاستبسال في القتال، ساعين في ذلك إلى قتله، وكسر شوكة الإسلام، وتفريق كلمة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بالبقاء في مركز الدولة الإسلاميّة، فيبقى دائماً إمكان إرسال جيش آخر إن هُزم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على عثمان بما فيه صلاحه وصلاح المسلمين، فخالفه حتّى قُتِل</w:t>
      </w:r>
      <w:r>
        <w:rPr>
          <w:rFonts w:eastAsia="IRNazanin" w:cs="IRNazanin"/>
          <w:color w:val="111111"/>
          <w:sz w:val="28"/>
          <w:szCs w:val="28"/>
          <w:rtl w:val="true"/>
          <w:lang w:bidi="fa-IR"/>
        </w:rPr>
        <w:t xml:space="preserve">. </w:t>
      </w:r>
      <w:bookmarkStart w:id="234" w:name="pg16299_219510"/>
    </w:p>
    <w:p>
      <w:pPr>
        <w:pStyle w:val="Heading5"/>
        <w:numPr>
          <w:ilvl w:val="4"/>
          <w:numId w:val="1"/>
        </w:numPr>
        <w:rPr/>
      </w:pPr>
      <w:bookmarkStart w:id="235" w:name="__RefHeading___Toc5369743_1280447820"/>
      <w:bookmarkStart w:id="236" w:name="_Toc90"/>
      <w:bookmarkEnd w:id="234"/>
      <w:bookmarkEnd w:id="235"/>
      <w:r>
        <w:rPr/>
        <w:t>24</w:t>
      </w:r>
      <w:r>
        <w:rPr>
          <w:rtl w:val="true"/>
        </w:rPr>
        <w:t xml:space="preserve"> /</w:t>
      </w:r>
      <w:r>
        <w:rPr/>
        <w:t>2</w:t>
      </w:r>
      <w:r>
        <w:rPr>
          <w:rtl w:val="true"/>
        </w:rPr>
        <w:t xml:space="preserve"> /</w:t>
      </w:r>
      <w:r>
        <w:rPr/>
        <w:t>12</w:t>
      </w:r>
      <w:r>
        <w:rPr>
          <w:rtl w:val="true"/>
        </w:rPr>
        <w:t>.</w:t>
      </w:r>
      <w:r>
        <w:rPr>
          <w:rtl w:val="true"/>
        </w:rPr>
        <w:t>الفضيلة الثانية عشر</w:t>
      </w:r>
      <w:r>
        <w:rPr>
          <w:rtl w:val="true"/>
        </w:rPr>
        <w:t>:</w:t>
      </w:r>
      <w:bookmarkEnd w:id="236"/>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الناس حرصاً على إقامة حدود الله تعالى، لم يراقب في ذلك أحداً، ولم يلتفت إلى قرابة؛ بل كان شديد السياسة، خشناً في ذات الله جَلَّ وَعَلا، لم يراقب ابن عمّه ولا أخاه، ولم يساوه في ذلك أحد من الصحابة</w:t>
      </w:r>
      <w:r>
        <w:rPr>
          <w:rFonts w:eastAsia="IRNazanin" w:cs="IRNazanin"/>
          <w:color w:val="111111"/>
          <w:sz w:val="28"/>
          <w:szCs w:val="28"/>
          <w:rtl w:val="true"/>
          <w:lang w:bidi="fa-IR"/>
        </w:rPr>
        <w:t>.</w:t>
      </w:r>
    </w:p>
    <w:p>
      <w:pPr>
        <w:pStyle w:val="Heading5"/>
        <w:numPr>
          <w:ilvl w:val="4"/>
          <w:numId w:val="1"/>
        </w:numPr>
        <w:rPr/>
      </w:pPr>
      <w:bookmarkStart w:id="237" w:name="__RefHeading___Toc5369745_1280447820"/>
      <w:bookmarkStart w:id="238" w:name="_Toc91"/>
      <w:bookmarkEnd w:id="237"/>
      <w:r>
        <w:rPr/>
        <w:t>24</w:t>
      </w:r>
      <w:r>
        <w:rPr>
          <w:rtl w:val="true"/>
        </w:rPr>
        <w:t xml:space="preserve"> /</w:t>
      </w:r>
      <w:r>
        <w:rPr/>
        <w:t>2</w:t>
      </w:r>
      <w:r>
        <w:rPr>
          <w:rtl w:val="true"/>
        </w:rPr>
        <w:t xml:space="preserve"> /</w:t>
      </w:r>
      <w:r>
        <w:rPr/>
        <w:t>13</w:t>
      </w:r>
      <w:r>
        <w:rPr>
          <w:rtl w:val="true"/>
        </w:rPr>
        <w:t xml:space="preserve">. </w:t>
      </w:r>
      <w:r>
        <w:rPr>
          <w:rtl w:val="true"/>
        </w:rPr>
        <w:t>الفضيلة الثالثة عشر</w:t>
      </w:r>
      <w:r>
        <w:rPr>
          <w:rtl w:val="true"/>
        </w:rPr>
        <w:t>:</w:t>
      </w:r>
      <w:bookmarkEnd w:id="238"/>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أوّلهم وأتقنهم حفظاً لكتاب الله ؛ فقد كان يحفظ كتاب الله تَبَارَكَ وَتَعَالَى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يكن أحد يحفظه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جمعه، ونقل الجمهور أنّه تأخّر عن البيعة بسبب اشتغاله بجمع القرآن العظيم ، وأئمّة القرّاء يسندون قراءاتهم إليه ؛ كأبي عمرو بن أبي العلاء، وعاصم، وغيرهما؛ لأنّهم يرجعون إلى أبي عبدالرحمن السلمي؛ وهو تلميذه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39" w:name="__RefHeading___Toc5369747_1280447820"/>
      <w:bookmarkStart w:id="240" w:name="_Toc92"/>
      <w:bookmarkEnd w:id="239"/>
      <w:r>
        <w:rPr/>
        <w:t>24</w:t>
      </w:r>
      <w:r>
        <w:rPr>
          <w:rtl w:val="true"/>
        </w:rPr>
        <w:t xml:space="preserve"> /</w:t>
      </w:r>
      <w:r>
        <w:rPr/>
        <w:t>2</w:t>
      </w:r>
      <w:r>
        <w:rPr>
          <w:rtl w:val="true"/>
        </w:rPr>
        <w:t xml:space="preserve"> /</w:t>
      </w:r>
      <w:r>
        <w:rPr/>
        <w:t>14</w:t>
      </w:r>
      <w:r>
        <w:rPr>
          <w:rtl w:val="true"/>
        </w:rPr>
        <w:t xml:space="preserve">. </w:t>
      </w:r>
      <w:r>
        <w:rPr>
          <w:rtl w:val="true"/>
        </w:rPr>
        <w:t>الفضيلة الرابعة عشر</w:t>
      </w:r>
      <w:r>
        <w:rPr>
          <w:rtl w:val="true"/>
        </w:rPr>
        <w:t>:</w:t>
      </w:r>
      <w:bookmarkEnd w:id="240"/>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يُخبر بالغيب، وقد روي عنه ذلك في مواضع كثيرة، ولم تحصل هذه المرتبة لأحد من الصحابة فيكون أفضل منهم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كإخباره بقتل ذي الثدية، ولما لم يجده أصحابه بين القتلى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كَذَبت ولا كُذّبت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وجده وشقّ قميصه ووجد على كتفه سلعة كثدي المرأة عليها شعرات تنحدر كتفه مع جذبها وترجع مع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النهروان قد عبروا،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يعبروا، فأخبروه مرّة ثانية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يعبروا، فقال جندب بن عبدالله الأزدي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 القوم قد عبروا كنت أوّل من يقاتله، فلمّا وصلنا النهر لم نجدهم عبروا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أخا الأزد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أتبيّن لك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يدلّ على اطلاعه على ما في ضميره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نفسه في شهر رمضان وبولاية الحجّاج وانتقامه، وبقطع يد جويرية بن مسهر ورجله وصلبه على جذع ؛ ففعل به ذلك في أيام معاوية، وبصلب </w:t>
      </w:r>
      <w:bookmarkStart w:id="241" w:name="pg16299_219511"/>
    </w:p>
    <w:p>
      <w:pPr>
        <w:pStyle w:val="BookText"/>
        <w:rPr/>
      </w:pPr>
      <w:bookmarkEnd w:id="241"/>
      <w:r>
        <w:rPr>
          <w:rFonts w:ascii="Amiri" w:hAnsi="Amiri" w:eastAsia="Amiri" w:cs="Amiri"/>
          <w:color w:val="111111"/>
          <w:sz w:val="28"/>
          <w:sz w:val="28"/>
          <w:szCs w:val="28"/>
          <w:rtl w:val="true"/>
          <w:lang w:bidi="ar-SA"/>
        </w:rPr>
        <w:t>ميثم التمار على باب عمرو بن حريث؛ عاشر عشرة وأراه النخلة التي يُصلَب على جذعها فكان كما قال وبذبح قنبر، فذبحه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خالد بن عرفطة بوادي القرى،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يمت ولا يموت حتّى يقود جيش ضلالة صاحب رايته حبیب بن جماز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رجل من تحت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لك لمحبّ وأنا حبيب،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أن تحملها ولتحملنّها فتدخل بها من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وأومأ إلى باب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بعث ابن زياد عمر بن سعد إلى قتال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على مقدّمته خالداً وحبيب صاحب رايته، فسار بها حتى دخل المسجد من باب الفيل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المنبر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 فوالله لاتسألوني عن فئة تضلّ مائة وتهدي مائة إلّا نبّأتكم بناعقها وسائقها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في رأسي ولحيتي من طاقة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حدّثني خليلي بما سألت عنه؛ وأنّ على كلّ طاقة شعر في رأسك ملكاً يلعنك وعلى كلّ طاقة شعر في لحيتك شيطاناً يستفزّك وأنّ في بيتك لسخلاً يقتل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من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تولّى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والأحاديث في ذلك أكثر من أن تحصى؛ نقلها المخالف والمؤالف</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5369749_1280447820"/>
      <w:bookmarkStart w:id="243" w:name="_Toc93"/>
      <w:bookmarkEnd w:id="242"/>
      <w:r>
        <w:rPr/>
        <w:t>24</w:t>
      </w:r>
      <w:r>
        <w:rPr>
          <w:rtl w:val="true"/>
        </w:rPr>
        <w:t xml:space="preserve"> /</w:t>
      </w:r>
      <w:r>
        <w:rPr/>
        <w:t>2</w:t>
      </w:r>
      <w:r>
        <w:rPr>
          <w:rtl w:val="true"/>
        </w:rPr>
        <w:t xml:space="preserve"> /</w:t>
      </w:r>
      <w:r>
        <w:rPr/>
        <w:t>15</w:t>
      </w:r>
      <w:r>
        <w:rPr>
          <w:rtl w:val="true"/>
        </w:rPr>
        <w:t xml:space="preserve">. </w:t>
      </w:r>
      <w:r>
        <w:rPr>
          <w:rtl w:val="true"/>
        </w:rPr>
        <w:t>الفضيلة الخامسة عشر</w:t>
      </w:r>
      <w:r>
        <w:rPr>
          <w:rtl w:val="true"/>
        </w:rPr>
        <w:t>:</w:t>
      </w:r>
      <w:bookmarkEnd w:id="243"/>
    </w:p>
    <w:p>
      <w:pPr>
        <w:pStyle w:val="BookText"/>
        <w:rPr/>
      </w:pP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مستجاب الدعوة سريعاً؛ دون غيره من الصحابة؛ ومنها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على بسر بن أرطأة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بسراً باع دينه بالدنيا فاسلبه عقله ولا تبق له من دينه ما يستوجب به عليك رحمتك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فاختلط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 العيزار برفع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معاوية؛ فأنكر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كاذباً فأعمى الله بصرك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فعمي قبل أسبوع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الصحابة عن حديث الغدير ؛ فشهد له اثنا عشر رجلاً من الأنصار وسكت أنس بن مالك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ما يمنعك أن تشهد وقد سمعت ما </w:t>
      </w:r>
      <w:bookmarkStart w:id="244" w:name="pg16299_219512"/>
    </w:p>
    <w:p>
      <w:pPr>
        <w:pStyle w:val="BookText"/>
        <w:rPr/>
      </w:pPr>
      <w:bookmarkEnd w:id="244"/>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كبرت ونسيت،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كان كاذباً فاضربه ببياض الوضح لا تواريه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 أبرص وكتم زيد بن أرقم فذهب بصره، وغير ذلك من الوقائع المشهورة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5369751_1280447820"/>
      <w:bookmarkStart w:id="246" w:name="_Toc94"/>
      <w:bookmarkEnd w:id="245"/>
      <w:r>
        <w:rPr/>
        <w:t>24</w:t>
      </w:r>
      <w:r>
        <w:rPr>
          <w:rtl w:val="true"/>
        </w:rPr>
        <w:t xml:space="preserve"> /</w:t>
      </w:r>
      <w:r>
        <w:rPr/>
        <w:t>2</w:t>
      </w:r>
      <w:r>
        <w:rPr>
          <w:rtl w:val="true"/>
        </w:rPr>
        <w:t xml:space="preserve"> /</w:t>
      </w:r>
      <w:r>
        <w:rPr/>
        <w:t>16</w:t>
      </w:r>
      <w:r>
        <w:rPr>
          <w:rtl w:val="true"/>
        </w:rPr>
        <w:t xml:space="preserve">. </w:t>
      </w:r>
      <w:r>
        <w:rPr>
          <w:rtl w:val="true"/>
        </w:rPr>
        <w:t>الفضيلة السادسة عشر</w:t>
      </w:r>
      <w:r>
        <w:rPr>
          <w:rtl w:val="true"/>
        </w:rPr>
        <w:t>:</w:t>
      </w:r>
      <w:bookmarkEnd w:id="246"/>
    </w:p>
    <w:p>
      <w:pPr>
        <w:pStyle w:val="BookText"/>
        <w:rPr/>
      </w:pPr>
      <w:r>
        <w:rPr>
          <w:rFonts w:ascii="IRNazanin" w:hAnsi="IRNazanin" w:eastAsia="IRNazanin"/>
          <w:color w:val="111111"/>
          <w:sz w:val="28"/>
          <w:sz w:val="28"/>
          <w:szCs w:val="28"/>
          <w:rtl w:val="true"/>
          <w:lang w:bidi="fa-IR"/>
        </w:rPr>
        <w:t xml:space="preserve">کرامته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المعجزات عنه ؛ وهي كثيرة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مع الحيّة، وخلعه باب خيبر، وردّ الشمس، والحرب مع الجنّ</w:t>
      </w:r>
      <w:r>
        <w:rPr>
          <w:rFonts w:eastAsia="IRNazanin" w:cs="IRNazanin"/>
          <w:color w:val="111111"/>
          <w:sz w:val="28"/>
          <w:szCs w:val="28"/>
          <w:rtl w:val="true"/>
          <w:lang w:bidi="fa-IR"/>
        </w:rPr>
        <w:t>.</w:t>
      </w:r>
    </w:p>
    <w:p>
      <w:pPr>
        <w:pStyle w:val="Heading5"/>
        <w:numPr>
          <w:ilvl w:val="4"/>
          <w:numId w:val="1"/>
        </w:numPr>
        <w:rPr/>
      </w:pPr>
      <w:bookmarkStart w:id="247" w:name="__RefHeading___Toc5369753_1280447820"/>
      <w:bookmarkStart w:id="248" w:name="_Toc95"/>
      <w:bookmarkEnd w:id="247"/>
      <w:r>
        <w:rPr/>
        <w:t>24</w:t>
      </w:r>
      <w:r>
        <w:rPr>
          <w:rtl w:val="true"/>
        </w:rPr>
        <w:t xml:space="preserve">/ </w:t>
      </w:r>
      <w:r>
        <w:rPr/>
        <w:t>2</w:t>
      </w:r>
      <w:r>
        <w:rPr>
          <w:rtl w:val="true"/>
        </w:rPr>
        <w:t xml:space="preserve"> /</w:t>
      </w:r>
      <w:r>
        <w:rPr/>
        <w:t>17</w:t>
      </w:r>
      <w:r>
        <w:rPr>
          <w:rtl w:val="true"/>
        </w:rPr>
        <w:t xml:space="preserve">. </w:t>
      </w:r>
      <w:r>
        <w:rPr>
          <w:rtl w:val="true"/>
        </w:rPr>
        <w:t>الفضيلة السابعة عشر</w:t>
      </w:r>
      <w:r>
        <w:rPr>
          <w:rtl w:val="true"/>
        </w:rPr>
        <w:t>:</w:t>
      </w:r>
      <w:bookmarkEnd w:id="248"/>
    </w:p>
    <w:p>
      <w:pPr>
        <w:pStyle w:val="BookText"/>
        <w:rPr/>
      </w:pP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بالقرابة؛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الناس نسباً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أفضل من غيره، ولأنّه كان هاشمياًّ فيكون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ولد إسماعيل قريشاً ومن قريش هاشماً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5369755_1280447820"/>
      <w:bookmarkStart w:id="250" w:name="_Toc96"/>
      <w:bookmarkEnd w:id="249"/>
      <w:r>
        <w:rPr/>
        <w:t>24</w:t>
      </w:r>
      <w:r>
        <w:rPr>
          <w:rtl w:val="true"/>
        </w:rPr>
        <w:t xml:space="preserve">/ </w:t>
      </w:r>
      <w:r>
        <w:rPr/>
        <w:t>2</w:t>
      </w:r>
      <w:r>
        <w:rPr>
          <w:rtl w:val="true"/>
        </w:rPr>
        <w:t xml:space="preserve">/ </w:t>
      </w:r>
      <w:r>
        <w:rPr/>
        <w:t>18</w:t>
      </w:r>
      <w:r>
        <w:rPr>
          <w:rtl w:val="true"/>
        </w:rPr>
        <w:t xml:space="preserve">. </w:t>
      </w:r>
      <w:r>
        <w:rPr>
          <w:rtl w:val="true"/>
        </w:rPr>
        <w:t>الفضيلة الثامنة عشر</w:t>
      </w:r>
      <w:r>
        <w:rPr>
          <w:rtl w:val="true"/>
        </w:rPr>
        <w:t>:</w:t>
      </w:r>
      <w:bookmarkEnd w:id="250"/>
    </w:p>
    <w:p>
      <w:pPr>
        <w:pStyle w:val="BookText"/>
        <w:rPr/>
      </w:pPr>
      <w:r>
        <w:rPr>
          <w:rFonts w:ascii="Amiri" w:hAnsi="Amiri" w:eastAsia="Amiri" w:cs="Amiri"/>
          <w:color w:val="111111"/>
          <w:sz w:val="28"/>
          <w:sz w:val="28"/>
          <w:szCs w:val="28"/>
          <w:rtl w:val="true"/>
          <w:lang w:bidi="ar-SA"/>
        </w:rPr>
        <w:t xml:space="preserve">أُخوته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وبيانه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واخى بين الصحابة وقرن كل شخص إلى مماثله في الشرف والفضيلة،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متكدّراً، فسأله عن سبب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آخيت بين الصحابة وجعلتني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أخّرتك إلّا لنفسي ألا ترضى أن تكون أخي ووصيّي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فواخاه من دون الصحابة</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5369757_1280447820"/>
      <w:bookmarkStart w:id="252" w:name="_Toc97"/>
      <w:bookmarkEnd w:id="251"/>
      <w:r>
        <w:rPr/>
        <w:t>24</w:t>
      </w:r>
      <w:r>
        <w:rPr>
          <w:rtl w:val="true"/>
        </w:rPr>
        <w:t xml:space="preserve">/ </w:t>
      </w:r>
      <w:r>
        <w:rPr/>
        <w:t>2</w:t>
      </w:r>
      <w:r>
        <w:rPr>
          <w:rtl w:val="true"/>
        </w:rPr>
        <w:t xml:space="preserve">/ </w:t>
      </w:r>
      <w:r>
        <w:rPr/>
        <w:t>19</w:t>
      </w:r>
      <w:r>
        <w:rPr>
          <w:rtl w:val="true"/>
        </w:rPr>
        <w:t xml:space="preserve">. </w:t>
      </w:r>
      <w:r>
        <w:rPr>
          <w:rtl w:val="true"/>
        </w:rPr>
        <w:t>الفضيلة التاسعة عشر</w:t>
      </w:r>
      <w:r>
        <w:rPr>
          <w:rtl w:val="true"/>
        </w:rPr>
        <w:t>:</w:t>
      </w:r>
      <w:bookmarkEnd w:id="25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المحبّة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الآخرين ؛ فقد كان محبّته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ومودّته واجبة دون غيره من الصحابة فيكون أفضل منهم قطعاً، وذلك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أولي القربى؛ فتكون </w:t>
      </w:r>
      <w:bookmarkStart w:id="253" w:name="pg16299_219513"/>
    </w:p>
    <w:p>
      <w:pPr>
        <w:pStyle w:val="BookText"/>
        <w:rPr/>
      </w:pPr>
      <w:bookmarkEnd w:id="253"/>
      <w:r>
        <w:rPr>
          <w:rFonts w:ascii="Amiri" w:hAnsi="Amiri" w:eastAsia="Amiri" w:cs="Amiri"/>
          <w:color w:val="111111"/>
          <w:sz w:val="28"/>
          <w:sz w:val="28"/>
          <w:szCs w:val="28"/>
          <w:rtl w:val="true"/>
          <w:lang w:bidi="ar-SA"/>
        </w:rPr>
        <w:t>مودّته واجبة لقوله سُبحَانَهُ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5369759_1280447820"/>
      <w:bookmarkStart w:id="255" w:name="_Toc98"/>
      <w:bookmarkEnd w:id="254"/>
      <w:r>
        <w:rPr/>
        <w:t>24</w:t>
      </w:r>
      <w:r>
        <w:rPr>
          <w:rtl w:val="true"/>
        </w:rPr>
        <w:t xml:space="preserve">/ </w:t>
      </w:r>
      <w:r>
        <w:rPr/>
        <w:t>2</w:t>
      </w:r>
      <w:r>
        <w:rPr>
          <w:rtl w:val="true"/>
        </w:rPr>
        <w:t xml:space="preserve">/ </w:t>
      </w:r>
      <w:r>
        <w:rPr/>
        <w:t>20</w:t>
      </w:r>
      <w:r>
        <w:rPr>
          <w:rtl w:val="true"/>
        </w:rPr>
        <w:t>.</w:t>
      </w:r>
      <w:r>
        <w:rPr>
          <w:rtl w:val="true"/>
        </w:rPr>
        <w:t xml:space="preserve">الفضيلة العشرون </w:t>
      </w:r>
      <w:r>
        <w:rPr>
          <w:rtl w:val="true"/>
        </w:rPr>
        <w:t>:</w:t>
      </w:r>
      <w:bookmarkEnd w:id="255"/>
    </w:p>
    <w:p>
      <w:pPr>
        <w:pStyle w:val="BookText"/>
        <w:rPr/>
      </w:pPr>
      <w:r>
        <w:rPr>
          <w:rFonts w:ascii="Amiri" w:hAnsi="Amiri" w:eastAsia="Amiri" w:cs="Amiri"/>
          <w:color w:val="111111"/>
          <w:sz w:val="28"/>
          <w:sz w:val="28"/>
          <w:szCs w:val="28"/>
          <w:rtl w:val="true"/>
          <w:lang w:bidi="ar-SA"/>
        </w:rPr>
        <w:t xml:space="preserve">النصرة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اختصّ بهذه الفضيلة دون غيره من الصحابة؛ فيكون أفضل منهم، وبيانه هو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مَوْلَاهُ وَجِبْرِيلُ وَصَالِحُ الْمُؤْمِنِينَ </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المفسرون على أنّ المراد بصالح المؤمنين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الناصر؛ لأنّه القدر المشترك بين الله جَلَّ وَعَلا وجبرئيل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ثالثهم، وحصر المولى في الثلاثة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5369761_1280447820"/>
      <w:bookmarkStart w:id="257" w:name="_Toc99"/>
      <w:bookmarkEnd w:id="256"/>
      <w:r>
        <w:rPr/>
        <w:t>24</w:t>
      </w:r>
      <w:r>
        <w:rPr>
          <w:rtl w:val="true"/>
        </w:rPr>
        <w:t xml:space="preserve"> /</w:t>
      </w:r>
      <w:r>
        <w:rPr/>
        <w:t>2</w:t>
      </w:r>
      <w:r>
        <w:rPr>
          <w:rtl w:val="true"/>
        </w:rPr>
        <w:t xml:space="preserve"> </w:t>
      </w:r>
      <w:r>
        <w:rPr/>
        <w:t>21</w:t>
      </w:r>
      <w:r>
        <w:rPr>
          <w:rtl w:val="true"/>
        </w:rPr>
        <w:t>.</w:t>
      </w:r>
      <w:r>
        <w:rPr>
          <w:rtl w:val="true"/>
        </w:rPr>
        <w:t xml:space="preserve">الفضيلة الحادية والعشرون </w:t>
      </w:r>
      <w:r>
        <w:rPr>
          <w:rtl w:val="true"/>
        </w:rPr>
        <w:t>:</w:t>
      </w:r>
      <w:bookmarkEnd w:id="257"/>
    </w:p>
    <w:p>
      <w:pPr>
        <w:pStyle w:val="BookText"/>
        <w:rPr/>
      </w:pPr>
      <w:r>
        <w:rPr>
          <w:rFonts w:ascii="Amiri" w:hAnsi="Amiri" w:eastAsia="Amiri" w:cs="Amiri"/>
          <w:color w:val="111111"/>
          <w:sz w:val="28"/>
          <w:sz w:val="28"/>
          <w:szCs w:val="28"/>
          <w:rtl w:val="true"/>
          <w:lang w:bidi="ar-SA"/>
        </w:rPr>
        <w:t xml:space="preserve">مساواته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وبيانه أنّه كان مساوياً للأنبياء المتقدّمين؛ فيكون أفضل من غيره من الصحابة بالضرورة؛ لأنّ المساوي للأفضل أفضل، ودليله ما رواه البيهقي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آدم في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وإلى نوح في تقواه، وإلى إبراهيم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لَأَوَّاهٌ حَلِيمٌ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وإلى موسى في هيبته، وإلى عيسى في عبادته، فلينظر إلى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لعلم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وحلم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وهيبة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وعبادة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لأحد من الصحابة مثل هذا الفضل</w:t>
      </w:r>
      <w:r>
        <w:rPr>
          <w:rFonts w:eastAsia="IRNazanin" w:cs="IRNazanin"/>
          <w:color w:val="111111"/>
          <w:sz w:val="28"/>
          <w:szCs w:val="28"/>
          <w:rtl w:val="true"/>
          <w:lang w:bidi="fa-IR"/>
        </w:rPr>
        <w:t>.</w:t>
      </w:r>
    </w:p>
    <w:p>
      <w:pPr>
        <w:pStyle w:val="Heading5"/>
        <w:numPr>
          <w:ilvl w:val="4"/>
          <w:numId w:val="1"/>
        </w:numPr>
        <w:rPr/>
      </w:pPr>
      <w:bookmarkStart w:id="258" w:name="__RefHeading___Toc5369763_1280447820"/>
      <w:bookmarkStart w:id="259" w:name="_Toc100"/>
      <w:bookmarkEnd w:id="258"/>
      <w:r>
        <w:rPr/>
        <w:t>24</w:t>
      </w:r>
      <w:r>
        <w:rPr>
          <w:rtl w:val="true"/>
        </w:rPr>
        <w:t xml:space="preserve">/ </w:t>
      </w:r>
      <w:r>
        <w:rPr/>
        <w:t>2</w:t>
      </w:r>
      <w:r>
        <w:rPr>
          <w:rtl w:val="true"/>
        </w:rPr>
        <w:t xml:space="preserve"> /</w:t>
      </w:r>
      <w:r>
        <w:rPr/>
        <w:t>22</w:t>
      </w:r>
      <w:r>
        <w:rPr>
          <w:rtl w:val="true"/>
        </w:rPr>
        <w:t>.</w:t>
      </w:r>
      <w:r>
        <w:rPr>
          <w:rtl w:val="true"/>
        </w:rPr>
        <w:t xml:space="preserve">الفضيلة الثانية والعشرون </w:t>
      </w:r>
      <w:r>
        <w:rPr>
          <w:rtl w:val="true"/>
        </w:rPr>
        <w:t>:</w:t>
      </w:r>
      <w:bookmarkEnd w:id="2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كثيرة ببيان فضله وزيادة كماله على غيره ونصّ على إمامته ؛ منها على سبيل المثال </w:t>
      </w:r>
      <w:r>
        <w:rPr>
          <w:rFonts w:eastAsia="Amiri" w:cs="Amiri" w:ascii="Amiri" w:hAnsi="Amiri"/>
          <w:color w:val="111111"/>
          <w:sz w:val="28"/>
          <w:szCs w:val="28"/>
          <w:rtl w:val="true"/>
          <w:lang w:bidi="ar-SA"/>
        </w:rPr>
        <w:t xml:space="preserve">: </w:t>
      </w:r>
      <w:bookmarkStart w:id="260" w:name="pg16299_219514"/>
    </w:p>
    <w:p>
      <w:pPr>
        <w:pStyle w:val="BookText"/>
        <w:rPr/>
      </w:pPr>
      <w:bookmarkEnd w:id="260"/>
      <w:r>
        <w:rPr>
          <w:rFonts w:ascii="IRNazanin" w:hAnsi="IRNazanin" w:eastAsia="IRNazanin"/>
          <w:color w:val="111111"/>
          <w:sz w:val="28"/>
          <w:sz w:val="28"/>
          <w:szCs w:val="28"/>
          <w:rtl w:val="true"/>
          <w:lang w:bidi="fa-IR"/>
        </w:rPr>
        <w:t xml:space="preserve">ما ورد في خبر الطائر؛ وهو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يأكل معي من هذا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معه،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أدخل إليّ أحبّ أهل الأرض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أنس وسعد بن أبي وقاص وأبو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عبّاس، وعوّل أبو جعفر الإسكافيّ وأبو عبدالله البصري على هذا الحديث 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غيره، وادّعى أبو عبد الله شهرة هذا الحديث، وظهوره بين الصحابة، ولم ينكره أحد منهم؛ فيكون متواتراً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وخبر المنزلة؛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هارون أفضل أهل زمانه عند أخيه، فكذا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الغدير؛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خطب الناس بغدير خم في عوده 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ألست أولى منكم بأنفسكم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وعاد من عاداه وانصر من نصره وأخذل من خذله وأدر الحقّ مع عليّ كيف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بالمولى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بالتصرّف، وإذا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من كل أحد بالتصرف في نفس المؤمنين ومالهم، فهو أفضل منهم قطعاً، ووجب أن يكونوا جميعاً تحت إمرته وولايته</w:t>
      </w:r>
      <w:r>
        <w:rPr>
          <w:rFonts w:eastAsia="IRNazanin" w:cs="IRNazanin"/>
          <w:color w:val="111111"/>
          <w:sz w:val="28"/>
          <w:szCs w:val="28"/>
          <w:rtl w:val="true"/>
          <w:lang w:bidi="fa-IR"/>
        </w:rPr>
        <w:t>.</w:t>
      </w:r>
    </w:p>
    <w:p>
      <w:pPr>
        <w:pStyle w:val="Heading5"/>
        <w:numPr>
          <w:ilvl w:val="4"/>
          <w:numId w:val="1"/>
        </w:numPr>
        <w:rPr/>
      </w:pPr>
      <w:bookmarkStart w:id="261" w:name="__RefHeading___Toc5369765_1280447820"/>
      <w:bookmarkStart w:id="262" w:name="_Toc101"/>
      <w:bookmarkEnd w:id="261"/>
      <w:r>
        <w:rPr/>
        <w:t>24</w:t>
      </w:r>
      <w:r>
        <w:rPr>
          <w:rtl w:val="true"/>
        </w:rPr>
        <w:t xml:space="preserve"> /</w:t>
      </w:r>
      <w:r>
        <w:rPr/>
        <w:t>2</w:t>
      </w:r>
      <w:r>
        <w:rPr>
          <w:rtl w:val="true"/>
        </w:rPr>
        <w:t xml:space="preserve"> /</w:t>
      </w:r>
      <w:r>
        <w:rPr/>
        <w:t>23</w:t>
      </w:r>
      <w:r>
        <w:rPr>
          <w:rtl w:val="true"/>
        </w:rPr>
        <w:t xml:space="preserve">. </w:t>
      </w:r>
      <w:r>
        <w:rPr>
          <w:rtl w:val="true"/>
        </w:rPr>
        <w:t xml:space="preserve">الفضيلة الثالثة والعشرون </w:t>
      </w:r>
      <w:r>
        <w:rPr>
          <w:rtl w:val="true"/>
        </w:rPr>
        <w:t>:</w:t>
      </w:r>
      <w:bookmarkEnd w:id="262"/>
    </w:p>
    <w:p>
      <w:pPr>
        <w:pStyle w:val="BookText"/>
        <w:rPr/>
      </w:pPr>
      <w:r>
        <w:rPr>
          <w:rFonts w:ascii="IRNazanin" w:hAnsi="IRNazanin" w:eastAsia="IRNazanin"/>
          <w:color w:val="111111"/>
          <w:sz w:val="28"/>
          <w:sz w:val="28"/>
          <w:szCs w:val="28"/>
          <w:rtl w:val="true"/>
          <w:lang w:bidi="fa-IR"/>
        </w:rPr>
        <w:t xml:space="preserve">انتفاء سبق الكفر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وبيانه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يكفر بالله عَزَّ وَجَلَّ أصلاً؛ بل من حين بلوغه كان مؤمناً موحّداً؛ بخلاف باقي الصحابة، فإنّهم كانوا في زمن الجاهليّة كفرة، ولا ريب في فضل من لم يزل موحّداً على من سبق كفره على إيمانه</w:t>
      </w:r>
      <w:r>
        <w:rPr>
          <w:rFonts w:eastAsia="IRNazanin" w:cs="IRNazanin"/>
          <w:color w:val="111111"/>
          <w:sz w:val="28"/>
          <w:szCs w:val="28"/>
          <w:rtl w:val="true"/>
          <w:lang w:bidi="fa-IR"/>
        </w:rPr>
        <w:t>.</w:t>
      </w:r>
    </w:p>
    <w:p>
      <w:pPr>
        <w:pStyle w:val="Heading5"/>
        <w:numPr>
          <w:ilvl w:val="4"/>
          <w:numId w:val="1"/>
        </w:numPr>
        <w:rPr/>
      </w:pPr>
      <w:bookmarkStart w:id="263" w:name="__RefHeading___Toc5369767_1280447820"/>
      <w:bookmarkStart w:id="264" w:name="_Toc102"/>
      <w:bookmarkEnd w:id="263"/>
      <w:r>
        <w:rPr/>
        <w:t>24</w:t>
      </w:r>
      <w:r>
        <w:rPr>
          <w:rtl w:val="true"/>
        </w:rPr>
        <w:t xml:space="preserve"> /</w:t>
      </w:r>
      <w:r>
        <w:rPr/>
        <w:t>2</w:t>
      </w:r>
      <w:r>
        <w:rPr>
          <w:rtl w:val="true"/>
        </w:rPr>
        <w:t xml:space="preserve"> /</w:t>
      </w:r>
      <w:r>
        <w:rPr/>
        <w:t>24</w:t>
      </w:r>
      <w:r>
        <w:rPr>
          <w:rtl w:val="true"/>
        </w:rPr>
        <w:t xml:space="preserve">. </w:t>
      </w:r>
      <w:r>
        <w:rPr>
          <w:rtl w:val="true"/>
        </w:rPr>
        <w:t xml:space="preserve">الفضيلة الرابعة والعشرون </w:t>
      </w:r>
      <w:r>
        <w:rPr>
          <w:rtl w:val="true"/>
        </w:rPr>
        <w:t>:</w:t>
      </w:r>
      <w:bookmarkEnd w:id="2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كثرة انتفاع الإسلام به والمسلمين؛ فقد انتفع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أكثر من نفعهم بغيره؛ فيكون ثوابه أكثر، وفضله أعظم، وقد تقدّم من كثرة حروبه، وشدّة بلائه في </w:t>
      </w:r>
      <w:bookmarkStart w:id="265" w:name="pg16299_219515"/>
    </w:p>
    <w:p>
      <w:pPr>
        <w:pStyle w:val="BookText"/>
        <w:rPr/>
      </w:pPr>
      <w:bookmarkEnd w:id="265"/>
      <w:r>
        <w:rPr>
          <w:rFonts w:ascii="IRNazanin" w:hAnsi="IRNazanin" w:eastAsia="IRNazanin"/>
          <w:color w:val="111111"/>
          <w:sz w:val="28"/>
          <w:sz w:val="28"/>
          <w:szCs w:val="28"/>
          <w:rtl w:val="true"/>
          <w:lang w:bidi="fa-IR"/>
        </w:rPr>
        <w:t xml:space="preserve">الإسلام، وفتح الله البلاد على يديه، وقوة شوكة الاسلام به ؛ لذا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عند الله سُبحَانَهُ وَتَعَالى وعند رسوله وعند الناس والشاهد على هذا المدعى ما كان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تضحيات جسيمة في العهود الأربعة من حياته الشريفة</w:t>
      </w:r>
      <w:r>
        <w:rPr>
          <w:rFonts w:eastAsia="IRNazanin" w:cs="IRNazanin"/>
          <w:color w:val="111111"/>
          <w:sz w:val="28"/>
          <w:szCs w:val="28"/>
          <w:rtl w:val="true"/>
          <w:lang w:bidi="fa-IR"/>
        </w:rPr>
        <w:t>.</w:t>
      </w:r>
    </w:p>
    <w:p>
      <w:pPr>
        <w:pStyle w:val="Heading5"/>
        <w:numPr>
          <w:ilvl w:val="4"/>
          <w:numId w:val="1"/>
        </w:numPr>
        <w:rPr/>
      </w:pPr>
      <w:bookmarkStart w:id="266" w:name="__RefHeading___Toc5369769_1280447820"/>
      <w:bookmarkStart w:id="267" w:name="_Toc103"/>
      <w:bookmarkEnd w:id="266"/>
      <w:r>
        <w:rPr/>
        <w:t>24</w:t>
      </w:r>
      <w:r>
        <w:rPr>
          <w:rtl w:val="true"/>
        </w:rPr>
        <w:t xml:space="preserve">/ </w:t>
      </w:r>
      <w:r>
        <w:rPr/>
        <w:t>2</w:t>
      </w:r>
      <w:r>
        <w:rPr>
          <w:rtl w:val="true"/>
        </w:rPr>
        <w:t xml:space="preserve"> /</w:t>
      </w:r>
      <w:r>
        <w:rPr/>
        <w:t>25</w:t>
      </w:r>
      <w:r>
        <w:rPr>
          <w:rtl w:val="true"/>
        </w:rPr>
        <w:t>.</w:t>
      </w:r>
      <w:r>
        <w:rPr>
          <w:rtl w:val="true"/>
        </w:rPr>
        <w:t xml:space="preserve">الفضيلة الخامسة والعشرون </w:t>
      </w:r>
      <w:r>
        <w:rPr>
          <w:rtl w:val="true"/>
        </w:rPr>
        <w:t>:</w:t>
      </w:r>
      <w:bookmarkEnd w:id="267"/>
    </w:p>
    <w:p>
      <w:pPr>
        <w:pStyle w:val="BookText"/>
        <w:rPr/>
      </w:pPr>
      <w:r>
        <w:rPr>
          <w:rFonts w:ascii="IRNazanin" w:hAnsi="IRNazanin" w:eastAsia="IRNazanin"/>
          <w:color w:val="111111"/>
          <w:sz w:val="28"/>
          <w:sz w:val="28"/>
          <w:szCs w:val="28"/>
          <w:rtl w:val="true"/>
          <w:lang w:bidi="fa-IR"/>
        </w:rPr>
        <w:t xml:space="preserve">تميّزه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بالكمالات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وبيانه أنّ الكمالات إمّا نفسانية وإما بدنيّة وإما خارجيّة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الكمالات النفسانية والبدنيّة فقد بينّا بلوغه فيها إلى حدّ الذروة والغاية؛ فقد كان العلم والزهد والشجاعة والسخاء وحسن الخلق والعفّة فيه أبلغ من غيره، بل لا يجاريه في واحد منها أحد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وبلغ في القوّة البدنية والشدّة مبلغاً لا يساويه أحد حتى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يقطّ الهام قط الأقلام، لم يخط في ضربه قط ولم يحتج إلى المعاودة، وقلع باب خيبر وقد عجز عن نقلها سبعون رجلاً من أشدّ الناس قوّة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قليل الغذاء جداً بأخشن مأكل وملبس كثير الصوم مداوم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الخارجيّة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الشريف الذي لا يساويه أحد في القرب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أقرب الناس إليه ؛ فإنّ العبّاس كان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 خاصّة،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عمّه من الأب والأمّ، ومع ذلك فإنّه كان هاشمياً من الأب والأمّ؛ لأنّه عليّ بن أبي طالب بن عبد المطلب بن هاشم وأمّه فاطمة بنت أسد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المصاهرة ولم يحصل لأحد ما حصل له منها؛ فإنّه زوج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،وعثمان وإن شاركه في كونه ختناً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فاطمة أشرف بناته، وكان لها من المنزلة والقرب من قلب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عظيم وكان يعظّمها حتى أنّه كان إذا جاءت إليه نهض لها قائماً ولم يفعل ذلك بأحد من النساء،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سيّدة نساء العالمين في الجنّة أربع وعدّ منهنّ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الأولاد؛ ولم يحصل لأحد من المسلمين مثل أولاده في الشرف والكمال؛ فإنّ </w:t>
      </w:r>
      <w:bookmarkStart w:id="268" w:name="pg16299_219516"/>
    </w:p>
    <w:p>
      <w:pPr>
        <w:pStyle w:val="BookText"/>
        <w:rPr/>
      </w:pPr>
      <w:bookmarkEnd w:id="268"/>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إمامان سيّدا شباب أهل الجنّة، وكان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في الغاية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يتطأطأ لهما ليركباه ويبعبع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أولد كل واحد منهما أولاداً بلغوا في الشرف إلى الغاية ؛ فالحسن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أولد مثل الحسن المثنى والمثلّث وعبد الله بن الحسن المثنّى والنفس الزكية وغيرهم ، وأولد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زين العابدين، والباقر، والصادق والكاظم والرضا والجواد والهادي، والعسكريّ،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نشروا من العلم والفضل والزهد والانقطاع والترك شيئاً عظيماً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5369771_1280447820"/>
      <w:bookmarkStart w:id="270" w:name="_Toc104"/>
      <w:bookmarkEnd w:id="269"/>
      <w:r>
        <w:rPr/>
        <w:t>24</w:t>
      </w:r>
      <w:r>
        <w:rPr>
          <w:rtl w:val="true"/>
        </w:rPr>
        <w:t xml:space="preserve"> /</w:t>
      </w:r>
      <w:r>
        <w:rPr/>
        <w:t>3</w:t>
      </w:r>
      <w:r>
        <w:rPr>
          <w:rtl w:val="true"/>
        </w:rPr>
        <w:t xml:space="preserve">. </w:t>
      </w:r>
      <w:r>
        <w:rPr>
          <w:rtl w:val="true"/>
        </w:rPr>
        <w:t xml:space="preserve">نقد أفضليّة أبي بكر </w:t>
      </w:r>
      <w:r>
        <w:rPr>
          <w:rtl w:val="true"/>
        </w:rPr>
        <w:t>:</w:t>
      </w:r>
      <w:bookmarkEnd w:id="270"/>
    </w:p>
    <w:p>
      <w:pPr>
        <w:pStyle w:val="Heading5"/>
        <w:numPr>
          <w:ilvl w:val="4"/>
          <w:numId w:val="1"/>
        </w:numPr>
        <w:rPr/>
      </w:pPr>
      <w:bookmarkStart w:id="271" w:name="__RefHeading___Toc5369773_1280447820"/>
      <w:bookmarkStart w:id="272" w:name="_Toc105"/>
      <w:bookmarkEnd w:id="271"/>
      <w:r>
        <w:rPr>
          <w:rtl w:val="true"/>
        </w:rPr>
        <w:t>إشارة</w:t>
      </w:r>
      <w:bookmarkEnd w:id="272"/>
    </w:p>
    <w:p>
      <w:pPr>
        <w:pStyle w:val="BookText"/>
        <w:rPr/>
      </w:pPr>
      <w:r>
        <w:rPr>
          <w:rFonts w:ascii="Amiri" w:hAnsi="Amiri" w:eastAsia="Amiri" w:cs="Amiri"/>
          <w:color w:val="111111"/>
          <w:sz w:val="28"/>
          <w:sz w:val="28"/>
          <w:szCs w:val="28"/>
          <w:rtl w:val="true"/>
          <w:lang w:bidi="ar-SA"/>
        </w:rPr>
        <w:t xml:space="preserve">تناول أبناء العامّة من أهل السنة في كتبهم الكلاميّة تبيين مصداق الأفضل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فقدّموا أبا بكر على أنّه هو المصداق؛ حتى يتمكّنوا من إثبات الإمامة له مستعينين في ذلك بدليل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نجد لدى أولئك أيّ حديث صريح يدلّ على إمامة أبي بكر</w:t>
      </w:r>
      <w:r>
        <w:rPr>
          <w:rStyle w:val="FootnoteAnchor"/>
          <w:rtl w:val="true"/>
        </w:rPr>
        <w:footnoteReference w:id="293"/>
      </w:r>
      <w:r>
        <w:rPr>
          <w:rFonts w:ascii="Amiri" w:hAnsi="Amiri" w:eastAsia="Amiri" w:cs="Amiri"/>
          <w:color w:val="111111"/>
          <w:sz w:val="28"/>
          <w:sz w:val="28"/>
          <w:szCs w:val="28"/>
          <w:rtl w:val="true"/>
          <w:lang w:bidi="ar-SA"/>
        </w:rPr>
        <w:t xml:space="preserve">، أمّا ما أوردوه وأستدلّوا به على أفضليّته فسنتناول تبيينه ونقده مستندين في ذلك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إبطال ما استدلّ به لإمامة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لآية الله السيّد علي الميلانيّ؛ وهو على النحو التالي</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5369775_1280447820"/>
      <w:bookmarkStart w:id="274" w:name="_Toc106"/>
      <w:bookmarkEnd w:id="273"/>
      <w:r>
        <w:rPr/>
        <w:t>24</w:t>
      </w:r>
      <w:r>
        <w:rPr>
          <w:rtl w:val="true"/>
        </w:rPr>
        <w:t xml:space="preserve"> /</w:t>
      </w:r>
      <w:r>
        <w:rPr/>
        <w:t>3</w:t>
      </w:r>
      <w:r>
        <w:rPr>
          <w:rtl w:val="true"/>
        </w:rPr>
        <w:t xml:space="preserve"> /</w:t>
      </w:r>
      <w:r>
        <w:rPr/>
        <w:t>1</w:t>
      </w:r>
      <w:r>
        <w:rPr>
          <w:rtl w:val="true"/>
        </w:rPr>
        <w:t xml:space="preserve">. </w:t>
      </w:r>
      <w:r>
        <w:rPr>
          <w:rtl w:val="true"/>
        </w:rPr>
        <w:t>الدليل الأوّل</w:t>
      </w:r>
      <w:r>
        <w:rPr>
          <w:rtl w:val="true"/>
        </w:rPr>
        <w:t>:</w:t>
      </w:r>
      <w:bookmarkEnd w:id="2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في هذا الدليل 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الَّذِي يُؤْتِي مَالَهُ يَتَزَكَّىوَمَا لِأَحَدٍ عِنْدَهُ مِنْ نِعْمَةٍ تُجْزَى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المفسرين وقد اعتمد عليه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أبي بكر، أتقى، ومن هو أتقى فهو أكرم عند الله ؛ لقوله جَلَّ وَعَلا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أبوبكر هو الأفضل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أنّ من كان الأفضل والأكرم عند الله فهو المتعيّن للإمامة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لا إشكال فيه، من كان الأكرم والأفضل عند الله فهو المتعيّن للإمامة والخلافة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أبوبكر هو الأفضل، الأفضل من الأمّة كلّها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المتعيّن للخلافة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أنّ الاستدلال بهذا الدليل يتوقّف على إثبات مقدمات، ومن دونها لا تتمّ دلالة الآية على إمامة أبي بكر ؛ ومن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يتوقف على سقوط جميع الأدلّة التي أقامها الإماميّة على عصمة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فالمعصوم أكرم عند الله سُبحَانَهُ وَتَعَالى ممن يؤتي ماله يتزكّى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يتوقّف الاستدلال بهذه الآية على إمامة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نازلة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تماميّة تلك الأدلّة التي وردت في المصادر السنيّة والشيعيّة الدالّة على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وأفضليته وعصمته، وإلّا فلو تمّ شيء من تلك الأدلّة لكان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عند الله تَبَارَكَ وَتَعَالى، وحينئذٍ يبطل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هناك جمع غفير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أبي بكر ؛ وقد ورد هذا في كلّ من كتاب الاستيعاب وكتاب الفصل في الملل والنحل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الآية المباركة يتوقّف في المقام الأوّل على نزول الآية في أبي بكر، والحال أنّهم مختلفون في تفسير هذه الآية على ثلاثة أقوال</w:t>
      </w:r>
      <w:r>
        <w:rPr>
          <w:rFonts w:eastAsia="Amiri" w:cs="Amiri" w:ascii="Amiri" w:hAnsi="Amiri"/>
          <w:color w:val="111111"/>
          <w:sz w:val="28"/>
          <w:szCs w:val="28"/>
          <w:rtl w:val="true"/>
          <w:lang w:bidi="ar-SA"/>
        </w:rPr>
        <w:t xml:space="preserve">: </w:t>
      </w:r>
      <w:bookmarkStart w:id="275" w:name="pg16299_219518"/>
    </w:p>
    <w:p>
      <w:pPr>
        <w:pStyle w:val="BookText"/>
        <w:rPr/>
      </w:pPr>
      <w:bookmarkEnd w:id="2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عامّة للمؤمنين؛ ولا اختصاص لها بأحد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تفسير الدرّ المنثور للسيوطي نزلت الآية في قصّة أبي الدحداح وصاحب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الآية لا علاقة لها بأبي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رواية الطبرانيّ فإنّ الآية نازلة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بنزول الآية المباركة في أبي بكر أحد الأقوال الثلاثة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القول الأخير القاضي بكونها نزلت في أبي بكر يتوقّف على صحة سند الخبر به، وإذا لم يتمّ الخبر الدالّ على نزول الآية في أبي بكر يبطل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يرويها الطبرانيّ، ويرويها عنه الحافظ الهيثميّ في مجمع الزوائد،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ثابت وفيه ضعف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ضعّفه يحيى بن معين، وضعّفه أحمد بن حنبل، وضعّفه أبو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وقال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وهكذا قال غير هؤ لاء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5369777_1280447820"/>
      <w:bookmarkStart w:id="277" w:name="_Toc107"/>
      <w:bookmarkEnd w:id="276"/>
      <w:r>
        <w:rPr/>
        <w:t>24</w:t>
      </w:r>
      <w:r>
        <w:rPr>
          <w:rtl w:val="true"/>
        </w:rPr>
        <w:t xml:space="preserve"> /</w:t>
      </w:r>
      <w:r>
        <w:rPr/>
        <w:t>3</w:t>
      </w:r>
      <w:r>
        <w:rPr>
          <w:rtl w:val="true"/>
        </w:rPr>
        <w:t xml:space="preserve"> /</w:t>
      </w:r>
      <w:r>
        <w:rPr/>
        <w:t>2</w:t>
      </w:r>
      <w:r>
        <w:rPr>
          <w:rtl w:val="true"/>
        </w:rPr>
        <w:t xml:space="preserve">. </w:t>
      </w:r>
      <w:r>
        <w:rPr>
          <w:rtl w:val="true"/>
        </w:rPr>
        <w:t>الدليل الثاني</w:t>
      </w:r>
      <w:r>
        <w:rPr>
          <w:rtl w:val="true"/>
        </w:rPr>
        <w:t>:</w:t>
      </w:r>
      <w:bookmarkEnd w:id="277"/>
    </w:p>
    <w:p>
      <w:pPr>
        <w:pStyle w:val="BookText"/>
        <w:rPr/>
      </w:pPr>
      <w:r>
        <w:rPr>
          <w:rFonts w:ascii="Amiri" w:hAnsi="Amiri" w:eastAsia="Amiri" w:cs="Amiri"/>
          <w:color w:val="111111"/>
          <w:sz w:val="28"/>
          <w:sz w:val="28"/>
          <w:szCs w:val="28"/>
          <w:rtl w:val="true"/>
          <w:lang w:bidi="ar-SA"/>
        </w:rPr>
        <w:t xml:space="preserve">استدلّوا في هذا الدليل بما يُنسب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والمشكلة الأساسيّة في دليلهم هذا ضعف الرواة؛ فقد قال المناويّ في شرح هذا الحديث في فيض القدير في 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البزار كابن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w:t>
      </w:r>
      <w:r>
        <w:rPr>
          <w:rStyle w:val="FootnoteAnchor"/>
          <w:rtl w:val="true"/>
        </w:rPr>
        <w:footnoteReference w:id="302"/>
      </w:r>
      <w:r>
        <w:rPr>
          <w:rFonts w:ascii="Amiri" w:hAnsi="Amiri" w:eastAsia="Amiri" w:cs="Amiri"/>
          <w:color w:val="111111"/>
          <w:sz w:val="28"/>
          <w:sz w:val="28"/>
          <w:szCs w:val="28"/>
          <w:rtl w:val="true"/>
          <w:lang w:bidi="ar-SA"/>
        </w:rPr>
        <w:t xml:space="preserve">، والترمذيّ حيث أورد هذا الحديث في كتابه بأحسن طرقه، يضعفه بصراحة </w:t>
      </w:r>
      <w:r>
        <w:rPr>
          <w:rStyle w:val="FootnoteAnchor"/>
          <w:rtl w:val="true"/>
        </w:rPr>
        <w:footnoteReference w:id="303"/>
      </w:r>
      <w:r>
        <w:rPr>
          <w:rFonts w:ascii="Amiri" w:hAnsi="Amiri" w:eastAsia="Amiri" w:cs="Amiri"/>
          <w:color w:val="111111"/>
          <w:sz w:val="28"/>
          <w:sz w:val="28"/>
          <w:szCs w:val="28"/>
          <w:rtl w:val="true"/>
          <w:lang w:bidi="ar-SA"/>
        </w:rPr>
        <w:t xml:space="preserve">، وورد في كتاب الضعفاء الكبير لأبي جعفر </w:t>
      </w:r>
      <w:bookmarkStart w:id="278" w:name="pg16299_219519"/>
    </w:p>
    <w:p>
      <w:pPr>
        <w:pStyle w:val="BookText"/>
        <w:rPr/>
      </w:pPr>
      <w:bookmarkEnd w:id="278"/>
      <w:r>
        <w:rPr>
          <w:rFonts w:ascii="Amiri" w:hAnsi="Amiri" w:eastAsia="Amiri" w:cs="Amiri"/>
          <w:color w:val="111111"/>
          <w:sz w:val="28"/>
          <w:sz w:val="28"/>
          <w:szCs w:val="28"/>
          <w:rtl w:val="true"/>
          <w:lang w:bidi="ar-SA"/>
        </w:rPr>
        <w:t xml:space="preserve">العقيليّ أنّه منكر لا أصل له </w:t>
      </w:r>
      <w:r>
        <w:rPr>
          <w:rStyle w:val="FootnoteAnchor"/>
          <w:rtl w:val="true"/>
        </w:rPr>
        <w:footnoteReference w:id="304"/>
      </w:r>
      <w:r>
        <w:rPr>
          <w:rFonts w:ascii="Amiri" w:hAnsi="Amiri" w:eastAsia="Amiri" w:cs="Amiri"/>
          <w:color w:val="111111"/>
          <w:sz w:val="28"/>
          <w:sz w:val="28"/>
          <w:szCs w:val="28"/>
          <w:rtl w:val="true"/>
          <w:lang w:bidi="ar-SA"/>
        </w:rPr>
        <w:t xml:space="preserve">، وأمّا الحافظ الذهبيّ الذي يذكر هذا الحديث في مواضع عديدة من كتابه فيردّه، ويكذّبه، ويبطله، كما يستند إلى قول أبي بكر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واهٍ </w:t>
      </w:r>
      <w:r>
        <w:rPr>
          <w:rStyle w:val="FootnoteAnchor"/>
          <w:rtl w:val="true"/>
        </w:rPr>
        <w:footnoteReference w:id="305"/>
      </w:r>
      <w:r>
        <w:rPr>
          <w:rFonts w:ascii="Amiri" w:hAnsi="Amiri" w:eastAsia="Amiri" w:cs="Amiri"/>
          <w:color w:val="111111"/>
          <w:sz w:val="28"/>
          <w:sz w:val="28"/>
          <w:szCs w:val="28"/>
          <w:rtl w:val="true"/>
          <w:lang w:bidi="ar-SA"/>
        </w:rPr>
        <w:t xml:space="preserve">، وجاء تلخيص المستدرك أنّ سنده واهٍ جداً </w:t>
      </w:r>
      <w:r>
        <w:rPr>
          <w:rStyle w:val="FootnoteAnchor"/>
          <w:rtl w:val="true"/>
        </w:rPr>
        <w:footnoteReference w:id="306"/>
      </w:r>
      <w:r>
        <w:rPr>
          <w:rFonts w:ascii="Amiri" w:hAnsi="Amiri" w:eastAsia="Amiri" w:cs="Amiri"/>
          <w:color w:val="111111"/>
          <w:sz w:val="28"/>
          <w:sz w:val="28"/>
          <w:szCs w:val="28"/>
          <w:rtl w:val="true"/>
          <w:lang w:bidi="ar-SA"/>
        </w:rPr>
        <w:t>، وأمّا الهيثميّ في مجمع الزوائد فيروي هذا الحديث عن طريق الطبرانيّ،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لم أعرفهم</w:t>
      </w:r>
      <w:r>
        <w:rPr>
          <w:rStyle w:val="FootnoteAnchor"/>
          <w:rtl w:val="true"/>
        </w:rPr>
        <w:footnoteReference w:id="307"/>
      </w:r>
      <w:r>
        <w:rPr>
          <w:rFonts w:ascii="Amiri" w:hAnsi="Amiri" w:eastAsia="Amiri" w:cs="Amiri"/>
          <w:color w:val="111111"/>
          <w:sz w:val="28"/>
          <w:sz w:val="28"/>
          <w:szCs w:val="28"/>
          <w:rtl w:val="true"/>
          <w:lang w:bidi="ar-SA"/>
        </w:rPr>
        <w:t>، وأمّا ابن حجر العسقلانيّ الحافظ شيخ الإسلام فيذكر هذا الحديث في أكثر من موضع وينصّ على سقوطه</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وللحافظ ابن حزم الأندلسيّ في الاستدلال بهذا الحديث كلمة مهمّة جداً، حيث يقول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نستجيز التدليس والأمر الذي لو ظفر به خصومنا طاروا به فرحاً أو أبلسوا أسفاً؛ لاحتججنا 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ولكنّه لم يصحّ، ويعيذنا الله من الاحتجاج بما لا يصحّ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5369779_1280447820"/>
      <w:bookmarkStart w:id="280" w:name="_Toc108"/>
      <w:bookmarkEnd w:id="279"/>
      <w:r>
        <w:rPr/>
        <w:t>24</w:t>
      </w:r>
      <w:r>
        <w:rPr>
          <w:rtl w:val="true"/>
        </w:rPr>
        <w:t xml:space="preserve"> /</w:t>
      </w:r>
      <w:r>
        <w:rPr/>
        <w:t>3</w:t>
      </w:r>
      <w:r>
        <w:rPr>
          <w:rtl w:val="true"/>
        </w:rPr>
        <w:t xml:space="preserve"> /</w:t>
      </w:r>
      <w:r>
        <w:rPr/>
        <w:t>3</w:t>
      </w:r>
      <w:r>
        <w:rPr>
          <w:rtl w:val="true"/>
        </w:rPr>
        <w:t xml:space="preserve">. </w:t>
      </w:r>
      <w:r>
        <w:rPr>
          <w:rtl w:val="true"/>
        </w:rPr>
        <w:t xml:space="preserve">الدليل الثالث </w:t>
      </w:r>
      <w:r>
        <w:rPr>
          <w:rtl w:val="true"/>
        </w:rPr>
        <w:t>:</w:t>
      </w:r>
      <w:bookmarkEnd w:id="280"/>
    </w:p>
    <w:p>
      <w:pPr>
        <w:pStyle w:val="BookText"/>
        <w:rPr/>
      </w:pPr>
      <w:r>
        <w:rPr>
          <w:rFonts w:ascii="Amiri" w:hAnsi="Amiri" w:eastAsia="Amiri" w:cs="Amiri"/>
          <w:color w:val="111111"/>
          <w:sz w:val="28"/>
          <w:sz w:val="28"/>
          <w:szCs w:val="28"/>
          <w:rtl w:val="true"/>
          <w:lang w:bidi="ar-SA"/>
        </w:rPr>
        <w:t xml:space="preserve">استدلّوا في هذا الدليل بما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لأبي الدرداء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طلعت شمس ولا غربت بعد النبيّين والمرسلين على رجل أفضل من أبي بكر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مضعّف عندهم للغاية؛ فقد رواه الطبرانيّ في الأوسط بسند، قال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إسماعيل بن يحيى التيميّ؛ وهو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أيضاً في مجمع الزوائد بسند آخر يرويه عن الطبرانيّ،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بقية بن الوليد؛ وهو مدلّس، وهو ضعيف، وهو ساقط عند علماء الرجال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81" w:name="pg16299_219520"/>
    </w:p>
    <w:p>
      <w:pPr>
        <w:pStyle w:val="Heading5"/>
        <w:numPr>
          <w:ilvl w:val="4"/>
          <w:numId w:val="1"/>
        </w:numPr>
        <w:rPr/>
      </w:pPr>
      <w:bookmarkStart w:id="282" w:name="__RefHeading___Toc5369781_1280447820"/>
      <w:bookmarkStart w:id="283" w:name="_Toc109"/>
      <w:bookmarkEnd w:id="281"/>
      <w:bookmarkEnd w:id="282"/>
      <w:r>
        <w:rPr/>
        <w:t>24</w:t>
      </w:r>
      <w:r>
        <w:rPr>
          <w:rtl w:val="true"/>
        </w:rPr>
        <w:t xml:space="preserve"> /</w:t>
      </w:r>
      <w:r>
        <w:rPr/>
        <w:t>3</w:t>
      </w:r>
      <w:r>
        <w:rPr>
          <w:rtl w:val="true"/>
        </w:rPr>
        <w:t xml:space="preserve"> /</w:t>
      </w:r>
      <w:r>
        <w:rPr/>
        <w:t>4</w:t>
      </w:r>
      <w:r>
        <w:rPr>
          <w:rtl w:val="true"/>
        </w:rPr>
        <w:t>.</w:t>
      </w:r>
      <w:r>
        <w:rPr>
          <w:rtl w:val="true"/>
        </w:rPr>
        <w:t xml:space="preserve">الدليل الرابع </w:t>
      </w:r>
      <w:r>
        <w:rPr>
          <w:rtl w:val="true"/>
        </w:rPr>
        <w:t>:</w:t>
      </w:r>
      <w:bookmarkEnd w:id="283"/>
    </w:p>
    <w:p>
      <w:pPr>
        <w:pStyle w:val="BookText"/>
        <w:rPr/>
      </w:pPr>
      <w:r>
        <w:rPr>
          <w:rFonts w:ascii="Amiri" w:hAnsi="Amiri" w:eastAsia="Amiri" w:cs="Amiri"/>
          <w:color w:val="111111"/>
          <w:sz w:val="28"/>
          <w:sz w:val="28"/>
          <w:szCs w:val="28"/>
          <w:rtl w:val="true"/>
          <w:lang w:bidi="ar-SA"/>
        </w:rPr>
        <w:t xml:space="preserve">استدلّوا في هذا الدليل بما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عن أبي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سيّدا كهول أهل الجنّة ؛ ما خلا النبيّين والمرسلين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هذه الرواية الهيثميّ في مجمع الزوائد عن البزار وعن الطبرانيّ، وكلاهما روياه عن أبي سعيد وعن عبيد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حيث رواه عنهما في مجمع الزوائد فيه عليّ بن عابس وهو ضعيف</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بالإضافة إلى أنّ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ورد في الأحاديث الشريفة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كهول؛ فكلّ أهل الجنة شباب</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369783_1280447820"/>
      <w:bookmarkStart w:id="285" w:name="_Toc110"/>
      <w:bookmarkEnd w:id="284"/>
      <w:r>
        <w:rPr/>
        <w:t>24</w:t>
      </w:r>
      <w:r>
        <w:rPr>
          <w:rtl w:val="true"/>
        </w:rPr>
        <w:t xml:space="preserve">/ </w:t>
      </w:r>
      <w:r>
        <w:rPr/>
        <w:t>3</w:t>
      </w:r>
      <w:r>
        <w:rPr>
          <w:rtl w:val="true"/>
        </w:rPr>
        <w:t xml:space="preserve"> /</w:t>
      </w:r>
      <w:r>
        <w:rPr/>
        <w:t>5</w:t>
      </w:r>
      <w:r>
        <w:rPr>
          <w:rtl w:val="true"/>
        </w:rPr>
        <w:t>.</w:t>
      </w:r>
      <w:r>
        <w:rPr>
          <w:rtl w:val="true"/>
        </w:rPr>
        <w:t xml:space="preserve">الدليل الخامس </w:t>
      </w:r>
      <w:r>
        <w:rPr>
          <w:rtl w:val="true"/>
        </w:rPr>
        <w:t>:</w:t>
      </w:r>
      <w:bookmarkEnd w:id="285"/>
    </w:p>
    <w:p>
      <w:pPr>
        <w:pStyle w:val="BookText"/>
        <w:rPr/>
      </w:pPr>
      <w:r>
        <w:rPr>
          <w:rFonts w:ascii="Amiri" w:hAnsi="Amiri" w:eastAsia="Amiri" w:cs="Amiri"/>
          <w:color w:val="111111"/>
          <w:sz w:val="28"/>
          <w:sz w:val="28"/>
          <w:szCs w:val="28"/>
          <w:rtl w:val="true"/>
          <w:lang w:bidi="ar-SA"/>
        </w:rPr>
        <w:t xml:space="preserve">استدلّوا في هذا الدليل بما ينسبونه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في أفضليّة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ينبغي لقوم فيهم أبوبكر أن يتقدّم عليه غيره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حسن الحظ أنّ الحافظ ابن الجوزيّ أورد هذا الحديث في كتاب الموضوعات؛ وقال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موضوع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5369785_1280447820"/>
      <w:bookmarkStart w:id="287" w:name="_Toc111"/>
      <w:bookmarkEnd w:id="286"/>
      <w:r>
        <w:rPr/>
        <w:t>24</w:t>
      </w:r>
      <w:r>
        <w:rPr>
          <w:rtl w:val="true"/>
        </w:rPr>
        <w:t xml:space="preserve"> /</w:t>
      </w:r>
      <w:r>
        <w:rPr/>
        <w:t>3</w:t>
      </w:r>
      <w:r>
        <w:rPr>
          <w:rtl w:val="true"/>
        </w:rPr>
        <w:t xml:space="preserve"> /</w:t>
      </w:r>
      <w:r>
        <w:rPr/>
        <w:t>6</w:t>
      </w:r>
      <w:r>
        <w:rPr>
          <w:rtl w:val="true"/>
        </w:rPr>
        <w:t>.</w:t>
      </w:r>
      <w:r>
        <w:rPr>
          <w:rtl w:val="true"/>
        </w:rPr>
        <w:t>الدليل السادس</w:t>
      </w:r>
      <w:r>
        <w:rPr>
          <w:rtl w:val="true"/>
        </w:rPr>
        <w:t>:</w:t>
      </w:r>
      <w:bookmarkEnd w:id="28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في هذا الدليل بحديث رواه البخاريّ ومسلم عن عائشة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مرضه قدّم أبا بكر للصلاة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هذا الدليل ليس بتامّ ؛ ويرد عليه جملة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تنتهي جميع أسانيد هذا الخبر إلى عائشة، وعائشة متّهمة في نقل مثل هذه القضايا؛ لسببين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وكونها ابنة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الشواهد التاريخيّة على أنّ تقديم أبي بكر للصلاة بالناس لم يكن من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بإيعاز من عائشة نفسها؛ فهي من أرسلت أباها ليصلّي بالناس؛ حيث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بكبار الصحابة وعلى رأسهم أبو بكر وعمر في سرية أسامة، وشدّد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خروجهم من المدينة حتّى اللحظات الأخيرة من عمره الشريف ؛ وهذا لا يقبل الإنكار فهو ثابت بالكتب المعتبرة التي نقلت هذا الخبر ؛ حيث قال الحافظ ابن حجر العسقلانيّ في كتاب فتح الباري بشرح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أبي بكر في بعث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وابن سعد، وابن إسحاق، وابن الجوزيّ، وابن عساكر ، وغيرهم</w:t>
      </w:r>
      <w:r>
        <w:rPr>
          <w:rStyle w:val="FootnoteAnchor"/>
          <w:rtl w:val="true"/>
        </w:rPr>
        <w:footnoteReference w:id="316"/>
      </w:r>
      <w:r>
        <w:rPr>
          <w:rFonts w:ascii="Amiri" w:hAnsi="Amiri" w:eastAsia="Amiri" w:cs="Amiri"/>
          <w:color w:val="111111"/>
          <w:sz w:val="28"/>
          <w:sz w:val="28"/>
          <w:szCs w:val="28"/>
          <w:rtl w:val="true"/>
          <w:lang w:bidi="ar-SA"/>
        </w:rPr>
        <w:t xml:space="preserve">ولذا،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أسامة بجيشه في خارج المدينة، ولذا لمّا ولي أبو بكر اعترض أسامة ولم يبايع أبا بكر،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أمير على أبي بكر؛ وكيف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بذلك، فكم من صحابيّ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يصلّي في مكانه في مسجده وفي محرابه، ولم يدّع أحد ثبوت الإمامة بتلك الصلاة لذلك الصحابيّ الذي صلّى في مكانه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الآمر، فقد ذكرت تلك الأخبار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على رَجُلين، ورجلاه تخطّان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ونحّى أبا بكر عن المحراب، وصلّى تلك الصلاة بنفسه ؛ ثمّ خطب خطبة ذكر فيها القرآن الكريم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 الناس على اتّباعهم</w:t>
      </w:r>
      <w:r>
        <w:rPr>
          <w:rFonts w:eastAsia="Amiri" w:cs="Amiri" w:ascii="Amiri" w:hAnsi="Amiri"/>
          <w:color w:val="111111"/>
          <w:sz w:val="28"/>
          <w:szCs w:val="28"/>
          <w:rtl w:val="true"/>
          <w:lang w:bidi="ar-SA"/>
        </w:rPr>
        <w:t xml:space="preserve">. </w:t>
      </w:r>
      <w:bookmarkStart w:id="288" w:name="pg16299_219522"/>
    </w:p>
    <w:p>
      <w:pPr>
        <w:pStyle w:val="Heading5"/>
        <w:numPr>
          <w:ilvl w:val="4"/>
          <w:numId w:val="1"/>
        </w:numPr>
        <w:rPr/>
      </w:pPr>
      <w:bookmarkStart w:id="289" w:name="__RefHeading___Toc5369787_1280447820"/>
      <w:bookmarkStart w:id="290" w:name="_Toc112"/>
      <w:bookmarkEnd w:id="288"/>
      <w:bookmarkEnd w:id="289"/>
      <w:r>
        <w:rPr/>
        <w:t>24</w:t>
      </w:r>
      <w:r>
        <w:rPr>
          <w:rtl w:val="true"/>
        </w:rPr>
        <w:t xml:space="preserve"> /</w:t>
      </w:r>
      <w:r>
        <w:rPr/>
        <w:t>3</w:t>
      </w:r>
      <w:r>
        <w:rPr>
          <w:rtl w:val="true"/>
        </w:rPr>
        <w:t xml:space="preserve"> /</w:t>
      </w:r>
      <w:r>
        <w:rPr/>
        <w:t>7</w:t>
      </w:r>
      <w:r>
        <w:rPr>
          <w:rtl w:val="true"/>
        </w:rPr>
        <w:t>.</w:t>
      </w:r>
      <w:r>
        <w:rPr>
          <w:rtl w:val="true"/>
        </w:rPr>
        <w:t>الدليل السابع</w:t>
      </w:r>
      <w:r>
        <w:rPr>
          <w:rtl w:val="true"/>
        </w:rPr>
        <w:t>:</w:t>
      </w:r>
      <w:bookmarkEnd w:id="290"/>
    </w:p>
    <w:p>
      <w:pPr>
        <w:pStyle w:val="BookText"/>
        <w:rPr/>
      </w:pPr>
      <w:r>
        <w:rPr>
          <w:rFonts w:ascii="Amiri" w:hAnsi="Amiri" w:eastAsia="Amiri" w:cs="Amiri"/>
          <w:color w:val="111111"/>
          <w:sz w:val="28"/>
          <w:sz w:val="28"/>
          <w:szCs w:val="28"/>
          <w:rtl w:val="true"/>
          <w:lang w:bidi="ar-SA"/>
        </w:rPr>
        <w:t xml:space="preserve">استدلّوا في هذا الدليل بما ينسبونه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 في حقّ أبي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أمّتي أبو بكر ثمّ عمر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هذا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الحديث ضعيف من ناحية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الحديث في المواقف وشرح المواقف ناقصاً؛ فقد اكتفوا بنقل هذا المقطع من الحديث؛ حيث رووا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الناس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الموضع الذي استدلّوا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بالمجلس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وللحديث ذيل، ،أسقطوه ليتمّ لهم الاستدلال وتكملته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تقل في عليّ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عليّ نفسي، فمن رأيتيه يقول في نفسه شيئاً؟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5369789_1280447820"/>
      <w:bookmarkStart w:id="292" w:name="_Toc113"/>
      <w:bookmarkEnd w:id="291"/>
      <w:r>
        <w:rPr/>
        <w:t>24</w:t>
      </w:r>
      <w:r>
        <w:rPr>
          <w:rtl w:val="true"/>
        </w:rPr>
        <w:t xml:space="preserve"> /</w:t>
      </w:r>
      <w:r>
        <w:rPr/>
        <w:t>3</w:t>
      </w:r>
      <w:r>
        <w:rPr>
          <w:rtl w:val="true"/>
        </w:rPr>
        <w:t xml:space="preserve"> /</w:t>
      </w:r>
      <w:r>
        <w:rPr/>
        <w:t>8</w:t>
      </w:r>
      <w:r>
        <w:rPr>
          <w:rtl w:val="true"/>
        </w:rPr>
        <w:t xml:space="preserve">. </w:t>
      </w:r>
      <w:r>
        <w:rPr>
          <w:rtl w:val="true"/>
        </w:rPr>
        <w:t xml:space="preserve">الدليل الثامن </w:t>
      </w:r>
      <w:r>
        <w:rPr>
          <w:rtl w:val="true"/>
        </w:rPr>
        <w:t>:</w:t>
      </w:r>
      <w:bookmarkEnd w:id="29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استدلّوا في هذا الدليل بما ما رووه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واصفاً قربه من 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متخذاً خليلاً دون ربّي لاتّخذت أبا بكر خليلاً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293" w:name="pg16299_219523"/>
    </w:p>
    <w:p>
      <w:pPr>
        <w:pStyle w:val="BookText"/>
        <w:rPr/>
      </w:pPr>
      <w:bookmarkEnd w:id="293"/>
      <w:r>
        <w:rPr>
          <w:rFonts w:ascii="Amiri" w:hAnsi="Amiri" w:eastAsia="Amiri" w:cs="Amiri"/>
          <w:color w:val="111111"/>
          <w:sz w:val="28"/>
          <w:sz w:val="28"/>
          <w:szCs w:val="28"/>
          <w:rtl w:val="true"/>
          <w:lang w:bidi="ar-SA"/>
        </w:rPr>
        <w:t xml:space="preserve">وهذه الرواية تتعارض مع رواية أخرى رواها أبناء العامّة من أهل السنّة أنفسهم؛ حيث زعموا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عثمان خليلاً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خليلاً من أمّته، وإنّ خليلي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واستناداً على هذه الرواية يكون عثمان أفضل من أبي بكر ؛ حيث اتّخذه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ولم يتّخذ أبا بكر ؛ والجدير بالذكر أنّ كلا الحديثين ضعيفان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5369791_1280447820"/>
      <w:bookmarkStart w:id="295" w:name="_Toc114"/>
      <w:bookmarkEnd w:id="294"/>
      <w:r>
        <w:rPr/>
        <w:t>24</w:t>
      </w:r>
      <w:r>
        <w:rPr>
          <w:rtl w:val="true"/>
        </w:rPr>
        <w:t xml:space="preserve"> /</w:t>
      </w:r>
      <w:r>
        <w:rPr/>
        <w:t>3</w:t>
      </w:r>
      <w:r>
        <w:rPr>
          <w:rtl w:val="true"/>
        </w:rPr>
        <w:t xml:space="preserve"> /</w:t>
      </w:r>
      <w:r>
        <w:rPr/>
        <w:t>9</w:t>
      </w:r>
      <w:r>
        <w:rPr>
          <w:rtl w:val="true"/>
        </w:rPr>
        <w:t xml:space="preserve">. </w:t>
      </w:r>
      <w:r>
        <w:rPr>
          <w:rtl w:val="true"/>
        </w:rPr>
        <w:t xml:space="preserve">الدليل التاسع </w:t>
      </w:r>
      <w:r>
        <w:rPr>
          <w:rtl w:val="true"/>
        </w:rPr>
        <w:t>:</w:t>
      </w:r>
      <w:bookmarkEnd w:id="295"/>
    </w:p>
    <w:p>
      <w:pPr>
        <w:pStyle w:val="BookText"/>
        <w:rPr/>
      </w:pPr>
      <w:r>
        <w:rPr>
          <w:rFonts w:ascii="Amiri" w:hAnsi="Amiri" w:eastAsia="Amiri" w:cs="Amiri"/>
          <w:color w:val="111111"/>
          <w:sz w:val="28"/>
          <w:sz w:val="28"/>
          <w:szCs w:val="28"/>
          <w:rtl w:val="true"/>
          <w:lang w:bidi="ar-SA"/>
        </w:rPr>
        <w:t xml:space="preserve">ما ينسبونه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وقد ذُكر أبو بكر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مثل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كذّبني الناس وصدّقني، وآمن بي وزوّجني ابنته، وجهّزني بماله وواساني بنفسه، وجاهد معي ساعة الخوف</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أدرج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السيوطي في كتابه اللآلي المصنوعة بالأحاديث الموضوعة </w:t>
      </w:r>
      <w:r>
        <w:rPr>
          <w:rStyle w:val="FootnoteAnchor"/>
          <w:rtl w:val="true"/>
        </w:rPr>
        <w:footnoteReference w:id="322"/>
      </w:r>
      <w:r>
        <w:rPr>
          <w:rFonts w:ascii="IRNazanin" w:hAnsi="IRNazanin" w:eastAsia="IRNazanin"/>
          <w:color w:val="111111"/>
          <w:sz w:val="28"/>
          <w:sz w:val="28"/>
          <w:szCs w:val="28"/>
          <w:rtl w:val="true"/>
          <w:lang w:bidi="fa-IR"/>
        </w:rPr>
        <w:t xml:space="preserve">، وأدرجه أيضاً الحافظ ابن عراق صاحب کتاب تنزيه الشريعة </w:t>
      </w:r>
      <w:r>
        <w:rPr>
          <w:rStyle w:val="FootnoteAnchor"/>
          <w:rtl w:val="true"/>
        </w:rPr>
        <w:footnoteReference w:id="323"/>
      </w:r>
      <w:r>
        <w:rPr>
          <w:rFonts w:ascii="Amiri" w:hAnsi="Amiri" w:eastAsia="Amiri" w:cs="Amiri"/>
          <w:color w:val="111111"/>
          <w:sz w:val="28"/>
          <w:sz w:val="28"/>
          <w:szCs w:val="28"/>
          <w:rtl w:val="true"/>
          <w:lang w:bidi="ar-SA"/>
        </w:rPr>
        <w:t>، وقد ألّف كتابه هذا في خصوص الروايات الموضوعة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ناحية دلالته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مال أبي بكر وإنفاقه عليه، فهو من القضايا الكاذبة، وقد وصل كذب هذا الخبر إلى حدّ ألجأ ابن تيمية نفسه إلى التصريح بكذبه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96" w:name="pg16299_219524"/>
    </w:p>
    <w:p>
      <w:pPr>
        <w:pStyle w:val="Heading5"/>
        <w:numPr>
          <w:ilvl w:val="4"/>
          <w:numId w:val="1"/>
        </w:numPr>
        <w:rPr/>
      </w:pPr>
      <w:bookmarkStart w:id="297" w:name="__RefHeading___Toc5369793_1280447820"/>
      <w:bookmarkStart w:id="298" w:name="_Toc115"/>
      <w:bookmarkEnd w:id="296"/>
      <w:bookmarkEnd w:id="297"/>
      <w:r>
        <w:rPr/>
        <w:t>24</w:t>
      </w:r>
      <w:r>
        <w:rPr>
          <w:rtl w:val="true"/>
        </w:rPr>
        <w:t xml:space="preserve"> /</w:t>
      </w:r>
      <w:r>
        <w:rPr/>
        <w:t>3</w:t>
      </w:r>
      <w:r>
        <w:rPr>
          <w:rtl w:val="true"/>
        </w:rPr>
        <w:t xml:space="preserve"> /</w:t>
      </w:r>
      <w:r>
        <w:rPr/>
        <w:t>10</w:t>
      </w:r>
      <w:r>
        <w:rPr>
          <w:rtl w:val="true"/>
        </w:rPr>
        <w:t>.</w:t>
      </w:r>
      <w:r>
        <w:rPr>
          <w:rtl w:val="true"/>
        </w:rPr>
        <w:t>الدليل العاشر</w:t>
      </w:r>
      <w:r>
        <w:rPr>
          <w:rtl w:val="true"/>
        </w:rPr>
        <w:t>:</w:t>
      </w:r>
      <w:bookmarkEnd w:id="298"/>
    </w:p>
    <w:p>
      <w:pPr>
        <w:pStyle w:val="BookText"/>
        <w:rPr/>
      </w:pPr>
      <w:r>
        <w:rPr>
          <w:rFonts w:ascii="IRNazanin" w:hAnsi="IRNazanin" w:eastAsia="IRNazanin"/>
          <w:color w:val="111111"/>
          <w:sz w:val="28"/>
          <w:sz w:val="28"/>
          <w:szCs w:val="28"/>
          <w:rtl w:val="true"/>
          <w:lang w:bidi="fa-IR"/>
        </w:rPr>
        <w:t xml:space="preserve">ما رووه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بعد النبيّين أبو بكر ثمّ عمر ثمّ الله أعلم</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وردت هذه الرواية بعدّة ألفاظ ؛ ويرد عليها أنّ أبا بكر نفسه يعترف بأنّه لم يكن خير الناس؛ فقد صرّح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مثبَّت في طبقات ابن سعد</w:t>
      </w:r>
      <w:r>
        <w:rPr>
          <w:rStyle w:val="FootnoteAnchor"/>
          <w:rtl w:val="true"/>
        </w:rPr>
        <w:footnoteReference w:id="32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فلست بخيركم</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فلا يمكن الاعتماد على الدليل العاشر </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5369795_1280447820"/>
      <w:bookmarkStart w:id="300" w:name="_Toc116"/>
      <w:bookmarkEnd w:id="299"/>
      <w:r>
        <w:rPr/>
        <w:t>24</w:t>
      </w:r>
      <w:r>
        <w:rPr>
          <w:rtl w:val="true"/>
        </w:rPr>
        <w:t xml:space="preserve"> /</w:t>
      </w:r>
      <w:r>
        <w:rPr/>
        <w:t>3</w:t>
      </w:r>
      <w:r>
        <w:rPr>
          <w:rtl w:val="true"/>
        </w:rPr>
        <w:t xml:space="preserve"> /</w:t>
      </w:r>
      <w:r>
        <w:rPr/>
        <w:t>11</w:t>
      </w:r>
      <w:r>
        <w:rPr>
          <w:rtl w:val="true"/>
        </w:rPr>
        <w:t>.</w:t>
      </w:r>
      <w:r>
        <w:rPr>
          <w:rtl w:val="true"/>
        </w:rPr>
        <w:t>الدليل الحادي عشر</w:t>
      </w:r>
      <w:r>
        <w:rPr>
          <w:rtl w:val="true"/>
        </w:rPr>
        <w:t>:</w:t>
      </w:r>
      <w:bookmarkEnd w:id="300"/>
    </w:p>
    <w:p>
      <w:pPr>
        <w:pStyle w:val="BookText"/>
        <w:rPr/>
      </w:pPr>
      <w:r>
        <w:rPr>
          <w:rFonts w:ascii="Amiri" w:hAnsi="Amiri" w:eastAsia="Amiri" w:cs="Amiri"/>
          <w:color w:val="111111"/>
          <w:sz w:val="28"/>
          <w:sz w:val="28"/>
          <w:szCs w:val="28"/>
          <w:rtl w:val="true"/>
          <w:lang w:bidi="ar-SA"/>
        </w:rPr>
        <w:t xml:space="preserve">من أدلّتهم على إمامة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الصحابة في سقيفة بني ساعدة على خلافته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هنا أنّ صاحب شرح المقاصد وغيره من كبار علماء الكلام يقولون بأنّا عندما ندّعي الإجماع، فإنّنا لا ندّعي وقوع الإجماع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الإجماع على خلافة أبي بكر ، فليس المعنى أنّ القوم كلّهم كانوا مجمعين وموافقين على إمامته، بل إنّ إمامته قد وقعت في الحقيقة ببيعة عمر فقط، وفي السقيفة، وذلك بعد وقوع النزاع بين المهاجرين والأنصار ، ونقله إلى نزاع بين الأنصار الأوس والخزرج</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01" w:name="pg16299_219525"/>
    </w:p>
    <w:p>
      <w:pPr>
        <w:pStyle w:val="BookText"/>
        <w:rPr/>
      </w:pPr>
      <w:bookmarkEnd w:id="301"/>
      <w:r>
        <w:rPr>
          <w:rFonts w:ascii="Amiri" w:hAnsi="Amiri" w:eastAsia="Amiri" w:cs="Amiri"/>
          <w:color w:val="111111"/>
          <w:sz w:val="28"/>
          <w:sz w:val="28"/>
          <w:szCs w:val="28"/>
          <w:rtl w:val="true"/>
          <w:lang w:bidi="ar-SA"/>
        </w:rPr>
        <w:t>وبناء على هذا الاختلاف بين المسلمين، لا تتمتّع خلافة أبي بكر بأيّ درجة من درجات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مخالفة علماء الشيعة لإمامة أبي بكر؛ فقد استندوا في ذلك على أدلّة عقليّة ونقليّة معتبرة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5369797_1280447820"/>
      <w:bookmarkStart w:id="303" w:name="_Toc117"/>
      <w:bookmarkEnd w:id="302"/>
      <w:r>
        <w:rPr/>
        <w:t>24</w:t>
      </w:r>
      <w:r>
        <w:rPr>
          <w:rtl w:val="true"/>
        </w:rPr>
        <w:t xml:space="preserve"> /</w:t>
      </w:r>
      <w:r>
        <w:rPr/>
        <w:t>4</w:t>
      </w:r>
      <w:r>
        <w:rPr>
          <w:rtl w:val="true"/>
        </w:rPr>
        <w:t>.</w:t>
      </w:r>
      <w:r>
        <w:rPr>
          <w:rtl w:val="true"/>
        </w:rPr>
        <w:t>آية التطهير</w:t>
      </w:r>
      <w:r>
        <w:rPr>
          <w:rtl w:val="true"/>
        </w:rPr>
        <w:t>:</w:t>
      </w:r>
      <w:bookmarkEnd w:id="303"/>
    </w:p>
    <w:p>
      <w:pPr>
        <w:pStyle w:val="Heading5"/>
        <w:numPr>
          <w:ilvl w:val="4"/>
          <w:numId w:val="1"/>
        </w:numPr>
        <w:rPr/>
      </w:pPr>
      <w:bookmarkStart w:id="304" w:name="__RefHeading___Toc5369799_1280447820"/>
      <w:bookmarkStart w:id="305" w:name="_Toc118"/>
      <w:bookmarkEnd w:id="304"/>
      <w:r>
        <w:rPr>
          <w:rtl w:val="true"/>
        </w:rPr>
        <w:t>إشارة</w:t>
      </w:r>
      <w:bookmarkEnd w:id="305"/>
    </w:p>
    <w:p>
      <w:pPr>
        <w:pStyle w:val="BookText"/>
        <w:rPr/>
      </w:pPr>
      <w:r>
        <w:rPr>
          <w:rFonts w:ascii="Amiri" w:hAnsi="Amiri" w:eastAsia="Amiri" w:cs="Amiri"/>
          <w:color w:val="111111"/>
          <w:sz w:val="28"/>
          <w:sz w:val="28"/>
          <w:szCs w:val="28"/>
          <w:rtl w:val="true"/>
          <w:lang w:bidi="ar-SA"/>
        </w:rPr>
        <w:t xml:space="preserve">تمثّل آية التطهير إحدى أهمّ الأدلّة التي يُعتمد عليها في إثبات عصمة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والتي يمكن أن يُدلَّل من خلالها على حقانيّة إمامتهم؛ فقد قال الله سُبحَانَهُ وَتَعَالى في محكم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وبيان الاستدلال بهذه الآية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مفردات الآية ومجموع التفاسير التي أدلى بها علماء الفريقين، وما أوردوه في تفنيد الشبهات الملقاة في هذا المجال </w:t>
      </w:r>
      <w:r>
        <w:rPr>
          <w:rStyle w:val="FootnoteAnchor"/>
          <w:rtl w:val="true"/>
        </w:rPr>
        <w:footnoteReference w:id="330"/>
      </w:r>
      <w:r>
        <w:rPr>
          <w:rFonts w:ascii="IRNazanin" w:hAnsi="IRNazanin" w:eastAsia="IRNazanin"/>
          <w:color w:val="111111"/>
          <w:sz w:val="28"/>
          <w:sz w:val="28"/>
          <w:szCs w:val="28"/>
          <w:rtl w:val="true"/>
          <w:lang w:bidi="fa-IR"/>
        </w:rPr>
        <w:t xml:space="preserve">على ثبوت عصمة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نصّ الآية الكريمة فينطوي على مجموعة من المفردات المفتاحيّة التي يجب التطرّق إلى بيانها؛ وهي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فيما يأتي إضاءات دقيقة على معانيها</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5369801_1280447820"/>
      <w:bookmarkStart w:id="307" w:name="_Toc119"/>
      <w:bookmarkEnd w:id="306"/>
      <w:r>
        <w:rPr/>
        <w:t>24</w:t>
      </w:r>
      <w:r>
        <w:rPr>
          <w:rtl w:val="true"/>
        </w:rPr>
        <w:t xml:space="preserve"> /</w:t>
      </w:r>
      <w:r>
        <w:rPr/>
        <w:t>4</w:t>
      </w:r>
      <w:r>
        <w:rPr>
          <w:rtl w:val="true"/>
        </w:rPr>
        <w:t xml:space="preserve"> /</w:t>
      </w:r>
      <w:r>
        <w:rPr/>
        <w:t>1</w:t>
      </w:r>
      <w:r>
        <w:rPr>
          <w:rtl w:val="true"/>
        </w:rPr>
        <w:t xml:space="preserve">. </w:t>
      </w:r>
      <w:r>
        <w:rPr>
          <w:rtl w:val="true"/>
        </w:rPr>
        <w:t xml:space="preserve">مفردة </w:t>
      </w:r>
      <w:r>
        <w:rPr>
          <w:rtl w:val="true"/>
        </w:rPr>
        <w:t>«</w:t>
      </w:r>
      <w:r>
        <w:rPr>
          <w:rtl w:val="true"/>
        </w:rPr>
        <w:t>إنّما</w:t>
      </w:r>
      <w:r>
        <w:rPr>
          <w:rtl w:val="true"/>
        </w:rPr>
        <w:t>»:</w:t>
      </w:r>
      <w:bookmarkEnd w:id="30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هذه المفردة لغةً على الحصر؛ فعندما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عندي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في الدار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الذهن من الجملة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 عندي درهم فقط ؛ ولا غير، ومن الجملة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الدار هو زيد؛ ولا أحد غيره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308" w:name="pg16299_219526"/>
    </w:p>
    <w:p>
      <w:pPr>
        <w:pStyle w:val="BookText"/>
        <w:rPr/>
      </w:pPr>
      <w:bookmarkEnd w:id="308"/>
      <w:r>
        <w:rPr>
          <w:rFonts w:ascii="IRNazanin" w:hAnsi="IRNazanin" w:eastAsia="IRNazanin"/>
          <w:color w:val="111111"/>
          <w:sz w:val="28"/>
          <w:sz w:val="28"/>
          <w:szCs w:val="28"/>
          <w:rtl w:val="true"/>
          <w:lang w:bidi="fa-IR"/>
        </w:rPr>
        <w:t xml:space="preserve">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الكريمة على حصر إرادة الله عَزَّ وَجَلَّ في إعطائه العصمة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واستبعاده الرجس والإثم عنهم؛ دون غيرهم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5369803_1280447820"/>
      <w:bookmarkStart w:id="310" w:name="_Toc120"/>
      <w:bookmarkEnd w:id="309"/>
      <w:r>
        <w:rPr/>
        <w:t>24</w:t>
      </w:r>
      <w:r>
        <w:rPr>
          <w:rtl w:val="true"/>
        </w:rPr>
        <w:t xml:space="preserve">/ </w:t>
      </w:r>
      <w:r>
        <w:rPr/>
        <w:t>4</w:t>
      </w:r>
      <w:r>
        <w:rPr>
          <w:rtl w:val="true"/>
        </w:rPr>
        <w:t xml:space="preserve">/ </w:t>
      </w:r>
      <w:r>
        <w:rPr/>
        <w:t>2</w:t>
      </w:r>
      <w:r>
        <w:rPr>
          <w:rtl w:val="true"/>
        </w:rPr>
        <w:t xml:space="preserve">. </w:t>
      </w:r>
      <w:r>
        <w:rPr>
          <w:rtl w:val="true"/>
        </w:rPr>
        <w:t xml:space="preserve">مفردة </w:t>
      </w:r>
      <w:r>
        <w:rPr>
          <w:rtl w:val="true"/>
        </w:rPr>
        <w:t>«</w:t>
      </w:r>
      <w:r>
        <w:rPr>
          <w:rtl w:val="true"/>
        </w:rPr>
        <w:t>يريد</w:t>
      </w:r>
      <w:r>
        <w:rPr>
          <w:rtl w:val="true"/>
        </w:rPr>
        <w:t>»:</w:t>
      </w:r>
      <w:bookmarkEnd w:id="310"/>
    </w:p>
    <w:p>
      <w:pPr>
        <w:pStyle w:val="BookText"/>
        <w:rPr/>
      </w:pPr>
      <w:r>
        <w:rPr>
          <w:rFonts w:ascii="IRNazanin" w:hAnsi="IRNazanin" w:eastAsia="IRNazanin"/>
          <w:color w:val="111111"/>
          <w:sz w:val="28"/>
          <w:sz w:val="28"/>
          <w:szCs w:val="28"/>
          <w:rtl w:val="true"/>
          <w:lang w:bidi="fa-IR"/>
        </w:rPr>
        <w:t xml:space="preserve">تدلّ هذه المفردة على الإرادة التكوينيّة لله جَلَّ وَعَلا؛ ذلك لأنّ الإرادة الإلهيّة التشريعيّة في ترك الآثام وتجنّب المعاصي ليست منحصرة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تشمل جميع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 الإرادة الإلهيّة التكوينيّة في نفي الإثم والرجس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الجبر التكوينيّ؛ بل هو نوع من اللياقة الذاتيّة والموهبة الإلهيّة والجدارة الاكتسابيّة النابعة من إرادة الشخص نفسه؛ ذلك لأجل أن يكون أسوة وقدوة لكل الناس، والحال هنا مشابه لما يقوم به الإنسان من اجتناب الاحتراق بالنار ؛ فهي حالة نابعة من أعماق وجود الإنسان، ومعارفه، وسائر المنطلقات الفطريّة والطبيعيّة المحيطة به ؛ من دون أن يكون هناك أيّ لون من ألوان الجبر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5369805_1280447820"/>
      <w:bookmarkStart w:id="312" w:name="_Toc121"/>
      <w:bookmarkEnd w:id="311"/>
      <w:r>
        <w:rPr/>
        <w:t>24</w:t>
      </w:r>
      <w:r>
        <w:rPr>
          <w:rtl w:val="true"/>
        </w:rPr>
        <w:t xml:space="preserve"> /</w:t>
      </w:r>
      <w:r>
        <w:rPr/>
        <w:t>4</w:t>
      </w:r>
      <w:r>
        <w:rPr>
          <w:rtl w:val="true"/>
        </w:rPr>
        <w:t xml:space="preserve"> /</w:t>
      </w:r>
      <w:r>
        <w:rPr/>
        <w:t>3</w:t>
      </w:r>
      <w:r>
        <w:rPr>
          <w:rtl w:val="true"/>
        </w:rPr>
        <w:t xml:space="preserve">. </w:t>
      </w:r>
      <w:r>
        <w:rPr>
          <w:rtl w:val="true"/>
        </w:rPr>
        <w:t xml:space="preserve">مفردة </w:t>
      </w:r>
      <w:r>
        <w:rPr>
          <w:rtl w:val="true"/>
        </w:rPr>
        <w:t>«</w:t>
      </w:r>
      <w:r>
        <w:rPr>
          <w:rtl w:val="true"/>
        </w:rPr>
        <w:t>الرجس</w:t>
      </w:r>
      <w:r>
        <w:rPr>
          <w:rtl w:val="true"/>
        </w:rPr>
        <w:t>»:</w:t>
      </w:r>
      <w:bookmarkEnd w:id="312"/>
    </w:p>
    <w:p>
      <w:pPr>
        <w:pStyle w:val="BookText"/>
        <w:rPr/>
      </w:pPr>
      <w:r>
        <w:rPr>
          <w:rFonts w:ascii="Amiri" w:hAnsi="Amiri" w:eastAsia="Amiri" w:cs="Amiri"/>
          <w:color w:val="111111"/>
          <w:sz w:val="28"/>
          <w:sz w:val="28"/>
          <w:szCs w:val="28"/>
          <w:rtl w:val="true"/>
          <w:lang w:bidi="ar-SA"/>
        </w:rPr>
        <w:t>تدلّ هذه المفردة على الآثام والقاذورات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ويوحي هذا اللفظ بهيئة تبعث نفس الإنسان إلى التنفّر والاجتناب</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الألف واللام في هذه الكلمة في ضمن سياق الآية الكريمة فهي ما يُعرف بلام الجنس ؛ أي إنّ الله سُبحَانَهُ وَتَعَالى يريد أن يُبعد جميع ضروب الآثام والرذائل والهيئات الخبيثة عن نفوس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ويزيلها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الإزالة لا تجري إلّا مع افتراض العصمة الإلهيّة التي ترعى الإنسان من كلّ ما هو باطل؛ سواء كان </w:t>
      </w:r>
      <w:bookmarkStart w:id="313" w:name="pg16299_219527"/>
    </w:p>
    <w:p>
      <w:pPr>
        <w:pStyle w:val="BookText"/>
        <w:rPr/>
      </w:pPr>
      <w:bookmarkEnd w:id="313"/>
      <w:r>
        <w:rPr>
          <w:rFonts w:ascii="Amiri" w:hAnsi="Amiri" w:eastAsia="Amiri" w:cs="Amiri"/>
          <w:color w:val="111111"/>
          <w:sz w:val="28"/>
          <w:sz w:val="28"/>
          <w:szCs w:val="28"/>
          <w:rtl w:val="true"/>
          <w:lang w:bidi="ar-SA"/>
        </w:rPr>
        <w:t xml:space="preserve">على مستوى العقيدة أو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ابن عباس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العمل الشيطانيّ القبيح الذي لا يلازمه رضا الله جَلَّ وَعَلا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5369807_1280447820"/>
      <w:bookmarkStart w:id="315" w:name="_Toc122"/>
      <w:bookmarkEnd w:id="314"/>
      <w:r>
        <w:rPr/>
        <w:t>24</w:t>
      </w:r>
      <w:r>
        <w:rPr>
          <w:rtl w:val="true"/>
        </w:rPr>
        <w:t xml:space="preserve"> /</w:t>
      </w:r>
      <w:r>
        <w:rPr/>
        <w:t>4</w:t>
      </w:r>
      <w:r>
        <w:rPr>
          <w:rtl w:val="true"/>
        </w:rPr>
        <w:t xml:space="preserve">/ </w:t>
      </w:r>
      <w:r>
        <w:rPr/>
        <w:t>4</w:t>
      </w:r>
      <w:r>
        <w:rPr>
          <w:rtl w:val="true"/>
        </w:rPr>
        <w:t xml:space="preserve">. </w:t>
      </w:r>
      <w:r>
        <w:rPr>
          <w:rtl w:val="true"/>
        </w:rPr>
        <w:t xml:space="preserve">مفردة </w:t>
      </w:r>
      <w:r>
        <w:rPr>
          <w:rtl w:val="true"/>
        </w:rPr>
        <w:t>«</w:t>
      </w:r>
      <w:r>
        <w:rPr>
          <w:rtl w:val="true"/>
        </w:rPr>
        <w:t>تطهيراً</w:t>
      </w:r>
      <w:r>
        <w:rPr>
          <w:rtl w:val="true"/>
        </w:rPr>
        <w:t>»:</w:t>
      </w:r>
      <w:bookmarkEnd w:id="315"/>
    </w:p>
    <w:p>
      <w:pPr>
        <w:pStyle w:val="BookText"/>
        <w:rPr/>
      </w:pPr>
      <w:r>
        <w:rPr>
          <w:rFonts w:ascii="Amiri" w:hAnsi="Amiri" w:eastAsia="Amiri" w:cs="Amiri"/>
          <w:color w:val="111111"/>
          <w:sz w:val="28"/>
          <w:sz w:val="28"/>
          <w:szCs w:val="28"/>
          <w:rtl w:val="true"/>
          <w:lang w:bidi="ar-SA"/>
        </w:rPr>
        <w:t xml:space="preserve">تدلّ هذه المفردة على جعل الشيء طاهراً،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لقضية إذهاب الرجس، ونفي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ورودها هنا بصيغة المفعول المطلق دالّا على تأكيد آخر على ذات المعنى</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5369809_1280447820"/>
      <w:bookmarkStart w:id="317" w:name="_Toc123"/>
      <w:bookmarkEnd w:id="316"/>
      <w:r>
        <w:rPr/>
        <w:t>24</w:t>
      </w:r>
      <w:r>
        <w:rPr>
          <w:rtl w:val="true"/>
        </w:rPr>
        <w:t xml:space="preserve"> /</w:t>
      </w:r>
      <w:r>
        <w:rPr/>
        <w:t>4</w:t>
      </w:r>
      <w:r>
        <w:rPr>
          <w:rtl w:val="true"/>
        </w:rPr>
        <w:t xml:space="preserve"> /</w:t>
      </w:r>
      <w:r>
        <w:rPr/>
        <w:t>5</w:t>
      </w:r>
      <w:r>
        <w:rPr>
          <w:rtl w:val="true"/>
        </w:rPr>
        <w:t xml:space="preserve">. </w:t>
      </w:r>
      <w:r>
        <w:rPr>
          <w:rtl w:val="true"/>
        </w:rPr>
        <w:t xml:space="preserve">مفردة </w:t>
      </w:r>
      <w:r>
        <w:rPr>
          <w:rtl w:val="true"/>
        </w:rPr>
        <w:t>«</w:t>
      </w:r>
      <w:r>
        <w:rPr>
          <w:rtl w:val="true"/>
        </w:rPr>
        <w:t>أهل البيت</w:t>
      </w:r>
      <w:r>
        <w:rPr>
          <w:rtl w:val="true"/>
        </w:rPr>
        <w:t>»:</w:t>
      </w:r>
      <w:bookmarkEnd w:id="317"/>
    </w:p>
    <w:p>
      <w:pPr>
        <w:pStyle w:val="BookText"/>
        <w:rPr/>
      </w:pPr>
      <w:r>
        <w:rPr>
          <w:rFonts w:ascii="Amiri" w:hAnsi="Amiri" w:eastAsia="Amiri" w:cs="Amiri"/>
          <w:color w:val="111111"/>
          <w:sz w:val="28"/>
          <w:sz w:val="28"/>
          <w:szCs w:val="28"/>
          <w:rtl w:val="true"/>
          <w:lang w:bidi="ar-SA"/>
        </w:rPr>
        <w:t xml:space="preserve">تشير هذه المفردة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علماء الإسلام؛ لا سيّما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بعضهم إلى اختصاصها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آخرون أنّها تشمل الرجال والنساء من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بعضهم جزم بأنّ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 الخمسة من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دون غيرهم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انحصار هذه المفردة في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وارد قطعاً؛ فإنّ الضمير في قوله عنكم ضمير مذكّر لا يتناسب مع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يتّجه إرجاعه إليهنّ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تتفق آراء علماء أهل السنّة في هذه النقطة تحديداً؛ فقد ذهب ابن كثير الدمشقيّ مستنداً إلى رواية عكرمة إلى أنّ الآية تنصّ على دخول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أهل البيت؛ لأنّهنّ سبب نزول هذه الآية، وسبب النزول داخل لا محالة في معنى الآية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ورأى آخرون أنّ هذه المفردة لا تنحصر بنساء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نجد في بعض 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يخالف ذلك؛ فقد روت أمّ سلمة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من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سألته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فأدخلت رأسي البيت،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إلى خير، إنَّك إلى خير </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علماء الإماميّة فذهبوا إلى أنّ أهل البيت لفظ مختصّ بالخمسة من أهل الكساء ، ومنحصر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استند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رواه أبو سعيد الخدري وأنس بن مالك وعائشة وأمّ سلمة ورد فيه أنّ الآية قد نزلت في شأن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مفنّداً بذلك رواية عكرمة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الشيخ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 عمل الشيطان، وما ليس لله فيه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التعريف فيه للعهد، و المراد به بيت النبوّة والرسالة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سعيد الخدري، وأنس بن مالك، وواثلة بن الأسقع، وعائشة،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مختصّة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أجمع مفسّرو الإماميّة على هذا الرأي</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18" w:name="pg16299_219529"/>
    </w:p>
    <w:p>
      <w:pPr>
        <w:pStyle w:val="Heading4"/>
        <w:numPr>
          <w:ilvl w:val="3"/>
          <w:numId w:val="1"/>
        </w:numPr>
        <w:rPr/>
      </w:pPr>
      <w:bookmarkStart w:id="319" w:name="__RefHeading___Toc5369811_1280447820"/>
      <w:bookmarkStart w:id="320" w:name="_Toc124"/>
      <w:bookmarkEnd w:id="318"/>
      <w:bookmarkEnd w:id="319"/>
      <w:r>
        <w:rPr/>
        <w:t>24</w:t>
      </w:r>
      <w:r>
        <w:rPr>
          <w:rtl w:val="true"/>
        </w:rPr>
        <w:t xml:space="preserve">/ </w:t>
      </w:r>
      <w:r>
        <w:rPr/>
        <w:t>5</w:t>
      </w:r>
      <w:r>
        <w:rPr>
          <w:rtl w:val="true"/>
        </w:rPr>
        <w:t>.</w:t>
      </w:r>
      <w:r>
        <w:rPr>
          <w:rtl w:val="true"/>
        </w:rPr>
        <w:t xml:space="preserve">شبهات العامّة على آية التطهير </w:t>
      </w:r>
      <w:r>
        <w:rPr>
          <w:rtl w:val="true"/>
        </w:rPr>
        <w:t>:</w:t>
      </w:r>
      <w:bookmarkEnd w:id="320"/>
    </w:p>
    <w:p>
      <w:pPr>
        <w:pStyle w:val="Heading5"/>
        <w:numPr>
          <w:ilvl w:val="4"/>
          <w:numId w:val="1"/>
        </w:numPr>
        <w:rPr/>
      </w:pPr>
      <w:bookmarkStart w:id="321" w:name="__RefHeading___Toc5369813_1280447820"/>
      <w:bookmarkStart w:id="322" w:name="_Toc125"/>
      <w:bookmarkEnd w:id="321"/>
      <w:r>
        <w:rPr>
          <w:rtl w:val="true"/>
        </w:rPr>
        <w:t>إشارة</w:t>
      </w:r>
      <w:bookmarkEnd w:id="322"/>
    </w:p>
    <w:p>
      <w:pPr>
        <w:pStyle w:val="BookText"/>
        <w:rPr/>
      </w:pPr>
      <w:r>
        <w:rPr>
          <w:rFonts w:ascii="Amiri" w:hAnsi="Amiri" w:eastAsia="Amiri" w:cs="Amiri"/>
          <w:color w:val="111111"/>
          <w:sz w:val="28"/>
          <w:sz w:val="28"/>
          <w:szCs w:val="28"/>
          <w:rtl w:val="true"/>
          <w:lang w:bidi="ar-SA"/>
        </w:rPr>
        <w:t>استعرض أبناء العامّة من أهل السنّة بعض الشبهات على آراء علماء الإمامية؛ نذكر منها على سبيل المثال ما يأتي</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5369815_1280447820"/>
      <w:bookmarkStart w:id="324" w:name="_Toc126"/>
      <w:bookmarkEnd w:id="323"/>
      <w:r>
        <w:rPr/>
        <w:t>24</w:t>
      </w:r>
      <w:r>
        <w:rPr>
          <w:rtl w:val="true"/>
        </w:rPr>
        <w:t xml:space="preserve"> /</w:t>
      </w:r>
      <w:r>
        <w:rPr/>
        <w:t>5</w:t>
      </w:r>
      <w:r>
        <w:rPr>
          <w:rtl w:val="true"/>
        </w:rPr>
        <w:t xml:space="preserve"> /</w:t>
      </w:r>
      <w:r>
        <w:rPr/>
        <w:t>1</w:t>
      </w:r>
      <w:r>
        <w:rPr>
          <w:rtl w:val="true"/>
        </w:rPr>
        <w:t xml:space="preserve">. </w:t>
      </w:r>
      <w:r>
        <w:rPr>
          <w:rtl w:val="true"/>
        </w:rPr>
        <w:t>الشبهة الأولى</w:t>
      </w:r>
      <w:r>
        <w:rPr>
          <w:rtl w:val="true"/>
        </w:rPr>
        <w:t>:</w:t>
      </w:r>
      <w:bookmarkEnd w:id="324"/>
    </w:p>
    <w:p>
      <w:pPr>
        <w:pStyle w:val="BookText"/>
        <w:rPr/>
      </w:pPr>
      <w:r>
        <w:rPr>
          <w:rFonts w:ascii="Amiri" w:hAnsi="Amiri" w:eastAsia="Amiri" w:cs="Amiri"/>
          <w:color w:val="111111"/>
          <w:sz w:val="28"/>
          <w:sz w:val="28"/>
          <w:szCs w:val="28"/>
          <w:rtl w:val="true"/>
          <w:lang w:bidi="ar-SA"/>
        </w:rPr>
        <w:t xml:space="preserve">المقصود من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آية التطهير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لأنّ هذا اللفظ ورد في وسط الآية التي تحدّثت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أجابوا على ذلك بنقاط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على ما صرّحت به بعض الروايات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جملة آيات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تنزل في شأنهنّ، فمن بين سبعين رواية تحدّثت عن هذه الآية لا وجود لرواية واحدة تنصّ على أنّ الآية نزلت في ذيل آيات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إنّ نفس عكرمة الذي قال باختصاص آية التطهير بنساء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يقل أنّ هذه الآية قد نزلت ضمن آيات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على العكس تماماً؛ فقد دلّت الروايات المعتبرة على اختصاص هذه الآية بالخمسة من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نزلت في شأنهم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يُستخدم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المذكّر، ومعلوم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إن كان مراد الآية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لوجب أن تكون الكلمات ذات الضمائر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بصيغة المذكّر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الروايات التاريخيّة على امتلاك كل واحدة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خاصّاً بها؛ فلو كنّ هنّ المقصودات بالآية لوجب أن تأتي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لا مفرداً، ولكانت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bookmarkStart w:id="325" w:name="pg16299_219530"/>
    </w:p>
    <w:p>
      <w:pPr>
        <w:pStyle w:val="Heading5"/>
        <w:numPr>
          <w:ilvl w:val="4"/>
          <w:numId w:val="1"/>
        </w:numPr>
        <w:rPr/>
      </w:pPr>
      <w:bookmarkStart w:id="326" w:name="__RefHeading___Toc5369817_1280447820"/>
      <w:bookmarkStart w:id="327" w:name="_Toc127"/>
      <w:bookmarkEnd w:id="325"/>
      <w:bookmarkEnd w:id="326"/>
      <w:r>
        <w:rPr/>
        <w:t>24</w:t>
      </w:r>
      <w:r>
        <w:rPr>
          <w:rtl w:val="true"/>
        </w:rPr>
        <w:t xml:space="preserve"> /</w:t>
      </w:r>
      <w:r>
        <w:rPr/>
        <w:t>5</w:t>
      </w:r>
      <w:r>
        <w:rPr>
          <w:rtl w:val="true"/>
        </w:rPr>
        <w:t xml:space="preserve"> /</w:t>
      </w:r>
      <w:r>
        <w:rPr/>
        <w:t>2</w:t>
      </w:r>
      <w:r>
        <w:rPr>
          <w:rtl w:val="true"/>
        </w:rPr>
        <w:t>.</w:t>
      </w:r>
      <w:r>
        <w:rPr>
          <w:rtl w:val="true"/>
        </w:rPr>
        <w:t xml:space="preserve">الشبهة الثانية </w:t>
      </w:r>
      <w:r>
        <w:rPr>
          <w:rtl w:val="true"/>
        </w:rPr>
        <w:t>:</w:t>
      </w:r>
      <w:bookmarkEnd w:id="327"/>
    </w:p>
    <w:p>
      <w:pPr>
        <w:pStyle w:val="BookText"/>
        <w:rPr/>
      </w:pPr>
      <w:r>
        <w:rPr>
          <w:rFonts w:ascii="Amiri" w:hAnsi="Amiri" w:eastAsia="Amiri" w:cs="Amiri"/>
          <w:color w:val="111111"/>
          <w:sz w:val="28"/>
          <w:sz w:val="28"/>
          <w:szCs w:val="28"/>
          <w:rtl w:val="true"/>
          <w:lang w:bidi="ar-SA"/>
        </w:rPr>
        <w:t xml:space="preserve">روى واثلة بن أسقع أنّه كان حاضراً في بيت أمّ سلمة عندما نزلت آية التطهير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فسأل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أنا من أهلك ؟ 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وأنت من أهلي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على ذلك، إن كان ابن أسقع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الأولويّة بمكان أن تكون نساؤه من أهل بيته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على ذلك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استبدلت جملة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آخر لهذه الرواية بجملة أخرى لم ترد في هذا الطريق؛ حيث ورد في الطريق الآخر أنّ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سؤال واثلة أن غطّى علياًّ وفاطمة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أهل بيتي أحقّ</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بالرواية من هذا الطريق؛ فإنّها أيضاً غير وافية بما يرجونه منها، فإنّ المعنى عندئذٍ أنّ واثلة من 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من أهل بيته،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 يُطلق على الزوجة والولد والقوم والعشيرة، بل ويُطلق على الأتباع أيضاً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328" w:name="__RefHeading___Toc5369819_1280447820"/>
      <w:bookmarkStart w:id="329" w:name="_Toc128"/>
      <w:bookmarkEnd w:id="328"/>
      <w:r>
        <w:rPr/>
        <w:t>24</w:t>
      </w:r>
      <w:r>
        <w:rPr>
          <w:rtl w:val="true"/>
        </w:rPr>
        <w:t xml:space="preserve"> /</w:t>
      </w:r>
      <w:r>
        <w:rPr/>
        <w:t>5</w:t>
      </w:r>
      <w:r>
        <w:rPr>
          <w:rtl w:val="true"/>
        </w:rPr>
        <w:t xml:space="preserve"> /</w:t>
      </w:r>
      <w:r>
        <w:rPr/>
        <w:t>3</w:t>
      </w:r>
      <w:r>
        <w:rPr>
          <w:rtl w:val="true"/>
        </w:rPr>
        <w:t xml:space="preserve">. </w:t>
      </w:r>
      <w:r>
        <w:rPr>
          <w:rtl w:val="true"/>
        </w:rPr>
        <w:t>الشبهة الثالثة</w:t>
      </w:r>
      <w:r>
        <w:rPr>
          <w:rtl w:val="true"/>
        </w:rPr>
        <w:t>:</w:t>
      </w:r>
      <w:bookmarkEnd w:id="3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آية التطهير تدلّ على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آية نفي الحرج تدلّ أيضاً على عصمة المسلمين الذين شاركوا في غزوة بدر ؛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30" w:name="pg16299_219531"/>
    </w:p>
    <w:p>
      <w:pPr>
        <w:pStyle w:val="BookText"/>
        <w:rPr/>
      </w:pPr>
      <w:bookmarkEnd w:id="330"/>
      <w:r>
        <w:rPr>
          <w:rFonts w:ascii="Amiri" w:hAnsi="Amiri" w:eastAsia="Amiri" w:cs="Amiri"/>
          <w:color w:val="111111"/>
          <w:sz w:val="28"/>
          <w:sz w:val="28"/>
          <w:szCs w:val="28"/>
          <w:rtl w:val="true"/>
          <w:lang w:bidi="ar-SA"/>
        </w:rPr>
        <w:t>فإنّ إتمام النعمة الإلهيّة عليهم لا يحصل من دون أن يكونوا محفوظين من شرّ الشيطان، وارتكاب المعاصي</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أجابوا على هذه الشبهة بعدم اختصاص هذه الآية بأصحاب بدر؛ دون غيرهم، فالآية مرتبطة بتشريع الوضوء والغسل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فهي تشمل جميع المسلمين بالإرادة التشريعيّة؛ إذ أراد الله سُبحَانَهُ وَتَعَالى أن يُذهب عن المسلمين الحرج وعن قلوبهم الهمّ؛ وذلك حينما يستفيقوا من نومهم مجنبين؛ فأنزل عليهم الغيث ليتطهّروا من جنابتهم، وكما تسبّب هطول الغيث في إزالة العناء الروحي عن كاهل المسلمين فاستطاعوا أن يتطهّروا ويقيموا صلاتهم، تسبّب أيضاً في تثبيت رمال المعسكر ، فأضحت خطواتهم أكثر ثباتاً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5369821_1280447820"/>
      <w:bookmarkStart w:id="332" w:name="_Toc129"/>
      <w:bookmarkEnd w:id="331"/>
      <w:r>
        <w:rPr/>
        <w:t>24</w:t>
      </w:r>
      <w:r>
        <w:rPr>
          <w:rtl w:val="true"/>
        </w:rPr>
        <w:t xml:space="preserve"> /</w:t>
      </w:r>
      <w:r>
        <w:rPr/>
        <w:t>6</w:t>
      </w:r>
      <w:r>
        <w:rPr>
          <w:rtl w:val="true"/>
        </w:rPr>
        <w:t>.</w:t>
      </w:r>
      <w:r>
        <w:rPr>
          <w:rtl w:val="true"/>
        </w:rPr>
        <w:t>آية الولاية</w:t>
      </w:r>
      <w:bookmarkEnd w:id="332"/>
    </w:p>
    <w:p>
      <w:pPr>
        <w:pStyle w:val="Heading5"/>
        <w:numPr>
          <w:ilvl w:val="4"/>
          <w:numId w:val="1"/>
        </w:numPr>
        <w:rPr/>
      </w:pPr>
      <w:bookmarkStart w:id="333" w:name="__RefHeading___Toc5369823_1280447820"/>
      <w:bookmarkStart w:id="334" w:name="_Toc130"/>
      <w:bookmarkEnd w:id="333"/>
      <w:r>
        <w:rPr>
          <w:rtl w:val="true"/>
        </w:rPr>
        <w:t>إشارة</w:t>
      </w:r>
      <w:bookmarkEnd w:id="334"/>
    </w:p>
    <w:p>
      <w:pPr>
        <w:pStyle w:val="BookText"/>
        <w:rPr/>
      </w:pPr>
      <w:r>
        <w:rPr>
          <w:rFonts w:ascii="Amiri" w:hAnsi="Amiri" w:eastAsia="Amiri" w:cs="Amiri"/>
          <w:color w:val="111111"/>
          <w:sz w:val="28"/>
          <w:sz w:val="28"/>
          <w:szCs w:val="28"/>
          <w:rtl w:val="true"/>
          <w:lang w:bidi="ar-SA"/>
        </w:rPr>
        <w:t xml:space="preserve">تمثل آية الولاية دليلاً محكماً في إثبات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ولايته وخلافته المباشرة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الله عزّ وجلّ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أداة تدلّ على الحصر، وأمّا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تدلّ على التكفّل بشيء والأخذ بزمام أمره؛ كما ورد في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وأنا من عليّ؛ وهو وليّكم بعدي</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تنطوي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معانٍ متعدّدة، لكنّ تعدّد المعاني فيها هل هو من باب الاشتراك اللفظيّ، أم الاشتراك المعنوي؟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هذه المفردة من المشترك المعنويّ فهذا يعني أنّها تستخدم في معنى واحد على الدوام ؛ وهو معنى القيموميّة وتدبير أمور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وليّ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يعني أنّ زيداً هو القيّم على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المدبّر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السلطان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تكفّل أمور المملكة، وأخذ بزمام إدارتها ومسؤولياتها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المشترك اللفظي فهذا يعني أنّ اللفظ ينطوي على معان كثيرة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هذه المعاني هو التقدّم والأولويّة على الجميع فيه، وهذا هو الذي يمكن الوصول إليه من خلال أخذ قرينة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وتوجد في الآية المباركة مجموعة من القرائن والشواهد التي تُثبت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بالمعنى الذي ذكرته الإماميّة؛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والأفضليّة والأهليّة لتولّي أمور المسلمين والأخذ بزمامها ؛ لا ما ذهب إليه الفضل بن روزبهان في ردّه على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بهذه الآية؛ إذ ادّعى أنّها بمعنى النصرة والعون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بتصدّق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بخاتمه على الفقير؛ 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طرفه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أخي موسى 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وَيَسِّرْ لِي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وَاحْلُلْ عُقْدَةً مِنْ 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يَفْقَهُوا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فأنزلت عليه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عَضُدَكَ بِأَخِيكَ وَنَجْعَلُ لَكُمَا سُلْطَانًا فَلَا يَصِلُونَ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محمّد نبيّك وصفيّك؛ اللّهمّ فاشرح </w:t>
      </w:r>
      <w:bookmarkStart w:id="335" w:name="pg16299_219533"/>
    </w:p>
    <w:p>
      <w:pPr>
        <w:pStyle w:val="BookText"/>
        <w:rPr/>
      </w:pPr>
      <w:bookmarkEnd w:id="335"/>
      <w:r>
        <w:rPr>
          <w:rFonts w:ascii="IRNazanin" w:hAnsi="IRNazanin" w:eastAsia="IRNazanin"/>
          <w:color w:val="111111"/>
          <w:sz w:val="28"/>
          <w:sz w:val="28"/>
          <w:szCs w:val="28"/>
          <w:rtl w:val="true"/>
          <w:lang w:bidi="fa-IR"/>
        </w:rPr>
        <w:t>لي صدري، ويسّر لي أمري، واجعل لي وزيراً من أهلي عليّاً، أشدد به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استتم دعاءه، حتى نزل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عزّ 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إقرأ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5369825_1280447820"/>
      <w:bookmarkStart w:id="337" w:name="_Toc131"/>
      <w:bookmarkEnd w:id="336"/>
      <w:r>
        <w:rPr/>
        <w:t>24</w:t>
      </w:r>
      <w:r>
        <w:rPr>
          <w:rtl w:val="true"/>
        </w:rPr>
        <w:t xml:space="preserve"> /</w:t>
      </w:r>
      <w:r>
        <w:rPr/>
        <w:t>6</w:t>
      </w:r>
      <w:r>
        <w:rPr>
          <w:rtl w:val="true"/>
        </w:rPr>
        <w:t xml:space="preserve"> /</w:t>
      </w:r>
      <w:r>
        <w:rPr/>
        <w:t>1</w:t>
      </w:r>
      <w:r>
        <w:rPr>
          <w:rtl w:val="true"/>
        </w:rPr>
        <w:t xml:space="preserve">. </w:t>
      </w:r>
      <w:r>
        <w:rPr>
          <w:rtl w:val="true"/>
        </w:rPr>
        <w:t>شبهة صيغة الجمع</w:t>
      </w:r>
      <w:r>
        <w:rPr>
          <w:rtl w:val="true"/>
        </w:rPr>
        <w:t>:</w:t>
      </w:r>
      <w:bookmarkEnd w:id="337"/>
    </w:p>
    <w:p>
      <w:pPr>
        <w:pStyle w:val="BookText"/>
        <w:rPr/>
      </w:pPr>
      <w:r>
        <w:rPr>
          <w:rFonts w:ascii="IRNazanin" w:hAnsi="IRNazanin" w:eastAsia="IRNazanin"/>
          <w:color w:val="111111"/>
          <w:sz w:val="28"/>
          <w:sz w:val="28"/>
          <w:szCs w:val="28"/>
          <w:rtl w:val="true"/>
          <w:lang w:bidi="fa-IR"/>
        </w:rPr>
        <w:t xml:space="preserve">استعرض أهل السنّة إشكالاً على ما ذهبت إليه الإماميّة من الاستدلال بالآية الكريمة على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أنّ المخاطب في آية الولاية جمع،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ذلك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آيات أخرى أيضاً إطلاق لفظ الجمع وإرادة المفرد؛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فقد قال سُبحَانَهُ وَتَعَالى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وَنِسَاءَنَا وَنِسَاءَكُمْ وَأَنْفُسَنَا وَأَنْفُسَكُمْ ثُمَّ نَبْتَهِلْ</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برّر الزمخشريّ استخدام الجمع مكان المفرد؛ فكتب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به على لفظ الجمع ؛ وإن كان السبب فيه رجلاً واحداً، ليرغب الناس في مثل فعله فينالوا مثل ثوابه ،ولينبّه على أنّ سجيّة المؤمنين يجب أن تكون على هذه الغاية من الحرص على البرّ، والإحسان، وتفقد الفقراء</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ذهب العلّامة السيّد شرف الدين إلى أنّ استعمال الجمع وإرادة المفرد في هذه الآية ضرب من ضروب الخطّة الإلهيّة للحفاظ على القرآن الكريم وصيانته من التحريف على يد المنافقين وأعداء الدين وأعداء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338" w:name="pg16299_219534"/>
    </w:p>
    <w:p>
      <w:pPr>
        <w:pStyle w:val="Heading4"/>
        <w:numPr>
          <w:ilvl w:val="3"/>
          <w:numId w:val="1"/>
        </w:numPr>
        <w:rPr/>
      </w:pPr>
      <w:bookmarkStart w:id="339" w:name="__RefHeading___Toc5369827_1280447820"/>
      <w:bookmarkStart w:id="340" w:name="_Toc132"/>
      <w:bookmarkEnd w:id="338"/>
      <w:bookmarkEnd w:id="339"/>
      <w:r>
        <w:rPr/>
        <w:t>24</w:t>
      </w:r>
      <w:r>
        <w:rPr>
          <w:rtl w:val="true"/>
        </w:rPr>
        <w:t xml:space="preserve">/ </w:t>
      </w:r>
      <w:r>
        <w:rPr/>
        <w:t>7</w:t>
      </w:r>
      <w:r>
        <w:rPr>
          <w:rtl w:val="true"/>
        </w:rPr>
        <w:t xml:space="preserve">. </w:t>
      </w:r>
      <w:r>
        <w:rPr>
          <w:rtl w:val="true"/>
        </w:rPr>
        <w:t xml:space="preserve">حديث الغدير </w:t>
      </w:r>
      <w:r>
        <w:rPr>
          <w:rtl w:val="true"/>
        </w:rPr>
        <w:t>:</w:t>
      </w:r>
      <w:bookmarkEnd w:id="340"/>
    </w:p>
    <w:p>
      <w:pPr>
        <w:pStyle w:val="BookText"/>
        <w:rPr/>
      </w:pPr>
      <w:r>
        <w:rPr>
          <w:rFonts w:ascii="Amiri" w:hAnsi="Amiri" w:eastAsia="Amiri" w:cs="Amiri"/>
          <w:color w:val="111111"/>
          <w:sz w:val="28"/>
          <w:sz w:val="28"/>
          <w:szCs w:val="28"/>
          <w:rtl w:val="true"/>
          <w:lang w:bidi="ar-SA"/>
        </w:rPr>
        <w:t>روى أحمد بن حنبل في مسنده بسند صحيح عن زيد بن أرقم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بالصلاة فصلّاها بهجير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فخطبنا وظُلّل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على شجرة سمر من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النسائي في سننه بسند صحيح عن أبي الطّفيل عن ابن أرقم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رجع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أمر بدوحات فأقمن،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 ، وإنّي تارك فيكم الثقلين، أحدهما أكبر من الآخر، كتاب الله وعترتي أهل بيتي، فانظروا كيف تخلفوني فيهما، فإنّهما لن يفترقا حتّى يردا علىّ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مولاي، وأنا مولى كلّ مؤمن، ثمّ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وليّه فهذا وليّه اللّهمّ وال 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كان في الدرجات أحد ، إلّا رآه بعينه، وسمعه بأذنيه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تجدر الإشارة إلى بعض النقاط المهمة؛ وأبرزها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حديث الغدير في صحيح مسلم، ومسند أحمد، وكثير من المصادر الحديثية لأهل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حادثة الغدير نزلت الآية الشريفة التي يقول فيها عَزّ وَجَلَّ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bookmarkStart w:id="341" w:name="pg16299_219535"/>
    </w:p>
    <w:p>
      <w:pPr>
        <w:pStyle w:val="BookText"/>
        <w:rPr/>
      </w:pPr>
      <w:bookmarkEnd w:id="341"/>
      <w:r>
        <w:rPr>
          <w:rFonts w:ascii="Amiri" w:hAnsi="Amiri" w:eastAsia="Amiri" w:cs="Amiri"/>
          <w:color w:val="111111"/>
          <w:sz w:val="28"/>
          <w:sz w:val="28"/>
          <w:szCs w:val="28"/>
          <w:rtl w:val="true"/>
          <w:lang w:bidi="ar-SA"/>
        </w:rPr>
        <w:t xml:space="preserve">ومن بعد أن أتمّ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أنزل الله تَبَارَكَ وَتَعَالى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انتهت خطبة الغدير وبدأ الناس يبايعون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وسأل أن يُنزِّل الله عليه العذاب؛ فنزل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وحلّ به العذاب عاجلًا في حينه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مئة وعشرين صحابيّاً بين رجل وامرأة رووا حديث الغدير؛ وقد نقل محدّثو أهل السنّة في كتبهم هذا الحديث بسلاسل من السند المعتبر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عدد رواة الحديث من التابعين أضعاف عدد رواته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هذا الحديث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أذعن لتواتره كوكبة من علماء أهل السنّة؛ 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والكتّاني، والشيخ علي المتقي الهندي، وشمس الدين الذهبي، والحافظ الكبير شمس الدين الجَزَري، وغيرهم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5369829_1280447820"/>
      <w:bookmarkStart w:id="343" w:name="_Toc133"/>
      <w:bookmarkEnd w:id="342"/>
      <w:r>
        <w:rPr/>
        <w:t>24</w:t>
      </w:r>
      <w:r>
        <w:rPr>
          <w:rtl w:val="true"/>
        </w:rPr>
        <w:t xml:space="preserve">/ </w:t>
      </w:r>
      <w:r>
        <w:rPr/>
        <w:t>8</w:t>
      </w:r>
      <w:r>
        <w:rPr>
          <w:rtl w:val="true"/>
        </w:rPr>
        <w:t>.</w:t>
      </w:r>
      <w:r>
        <w:rPr>
          <w:rtl w:val="true"/>
        </w:rPr>
        <w:t xml:space="preserve">حديث الثقلين </w:t>
      </w:r>
      <w:r>
        <w:rPr>
          <w:rtl w:val="true"/>
        </w:rPr>
        <w:t>:</w:t>
      </w:r>
      <w:bookmarkEnd w:id="34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يمثّل حديث الثقلين أحد أبرز الأدلّة على إمامة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344" w:name="pg16299_219536"/>
    </w:p>
    <w:p>
      <w:pPr>
        <w:pStyle w:val="BookText"/>
        <w:rPr/>
      </w:pPr>
      <w:bookmarkEnd w:id="344"/>
      <w:r>
        <w:rPr>
          <w:rFonts w:ascii="Amiri" w:hAnsi="Amiri" w:eastAsia="Amiri" w:cs="Amiri"/>
          <w:color w:val="111111"/>
          <w:sz w:val="28"/>
          <w:sz w:val="28"/>
          <w:szCs w:val="28"/>
          <w:rtl w:val="true"/>
          <w:lang w:bidi="ar-SA"/>
        </w:rPr>
        <w:t xml:space="preserve">نقله محدّثو أهل السنّة بأسانيد صحيحة؛ فقد روى الترمذيّ في صحيحه بسند صحيح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إنّي قد تركت فيكم ما إن أخذتم به لن تضلوا كتاب الله وعترتي أهل بيتي </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في صحيحه بسند آخر عن زيد بن أرقم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ما إن تمسكتم به لن تضلّوا بعدي،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يفترقا حتى يردا عليّ الحوض، فانظروا كيف تخلفوني فيهما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حديث الثقلين المئات من أئمّة الحديث وحفظته؛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وأحمد بن حنبل، والترمذيّ وأبو داوود، وابن ماجه، والنسائي، والحاكم النيسابوريّ، والطبريّ، والطبرانيّ، كما رواه ما يقارب الأربعين بين رجل وامرأة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حديث الثقلين بوضوح على أعلميّة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كما يدلّ أيضاً على وجوب اتّباع الأمة لهم في جميع الشؤون الدينيّة والدنيويّة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5369831_1280447820"/>
      <w:bookmarkStart w:id="346" w:name="_Toc134"/>
      <w:bookmarkEnd w:id="345"/>
      <w:r>
        <w:rPr/>
        <w:t>24</w:t>
      </w:r>
      <w:r>
        <w:rPr>
          <w:rtl w:val="true"/>
        </w:rPr>
        <w:t xml:space="preserve">/ </w:t>
      </w:r>
      <w:r>
        <w:rPr/>
        <w:t>9</w:t>
      </w:r>
      <w:r>
        <w:rPr>
          <w:rtl w:val="true"/>
        </w:rPr>
        <w:t>.</w:t>
      </w:r>
      <w:r>
        <w:rPr>
          <w:rtl w:val="true"/>
        </w:rPr>
        <w:t>حديث الولاية</w:t>
      </w:r>
      <w:bookmarkEnd w:id="3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علماء الفريقين عن بعض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وعبدالله بن عبّاس وأبو ذر الغفاري، وأبوسعيد الخدري، والبرّاء بن عازب، وعمران بن حصين ،وأبوليلى الأنصاري، وبريدة بن حصيب، </w:t>
      </w:r>
    </w:p>
    <w:p>
      <w:pPr>
        <w:pStyle w:val="BookText"/>
        <w:rPr/>
      </w:pPr>
      <w:r>
        <w:rPr>
          <w:rFonts w:ascii="Amiri" w:hAnsi="Amiri" w:eastAsia="Amiri" w:cs="Amiri"/>
          <w:color w:val="111111"/>
          <w:sz w:val="28"/>
          <w:sz w:val="28"/>
          <w:szCs w:val="28"/>
          <w:rtl w:val="true"/>
          <w:lang w:bidi="ar-SA"/>
        </w:rPr>
        <w:t xml:space="preserve">وعبدالله بن عمر، وعمرو بن العاص، ووهب بن حمزة، عن النبيّ الأکرم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مخاطباً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عبدالله بن عباس وبريدة بن حصيب ،وعمران بن حصين حديث الولاية أكثر من غيرهم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نقل حديث الغدير؛ كبار أئمة الحديث وحفّاظه وجهابذته من أهل السنّة في كتبهم ؛ من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داؤد الطيالسي؛ صاحب المسند ، أبوبكر بن أبي شيبة؛ صاحب المصنّف، أحمد بن حنبل، إمام الحنابلة وصاحب المسند ،أبوعيسى الترمذي؛ صاحب الصحيح، والنسائي؛ صاحب السنن ،أبو يعلي الموصلي؛ صاحب المسند، أبوجعفر الطبري؛ صاحب كتابي تاريخ الطبري وتفسير الطبري، أبوحاتم بن حبّان؛ صاحي الصّحيح، أبو القاسم الطبرانيّ؛ صاحب المعجم الكبير والأوسط والصغير، الحاكم النيسابوريّ، صاحب المستدرك، أبوبكر بن مردويه؛ صاحب التفسير، أبو نعيم الأصبهاني؛ صاحب حلية الأولياء وغيرها من الكتب الخطيب البغداديّ؛ صاحب تاریخ بغداد ابن عبدالبرّ ؛ صاحب الاستيعاب ،ابن عساكر ؛ صاحب تاريخ مدينة دمشق، ابن الأثير الجُزُري ،صاحب أسد الغابة، وضياء المقدسي؛ صاحب المختارة، البغوي؛ صاحب مصابيح السّنّة وتفسير معالم التّنزيل ،الحافظ شمس الدين الذهبي؛ صاحب الكتب المشهورة كتهذيب التهذيب ،ابن حجر العسقلاني؛ صاحب فتح الباري في شرح صحيح البخاري والإصابة في معرفة الصحابة وغيرها من الكتب المشهورة، القسطلانيّ؛ صاحب كتاب إرشاد السّاري في شرح صحيح البخاري، المتّقي الهندي ،صاحب كنز العمّال، الحافظ محمّد بن يوسف الصالحي؛ صاحب السّير الشّاميّة، ابن حجر الهيثميّ المكي؛ صاحب الصواعق المحرقة، الملّا علي قاري الهروي؛ صاحب مرقاة المفاتيح في شرح مشكاة المصابيح ،عبدالرؤوف المنّاوي؛ صاحب فيض القدير في شرح الجامع الصغير، علّامة بلاد الهند والمحدّث الكبير شاه وليّ الله </w:t>
      </w:r>
    </w:p>
    <w:p>
      <w:pPr>
        <w:pStyle w:val="BookText"/>
        <w:rPr/>
      </w:pPr>
      <w:r>
        <w:rPr>
          <w:rFonts w:ascii="Amiri" w:hAnsi="Amiri" w:eastAsia="Amiri" w:cs="Amiri"/>
          <w:color w:val="111111"/>
          <w:sz w:val="28"/>
          <w:sz w:val="28"/>
          <w:szCs w:val="28"/>
          <w:rtl w:val="true"/>
          <w:lang w:bidi="ar-SA"/>
        </w:rPr>
        <w:t>الدهلوي؛ صاحب الكتب الكثيرة ومؤسّس المدرسة المعروفة في دهلي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الكامل للرواية بأسنادها المختلفة هو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داؤد الطيالسي في كتابه المسند عن ابن عباس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مخاطباً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كلّ مؤمن بعدي</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النيسابوري في كتابه المستدرك عن ابن عبّاس، عن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وليّ كلّ مؤمن بعدي ومؤمنة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في كتابه المسند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وليّي في كلِّ مؤمن بعدي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شيبة وأبو جعفر الطبريّ؛ بسند عن عمران بن حصين؛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 قطعة من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 عليها علياً، فغنموا، فصنع علي شيئاً فأنكروه، 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عليّ من الغنيمة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فتعاقد أربعة من الجيش إذا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يُعلموه، وكانوا إذا قدموا من سفر بدأوا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فسلّموا عليه ونظروا إليه ثمّ ينصرفون إلى رحالهم، فلمّا قدمت السريّة سلّموا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 من الغنيمة جارية،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الثاني فقال مثل ذلك،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الثالث فقال مثل ذلك، فأعرض عنه، ثمّ قام الرابع فأقبل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الغضب في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علي؟ عليّ منّي وأنا من عليّ، وعليّ وليّ كلّ مؤمن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الحديث في المسند لأحمد بن حنبل 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47" w:name="pg16299_219539"/>
    </w:p>
    <w:p>
      <w:pPr>
        <w:pStyle w:val="BookText"/>
        <w:rPr/>
      </w:pPr>
      <w:bookmarkEnd w:id="347"/>
      <w:r>
        <w:rPr>
          <w:rFonts w:ascii="Amiri" w:hAnsi="Amiri" w:eastAsia="Amiri" w:cs="Amiri"/>
          <w:color w:val="111111"/>
          <w:sz w:val="28"/>
          <w:sz w:val="28"/>
          <w:szCs w:val="28"/>
          <w:rtl w:val="true"/>
          <w:lang w:bidi="ar-SA"/>
        </w:rPr>
        <w:t xml:space="preserve">الرابع وقد تغيّر وجهه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عليّاً، دعوا عليّاً، إنّ عليّاً منّي وأنا منه، وهو وليّ كلّ مؤمن بعدي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5369833_1280447820"/>
      <w:bookmarkStart w:id="349" w:name="_Toc135"/>
      <w:bookmarkEnd w:id="348"/>
      <w:r>
        <w:rPr/>
        <w:t>24</w:t>
      </w:r>
      <w:r>
        <w:rPr>
          <w:rtl w:val="true"/>
        </w:rPr>
        <w:t xml:space="preserve"> /</w:t>
      </w:r>
      <w:r>
        <w:rPr/>
        <w:t>10</w:t>
      </w:r>
      <w:r>
        <w:rPr>
          <w:rtl w:val="true"/>
        </w:rPr>
        <w:t xml:space="preserve">. </w:t>
      </w:r>
      <w:r>
        <w:rPr>
          <w:rtl w:val="true"/>
        </w:rPr>
        <w:t xml:space="preserve">حديث اللوح </w:t>
      </w:r>
      <w:r>
        <w:rPr>
          <w:rtl w:val="true"/>
        </w:rPr>
        <w:t>:</w:t>
      </w:r>
      <w:bookmarkEnd w:id="349"/>
    </w:p>
    <w:p>
      <w:pPr>
        <w:pStyle w:val="BookText"/>
        <w:rPr/>
      </w:pPr>
      <w:r>
        <w:rPr>
          <w:rFonts w:ascii="Amiri" w:hAnsi="Amiri" w:eastAsia="Amiri" w:cs="Amiri"/>
          <w:color w:val="111111"/>
          <w:sz w:val="28"/>
          <w:sz w:val="28"/>
          <w:szCs w:val="28"/>
          <w:rtl w:val="true"/>
          <w:lang w:bidi="ar-SA"/>
        </w:rPr>
        <w:t xml:space="preserve">يمثّل حديث اللوح أحد الأدلّة النقليّة لإثبات الإمامة الخاصّة؛ واللوح عطية إلهية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ميلاد سبطه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أخذها فأعطاها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هذا الحديث على إمامة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الجابر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لي إليك حاجة فمتى يخفّ عليك أن أخلو بك فأسألك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الأوقات أحببته فخلا به في بعض الأيام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أخبرني عن اللوح الذي رأيته في يد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أخبرتك به أمّي أنّه في ذلك اللوح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بالله أنّي دخلت على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فهنيتها بولادة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في يديها لوحاً أخضر، ظننت أنّه من زمرّد ورأيت فيه كتاباً أبيض، شبه لون الشمس فقلت لها بأبي وأمّي 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لوح أهداه الله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اسم أبي واسم بعلي واسم ابني واسم الأوصياء من ولدي؛ وأعطانيه أبي ليبشّرني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فأعطتنيه أمك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فقرأته واستنسخته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أن تعرضه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فمشى معه أبي إلى منزل جابر فأخرج صحيفة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انظر في كتابك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فنظر جابر في نسخته فقرأه أبي فما خالف حرف حرفاً، فقال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 بالله أنّي هكذا رأيته في اللوح مكتوباً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كتاب من الله العزيز الحكيم لمحمّد نبيّه ونوره وسفيره وحجابه ودليله، نزل به الروح الأمين من عند رب العالمين، عظّم يا محمّد أسمائي واشكر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نعمائي ولا تجحد آلائي، إنّي أنا الله لا إله إلّا أنا ،قاصم الجبارين ومديل المظلومين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وحجّتي البالغة عنده ،بعترته أثيب وأعاقب، أولهم عليّ سيد العابدين وزين أوليائي الماضين، وابنه شبه جده المحمود؛ محمّد الباقر علمي والمعدن لحكمتي، سيهلك المرتابون في جعفر ،الرادّ عليه كالرادّ عليّ، حقّ القول مني لأكرمنّ مثوى جعفر ولأسرّنه في أشياعه وأنصاره وأوليائه، أتيحت بعده موسى فتنة عمياء حندس لأنّ خيط فرضي لا ينقطع وحجّتي لا تخفى وأنّ أوليائي يسقون بالكأس الأوفى، من جحد واحداً منهم فقد جحد نعمتي ومن غير آية من كتابي فقد افترى عليّ، ويل للمفترين الجاحدين عند انقضاء مدة موسى ،عبدي وحبيبي وخيرتي في عليّ وليّي وناصري ومن أضع عليه أعباء النبوّة وأمتحنه بالاضطلاع بها، يقتله عفريت مستكبر يدفن في المدينة التي بناها العبد الصالح إلى جنب شر خلقي حق القول منّي لأسرنّه بمحمّد ابنه وخليفته من بعده ووارث علمه فهو معدن علمي وموضع سرّي وحجّتي على خلقي لا يؤمن عبد به إلّا جعلت الجنّة مثواه وشفّعته في سبعين من أهل بيته كلّهم قد استوجبوا النار ، وأختم بالسعادة لابنه علي وليّي وناصري والشاهد في خلقي وأميني علي وحیي، أخرج منه الداعي إلى سبيلي والخازن لعلمي الحسن وأكمل ذلك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م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عليه كمال موسى وبهاء عيسى وصبر أيّوب؛ فيُذَلّ أوليائي في زمانه و تتهادى رؤوسهم كما تتهادى رؤوسُهم الترك والديلم، فيُقتَلون ويُحرّقون ويكونون خائفين، مرعوبين، وجلين تصبغ الأرض بدمائهم ويفشو الويل والزنا في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أوليائي حقاً، بهم أدفع كل فتنة عمياء حندس وبهم أكشف </w:t>
      </w:r>
    </w:p>
    <w:p>
      <w:pPr>
        <w:pStyle w:val="BookText"/>
        <w:rPr/>
      </w:pPr>
      <w:r>
        <w:rPr>
          <w:rFonts w:ascii="Amiri" w:hAnsi="Amiri" w:eastAsia="Amiri" w:cs="Amiri"/>
          <w:color w:val="111111"/>
          <w:sz w:val="28"/>
          <w:sz w:val="28"/>
          <w:szCs w:val="28"/>
          <w:rtl w:val="true"/>
          <w:lang w:bidi="ar-SA"/>
        </w:rPr>
        <w:t>الزلازل وأدفع الآصار والأغلال أولئك عليهم صلوات من ربّهم ورحمة وأولئك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وراوي حديث اللوح هو جابر بن عبدالله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آخر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حيث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أربع وتسعين سنة من العمر؛ وكان ذلك بين عامي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قبل استشهاد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رواية هذا الحديث إلى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الرغم من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به بل إنّ اللوح نفسه في 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وحديث اللوح هو أحد الأحاديث المعتبرة والمعتمدة التي رواها الرواة الثقات، كما أنّه ورد في كتب الإماميّة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الكلينيّ في أصول الكافي مجموعة روايات تحكي سؤال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عن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فأجابهم وأكّد لهم وجوده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بعض علماء أهل السنّة قد أشاروا إلى حديث اللوح إشارات طفيفة</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الرواية في مصادر عديدة؛ ورواه عدد من أساطين الحديث؛ منهم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الكلينيّ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في الاثني عشر والنصّ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إلى محمّد بن يحيى ومحمد بن عبد الله عن عبدالله بن جعفر عن الحسن بن ظريف وعليّ بن محمّد عن صالح بن أبي حماد عن بكر بن صالح عن عبدالرحمن بن سالم عن أبي بصير عن أبي عبدالله</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ذكر النصّ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الذي أهداه الله عزّ وجل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فعرضته على جابر بن عبدالله الأنصاري حتى قرأه وانتسخه واخبر به أبا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 كما رواه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النصوص على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بالإمامة في جملة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تعيين الأئمة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 الله تعالى بمكانهم على كافة الخلق </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تاج الدين الشعيري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السابع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السابع في فضائل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الديلمي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اللوح الذي كان عند جابر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ذكره على نحو مجمل ثلّة آخرين من كبار العلماء في مصنّفاتهم الروائيّة؛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وتقريب المعارف، والفضائل للفضل بن شاذان، و مناقب آل ابي طالب لابن شهر آشوب، وكشف الغمّة، والفصول المختارة، والصراط المستقيم؛ فقد ذكرو هذه الرواية الشريفة مسندة في بعضها وغير مسندة في الآخر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هذا الحديث في إثبات إمامة الأئمة الإثني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وبيّنة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روايته لهذا الحديث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فنظر جابر في نسخته؛ فقرأه عليه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خالف حرف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بصير لعبد الرحمن بن مسلم وبعد أن روى له حديث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لم تسمع في دهرك إلّا هذا الحديث لكفاك فصنه إلّا عن أهله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الشريف يخبرنا بجملة من القضايا ،منها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وإمامته المباشرة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 الأحداث المعاصرة لحياة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كيفية استشهاد الإمام، محلّ استشهاد الإمام وشكل تعامل المخالفين والمعاندين مع إمام زمانهم، وكون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باقراً لعلوم الأوّلين والآخرين، وهلاك المرتابين في إمامة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 فتنة عمياء حندس بعد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وإمامة الإمام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ظالم مستكبر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والإشارة إلى محلّ دفنه في مدينة طوس في جنب هارون الملعون، وسرور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وقرّة عينه بابنه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والبشرى بالوجود المبارك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تطرّق الحديث أيضاً إلى بيان اشتمال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أوصاف الأنبياء، كما استعرض خصوصيّاته الظاهريّة والمعنويّة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وعرض أيضاً </w:t>
      </w:r>
      <w:bookmarkStart w:id="350" w:name="pg16299_219544"/>
    </w:p>
    <w:p>
      <w:pPr>
        <w:pStyle w:val="BookText"/>
        <w:rPr/>
      </w:pPr>
      <w:bookmarkEnd w:id="350"/>
      <w:r>
        <w:rPr>
          <w:rFonts w:ascii="IRNazanin" w:hAnsi="IRNazanin" w:eastAsia="IRNazanin"/>
          <w:color w:val="111111"/>
          <w:sz w:val="28"/>
          <w:sz w:val="28"/>
          <w:szCs w:val="28"/>
          <w:rtl w:val="true"/>
          <w:lang w:bidi="fa-IR"/>
        </w:rPr>
        <w:t xml:space="preserve">الوضع السياسيّ والاجتماعيّ والثقافيّ لعصر ظهور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واستعرض الحوادث والإصلاحات الاجتماعيّة التي ستقع بعد ظهور الإمام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5369835_1280447820"/>
      <w:bookmarkStart w:id="352" w:name="_Toc136"/>
      <w:bookmarkEnd w:id="351"/>
      <w:r>
        <w:rPr/>
        <w:t>24</w:t>
      </w:r>
      <w:r>
        <w:rPr>
          <w:rtl w:val="true"/>
        </w:rPr>
        <w:t xml:space="preserve"> /</w:t>
      </w:r>
      <w:r>
        <w:rPr/>
        <w:t>11</w:t>
      </w:r>
      <w:r>
        <w:rPr>
          <w:rtl w:val="true"/>
        </w:rPr>
        <w:t xml:space="preserve">. </w:t>
      </w:r>
      <w:r>
        <w:rPr>
          <w:rtl w:val="true"/>
        </w:rPr>
        <w:t>أحاديث الأئمة الاثني عشر</w:t>
      </w:r>
      <w:r>
        <w:rPr>
          <w:rtl w:val="true"/>
        </w:rPr>
        <w:t>(</w:t>
      </w:r>
      <w:r>
        <w:rPr>
          <w:rtl w:val="true"/>
        </w:rPr>
        <w:t>علیهم السلام</w:t>
      </w:r>
      <w:r>
        <w:rPr>
          <w:rtl w:val="true"/>
        </w:rPr>
        <w:t>):</w:t>
      </w:r>
      <w:bookmarkEnd w:id="352"/>
    </w:p>
    <w:p>
      <w:pPr>
        <w:pStyle w:val="Heading5"/>
        <w:numPr>
          <w:ilvl w:val="4"/>
          <w:numId w:val="1"/>
        </w:numPr>
        <w:rPr/>
      </w:pPr>
      <w:bookmarkStart w:id="353" w:name="__RefHeading___Toc5369837_1280447820"/>
      <w:bookmarkStart w:id="354" w:name="_Toc137"/>
      <w:bookmarkEnd w:id="353"/>
      <w:r>
        <w:rPr>
          <w:rtl w:val="true"/>
        </w:rPr>
        <w:t>إشارة</w:t>
      </w:r>
      <w:bookmarkEnd w:id="354"/>
    </w:p>
    <w:p>
      <w:pPr>
        <w:pStyle w:val="BookText"/>
        <w:rPr/>
      </w:pPr>
      <w:r>
        <w:rPr>
          <w:rFonts w:ascii="IRNazanin" w:hAnsi="IRNazanin" w:eastAsia="IRNazanin"/>
          <w:color w:val="111111"/>
          <w:sz w:val="28"/>
          <w:sz w:val="28"/>
          <w:szCs w:val="28"/>
          <w:rtl w:val="true"/>
          <w:lang w:bidi="fa-IR"/>
        </w:rPr>
        <w:t xml:space="preserve">رُويت مجموعة من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تتحدّث عن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أحاديث وصفت بأنّها معتبرة من جهة السند، وتامّة من ناحية الدلالة على إمامة الأئمة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بعض هذه الأحاديث في الصحاح الستة لأهل السنّة ومسانيدهم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روى البخاريّ في صحيحه عن جابر بن سمرة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اثني عشر أميراً، فقال كلمة لم أسمعها، فقال أبي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مسلم في صحيحه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بثمانية طرق وبألفاظ مختلفة؛ غير أنّها متفقة جميعاً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أمر الناس ماضياً ما وليهم اثنا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ينقضي حتى يمضي له منهم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قریش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الإسلام عزيزاً منيعاً إلى اثني عشر خليفة كلّهم من قريش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داوود السجستانيّ في سننه عن جابر بن سمرة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حتّى يكون عليكم اثنا عشر خليفة كلّهم تجتمع عليه الأمة، فسمعت كلاماً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أفهمه؛ قلت لأبي ما يقول؟ قال كلّهم من قريش</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روى الترمذي في سننه، بسند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من بعدي اثنا عشر أميراً كلّهم من قريش </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بن حنبل أيضاً في سند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الحاكم النيسابوري في مستدركه على الصحيحين عن عون بن أبي جحيفة 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أمر أمّتي صالحاً حتّى يمضي اثنا عشر خليفه كلّهم من قريش </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السيوطيّ في تاريخ الخلفاء عن جابر بن سمرة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الأمر عزيزاً يُنصرون على من ناوأهم عليه اثنا عشر خليفة كلّهم من قریش</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55" w:name="pg16299_219546"/>
    </w:p>
    <w:p>
      <w:pPr>
        <w:pStyle w:val="BookText"/>
        <w:rPr/>
      </w:pPr>
      <w:bookmarkEnd w:id="355"/>
      <w:r>
        <w:rPr>
          <w:rFonts w:ascii="Amiri" w:hAnsi="Amiri" w:eastAsia="Amiri" w:cs="Amiri"/>
          <w:color w:val="111111"/>
          <w:sz w:val="28"/>
          <w:sz w:val="28"/>
          <w:szCs w:val="28"/>
          <w:rtl w:val="true"/>
          <w:lang w:bidi="ar-SA"/>
        </w:rPr>
        <w:t xml:space="preserve">كما روى الخطيب البغداديّ في كتابه تاريخ بغداد بسند عن طريق جابر بن سمرة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 كلّهم من قريش</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المتقي الهندي في كتابه كنز العمّال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لايزال هذا الدين قائماً إلى اثني عشر من قريش، فإذا هلكوا ماجت الأرض بأهلها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الشيخ الحرّ العاملي في كتابه إثبات الهداة مئتين وثمانية وسبعين حديثاً يستعرض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 عن طرق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فإنّ وجود هذا الكمّ الهائل من طرق السند لهذا الحديث في المصادر الحديثيّة لأهل السنّة يؤكّد صحة هذا الحديث، ويشيّد تواتراً، أو استفاضة له؛ بلا أدنى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يُخبر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عن إمامة اثني عشر أميراً بهذا النحو؛ فهذا يدلّ على إمامة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الأمراء الذين تعاقبوا على كرسيّ السلطة على طول التاريخ الإسلاميّ قد فاق عددهم الاثني عشر، فيصبح من الواضح حينها أنّ المقصود من الأمراء هاهنا خلفاء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هذا الخبر يتحدّث عن الأمة الإسلاميّة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يوم القيامة؛ لذا وجب أن يكون عمر أحدهم أطول من المعتاد حتى يتحقّق مفاد الحديث وتستطيل مدّة الأمراء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369839_1280447820"/>
      <w:bookmarkStart w:id="357" w:name="_Toc138"/>
      <w:bookmarkEnd w:id="356"/>
      <w:r>
        <w:rPr/>
        <w:t>24</w:t>
      </w:r>
      <w:r>
        <w:rPr>
          <w:rtl w:val="true"/>
        </w:rPr>
        <w:t xml:space="preserve">/ </w:t>
      </w:r>
      <w:r>
        <w:rPr/>
        <w:t>11</w:t>
      </w:r>
      <w:r>
        <w:rPr>
          <w:rtl w:val="true"/>
        </w:rPr>
        <w:t xml:space="preserve"> /</w:t>
      </w:r>
      <w:r>
        <w:rPr/>
        <w:t>1</w:t>
      </w:r>
      <w:r>
        <w:rPr>
          <w:rtl w:val="true"/>
        </w:rPr>
        <w:t xml:space="preserve">. </w:t>
      </w:r>
      <w:r>
        <w:rPr>
          <w:rtl w:val="true"/>
        </w:rPr>
        <w:t>تفسير علماء العامّة لأحاديث الاثني عشر</w:t>
      </w:r>
      <w:r>
        <w:rPr>
          <w:rtl w:val="true"/>
        </w:rPr>
        <w:t>:</w:t>
      </w:r>
      <w:bookmarkEnd w:id="3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تورّط علماء أهل السنة في بيان مصداق الأمراء الاثني عشر المذكورين في الرواية، </w:t>
      </w:r>
    </w:p>
    <w:p>
      <w:pPr>
        <w:pStyle w:val="BookText"/>
        <w:rPr/>
      </w:pPr>
      <w:r>
        <w:rPr>
          <w:rFonts w:ascii="Amiri" w:hAnsi="Amiri" w:eastAsia="Amiri" w:cs="Amiri"/>
          <w:color w:val="111111"/>
          <w:sz w:val="28"/>
          <w:sz w:val="28"/>
          <w:szCs w:val="28"/>
          <w:rtl w:val="true"/>
          <w:lang w:bidi="ar-SA"/>
        </w:rPr>
        <w:t>مما أدّى إلى تفسيرهم هذا الحديث بطرق غريبة وعجيبة؛ فقد نقل ابن حجر العسقلاني شيئاً من أقوال علمائهم فيه؛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بطال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أيضاً قول أبي الحسين بن المنادي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الذي جمعه في المهدي، حيث يحتمل في معنى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يكون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هذا بعد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يخرج في آخر الزمان</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حجر العسقلاني قول ابن الجوزي والخطابي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حيث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أشار إلى ما يكون بعده وبعد أصحابه وأنّ حكم أصحابه مرتبط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عن الولايات الواقعة بعدهم، فكأنّه أشار بذلك إلى عدد الخلفاء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ينتقل إلى صفة أخرى أشدّ من الأولى، وأوّل بني أمية يزيد بن معاوية وآخرهم مروان الحمار وعدّتهم ثلاثة عشر ، ولا يُعدّ عثمان ومعاوية ولا ابن الزبير، لكونهم صحابة فإذا أسقطنا منهم مروان بن الحكم للاختلاف في صحبته، أو لأنّه كان متغلّباً بعد أن اجتمع الناس على عبد الله بن الزبير ؛ صحّت العدّة، وعند خروج الخلافة من بني أميّة وقعت الفتن العظيمة والملاحم الكثيرة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العسقلاني قول القاضي عياض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أن يكون المراد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عزّة الخلافة وقوة الإسلام و استقامة أموره والاجتماع على من يقوم بالخلافة، ويؤيّده قوله في بعض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قد وُجد فيمن اجتمع عليه الناس إلى أن اضطرب أمر بني أمية ووقعت بينهم الفتنة زمن الوليد بن يزيد، فاتصلت بينهم إلى أن قامت الدولة العباسيّة فاستأصلوا أمرهم</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يجعلوا الأئمّة محصورين في عدد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حقّ؛ ذلك أنّ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ولم يوقّتهم بعدد معيّن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اللافت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وجود كلّ هذه الأحاديث النبويّة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الثابتة عنه المستفيضة لم يوقّت ولاة الأمور في عدد معيّن</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في موضع آخر محاولاً تحديد مصاديق الأمراء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كان؛ فكان الخلفاء أبو بكر وعمر وعثمان وعليّ، ثمّ تولّى من اجتمع الناس عليه، وصار له عزّ 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وابنه يزيد ، ثمّ عبد الملك، وأولاده الأربعة، وبينهم عمر بن عبدالعزيز</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روايات العامّة أنفسهم قد وردت بأنّ معاوية وبني أمية كانوا ملوكاً ولم يكونوا خلفاء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ناهيك عن أنّهم لم يعدّوا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مصاديق الحديث؛ في حين أنّ عدداً من كبراء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في كتاب البداية والنهاية، والسيوطي في كتابه تاريخ الخلفاء والقندوزي الحنفي في كتابه 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وبالرغم من وجود الأحاديث المتواترة التي تناولت موضوع </w:t>
      </w:r>
    </w:p>
    <w:p>
      <w:pPr>
        <w:pStyle w:val="BookText"/>
        <w:rPr/>
      </w:pPr>
      <w:r>
        <w:rPr>
          <w:rFonts w:ascii="IRNazanin" w:hAnsi="IRNazanin" w:eastAsia="IRNazanin"/>
          <w:color w:val="111111"/>
          <w:sz w:val="28"/>
          <w:sz w:val="28"/>
          <w:szCs w:val="28"/>
          <w:rtl w:val="true"/>
          <w:lang w:bidi="fa-IR"/>
        </w:rPr>
        <w:t xml:space="preserve">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لم يذكر شيئاً عنه أبداً وتجاهل كلّ ذاك الكمّ الهائل من الأحاديث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والسؤال الكبير الذي يعترض طريق ابن تيميّة وأتباعه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يمكن أن يكون ملوك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يزيد بن معاوية؛ بعد كل ما ارتكبه من جنايات فظيعة في حقّ الإسلام والمسلمين من قبيل قتل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صحبه من فجائع، هدم الكعبة ورميها بالمنجنيق قتل أهل المدينة المنورة واستباحته إيّاها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جديرين بخلافة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أمته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كل من تاريخه الموسوم بالبداية والنهاية وفي تفسيره في ذيل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أورد نصّ حديث جابر بن سمرة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هذا الحديث؛ البشارة بوجود اثني عشر خليفة صالحاً يقيم الحق ويعدل فيهم، ولا يلزم من هذا تواليهم وتتابع أيامهم، بل قد وُجد منهم أربعة على نسق، وهم الخلفاء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عمر بن عبد العزيز بلا شكّ عند الأئمة، وبعض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تقوم الساعة حتى تكون ولايتهم لا محالة، والظاهر أنّ منهم المهدي المبشّر به في الأحاديث الواردة بذكره أنّه يواطئ اسمه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 أبيه اسم أبيه، فيملأ الأرض عدلاً وقسطاً، كما مُلتَت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بهؤلاء الخلفاء الاثني عشر الأئمة الاثني عشر الذين يعتقد فيهم الاثنا عشريّة من الروافض لجهلهم وقلة عقلهم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الجليّ أنّ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عجز عن عدّ الأمراء الاثني عشر؛ فاكتفى بزعمه خمسة منهم، ثمّ شغل نفسه بعبارات عامّة لا تسمن ولا تغني من جوع؛ </w:t>
      </w:r>
    </w:p>
    <w:p>
      <w:pPr>
        <w:pStyle w:val="BookText"/>
        <w:rPr/>
      </w:pPr>
      <w:r>
        <w:rPr>
          <w:rFonts w:ascii="Amiri" w:hAnsi="Amiri" w:eastAsia="Amiri" w:cs="Amiri"/>
          <w:color w:val="111111"/>
          <w:sz w:val="28"/>
          <w:sz w:val="28"/>
          <w:szCs w:val="28"/>
          <w:rtl w:val="true"/>
          <w:lang w:bidi="ar-SA"/>
        </w:rPr>
        <w:t xml:space="preserve">غير أنّ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أستاذه ابن تيميّة المتيّم بالأمويّين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ينحت لهم من الفضل ما تهواه نفسه، فحسب ملوكهم هم الأمراء الاثنا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يعدّ أحداً من ملوك بني أميّة من مصاديق الأمراء الاثني عشر ؛ غير 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الأساسيّة التي ترد على ابن كثير هي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من الممكن أن نعدّ كل من تقلّد زمام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كيفية وصوله سدّة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أخرج معاوية ويزيد وسائر خلفاء بني أميّة وبني العباس من زمرة خلفائه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هو إفشاء العدل، عاجلناه بالسؤال عن إسقاطه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عدّه من زمرة الاثني عشر ؛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هو اجتماع الناس عليه، دحضناه بالسؤال عن عدّه بني أميّة من الأمراء الاثني عشر بالرغم من أنّ الناس لم يجمعوا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ابن حجر في شرحه لصحيح البخاري، أقوالاً متعدّدة في بيان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أشار بعضها إلى المصاديق في حين عرض الآخر أموراً عامّة لا تفيد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رجّح رأي القاضي عياض؛ ولم يتقبّل بقية الآراء؛ ثمّ ذكر مجموعتين من الأمراء ورجّح جدارة المجموعة الثانية على الأولى؛ مدعياً كونها مصاديق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الأولى هي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وليد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عبدالملك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عبد 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وليد بن يزيد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والمجموعة الثانية 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الزبير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 الملك</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عبدالملك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 ابن حجر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وكلامه هذا من عجائب الدهر؛ فإنّ الناس من بعد الخلفاء الأربعة لم يجمعوا على أحد أبداً، وقد كان هناك إجماع نسبي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عبدالله بن الزبير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الخلفاء فقد تطرّق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روى الأحاديث في هذا المجال وعرض آراء أهل السنّة المختلفة في تعريف مصاديق الأمراء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استعراض رأيه في الموضوع؛ وزعم أنّ الأمراء الاثني عشر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عبدالعزيز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المهتدي العبّاسي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الطاهر 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مبقياً إياه في حد الاحتمال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جلال الدين السيوطي لما لم يستطع بيان مصاديق الاثنى عشر؛ اضطُرّ إلى ذكر مهديّين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بعض كبار علماء العامّة أذعنوا لرأي الشيعة في بيان مصاديق الأمراء الاثني عشر ؛ فقد روى الإمام الجويني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سيّد النبيّين وعليّ بن أبي طالب سيّد الوصيين وإنّ أوصيائي بعدي اثنا عشر ؛ أوّلهم عليّ بن أبي طالب وآخرهم المهديّ </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وروى أيضاً بسند آخر؛ أنّ الرواي 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والحسن والحسين وتسعة من ولد الحسين؛ مطهّرون ومعصومون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الطبرسي عن ابن مثنّى، عن أبيه، عن عائشة،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سألتها كم خليفة يكون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يكون بعده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أسماؤهم عندي مكتوبة بإملاء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فاعرضيه، فأبت</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عن ابن عبّاس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حضرته وفاته فقلت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نعوذ بالله منه فإلى من؟ فأشار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فإنّه مع الحقّ، والحقّ معه، ثمّ يكون من بعده أحد عشر إماماً مفترضة طاعتهم كطاعته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القندوزيّ الحنفيّ في ينابيع المودة عن عباية بن ربعي عن جابر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سيّد النبيّين وعليّ سيّد الوصيّين، وإنّ الأوصياء بعدي اثنا عشر؛ أوّلهم عليّ وآخرهم القائم المهديّ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روى أيضاً في ينابيع المودة عن بعض المحقّقين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قد اشتهرت من طرق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الإثنا عشر من أهل بيته وعترته، إذ لا يمكن أن يحمل هذا الحديث على الخلفاء بعده من أصحابه لقلّتهم عن اثني عشر، ولا يمكن أن يحمله على الملوك الأمويّة لزيادتهم على اثني عشر، ولظلمهم الفاحش إلّا عمر بن عبد العزيز، ولكونهم من غير بني هاشم،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358" w:name="pg16299_219553"/>
    </w:p>
    <w:p>
      <w:pPr>
        <w:pStyle w:val="BookText"/>
        <w:rPr/>
      </w:pPr>
      <w:bookmarkEnd w:id="358"/>
      <w:r>
        <w:rPr>
          <w:rFonts w:ascii="Amiri" w:hAnsi="Amiri" w:eastAsia="Amiri" w:cs="Amiri"/>
          <w:color w:val="111111"/>
          <w:sz w:val="28"/>
          <w:sz w:val="28"/>
          <w:szCs w:val="28"/>
          <w:rtl w:val="true"/>
          <w:lang w:bidi="ar-SA"/>
        </w:rPr>
        <w:t xml:space="preserve">وروى ابن عساكر عن ابن عليّ الهلالي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لابنته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أطلع على الأرض اطلاعة فاختار منها أباك يبعثه برسالته، ثمّ اطلع اطلاعة فاختار منها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النبيّين وأكرم النبيّين على الله، وأحبّ المخلوقين إلى الله، وأنا أبوك، ووصيّي خير الأوصياء، وأحبّهم إلى الله؛ وهو بعلك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سبطا هذه الأمة؛ وهما ابناك الحسن الحسين، وهما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إنّ منهما مهديّ هذه الأمة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عماد الدين الحنفي في كتابه تناقضات البخاري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اثنا عشر؛ علىّ والحسن والحسين وتسعة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5369841_1280447820"/>
      <w:bookmarkStart w:id="360" w:name="_Toc139"/>
      <w:bookmarkEnd w:id="359"/>
      <w:r>
        <w:rPr/>
        <w:t>24</w:t>
      </w:r>
      <w:r>
        <w:rPr>
          <w:rtl w:val="true"/>
        </w:rPr>
        <w:t xml:space="preserve"> /</w:t>
      </w:r>
      <w:r>
        <w:rPr/>
        <w:t>11</w:t>
      </w:r>
      <w:r>
        <w:rPr>
          <w:rtl w:val="true"/>
        </w:rPr>
        <w:t xml:space="preserve"> /</w:t>
      </w:r>
      <w:r>
        <w:rPr/>
        <w:t>2</w:t>
      </w:r>
      <w:r>
        <w:rPr>
          <w:rtl w:val="true"/>
        </w:rPr>
        <w:t>.</w:t>
      </w:r>
      <w:r>
        <w:rPr>
          <w:rtl w:val="true"/>
        </w:rPr>
        <w:t>تفسير علماء الإماميّة لأحاديث الاثني عشر</w:t>
      </w:r>
      <w:r>
        <w:rPr>
          <w:rtl w:val="true"/>
        </w:rPr>
        <w:t>:</w:t>
      </w:r>
      <w:bookmarkEnd w:id="360"/>
    </w:p>
    <w:p>
      <w:pPr>
        <w:pStyle w:val="BookText"/>
        <w:rPr/>
      </w:pPr>
      <w:r>
        <w:rPr>
          <w:rFonts w:ascii="IRNazanin" w:hAnsi="IRNazanin" w:eastAsia="IRNazanin"/>
          <w:color w:val="111111"/>
          <w:sz w:val="28"/>
          <w:sz w:val="28"/>
          <w:szCs w:val="28"/>
          <w:rtl w:val="true"/>
          <w:lang w:bidi="fa-IR"/>
        </w:rPr>
        <w:t>روى الصدوق في كتابه کمال الدین بسند عن جابر بن يزيد الجعفي أنّه 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عرفنا الله ورسوله، فمن أولو الأمر الذين قرن الله طاعتهم بطاعتك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الأرض ومغاربها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روي عن الصحابيّ زيد بن أرقم 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الإمام والخليفة بعدي ،وابناك هذان إمامان ،وسيدا شباب أهل الجنة، وتسعة من صلب الحسين أئمة معصومون، ومنهم قائمنا أهل البيت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عن أبي ذر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الأئمّة بعدي اثنا عشر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تاسعهم قائمهم، إلّا إنّ مثلهم فيكم مثل سفينة نوح من ركبها نجا ومن تخلف عنها غرق، ومثل باب حطة في بني إسرائيل </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أيضاً عن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إنّي راحل عن قريب ومنطلق إلى المغيب، أوصيكم في عترتي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الأوصياء والخلفاء بعدي، أئمة أبرار، عدد أسباط يعقوب وحواري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فسمّهم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وسيّدهم عليّ بن أبي طالب، وسبطاي وبعدهما زين العابدين عليّ بن الحسين، وبعده محمد بن عليّ باقر علم النبيّين، والصادق جعفر بن محمّد، وابنه الكاظم سمّي موسى، والذي يُقتل بأرض الغربة ابنه عليّ، ثمّ ابنه محمّد والصادقان عليّ والحسن، ثمّ الحجّة القائم المنتظر في غيبه، فإنّهم عترتي، من دمي ولحمي، علمهم علمي، وحكمهم حكمي، من آذاني فيهم فلا أناله الله شفاعتي</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ومع وجود الروايات الصحيحة والنصوص الصريحة الدالّة على الخلفاء الاثني عشر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مجال للشكّ والترديد في الرؤية التي استعرضها علماء الشيعة عن الإمامة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أورد بعض أهل السنّة إشكالاً في مقام النقد على رؤية الإمامة لدى الشيعة؛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روايات الأئمة الاثني عشر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يجتمع عليه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فيها؛ يجب أن يكون الأئمة الاثني عشر جميعهم محلّ اتفاق الأمّة وأن تجتمع الأمة عليهم؛ غير أنّ الأمّة لم تجتمع على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على هذا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المقصود من اجتماع الأمّة عليهم وتقبّلها إيّاهم هو ما فهمه علماء أهل السنة من اتّفاق في البيعة، فإنّ هذا المعنى لم يتحقّق في حقّ أيّ من الأشخاص الذين تولّوا زمام السلطة في الدولة الإسلاميّة، بما في ذلك أبي بكر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إن كان المقصود من اجتماع الأمّة اتفاق جميع الناس على حسن سيرتهم وتفرّد فضائلهم، فإنّ هذا النوع من الإجماع قد تحقّق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من المسلّمات عند جميع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أذعن المسلمون جميعاً بما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الفضائل والمناقب الفاخرة التي لم تجتمع لأحد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أحد الأسباب التي تقف خلف الأحداث المريرة التي مرّت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إيذاؤهم، بل وقتلهم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خضوعم لرقابة الملوك الأمويّين والعباسيّين على نحو دائم ،هو الذعر الذي دبّ في أركان السلطة الحاكمة من سلاطين الجور على أثر اجتماع الناس والتفافهم حولهم يقول الدهلويّ في هذا الشأن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 أيضاً من التواريخ وغيرها أنّ أهل البيت ولا سيّما الأئمة الأطهار؛ من خيار خلق الله تعالى بعد النبيّين، وأفضل سائر عباده المخلصين والمقتفين لآثار جدّهم سيّد المرسلين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61" w:name="pg16299_219556"/>
    </w:p>
    <w:p>
      <w:pPr>
        <w:pStyle w:val="Heading3"/>
        <w:numPr>
          <w:ilvl w:val="2"/>
          <w:numId w:val="1"/>
        </w:numPr>
        <w:rPr/>
      </w:pPr>
      <w:bookmarkStart w:id="362" w:name="__RefHeading___Toc5369843_1280447820"/>
      <w:bookmarkStart w:id="363" w:name="_Toc140"/>
      <w:bookmarkEnd w:id="361"/>
      <w:bookmarkEnd w:id="362"/>
      <w:r>
        <w:rPr/>
        <w:t>25</w:t>
      </w:r>
      <w:r>
        <w:rPr>
          <w:rtl w:val="true"/>
        </w:rPr>
        <w:t xml:space="preserve">. </w:t>
      </w:r>
      <w:r>
        <w:rPr>
          <w:rtl w:val="true"/>
        </w:rPr>
        <w:t>المهدوية</w:t>
      </w:r>
      <w:bookmarkEnd w:id="363"/>
    </w:p>
    <w:p>
      <w:pPr>
        <w:pStyle w:val="Heading4"/>
        <w:numPr>
          <w:ilvl w:val="3"/>
          <w:numId w:val="1"/>
        </w:numPr>
        <w:rPr/>
      </w:pPr>
      <w:bookmarkStart w:id="364" w:name="__RefHeading___Toc5369845_1280447820"/>
      <w:bookmarkStart w:id="365" w:name="_Toc141"/>
      <w:bookmarkEnd w:id="364"/>
      <w:r>
        <w:rPr/>
        <w:t>25</w:t>
      </w:r>
      <w:r>
        <w:rPr>
          <w:rtl w:val="true"/>
        </w:rPr>
        <w:t xml:space="preserve"> /</w:t>
      </w:r>
      <w:r>
        <w:rPr/>
        <w:t>1</w:t>
      </w:r>
      <w:r>
        <w:rPr>
          <w:rtl w:val="true"/>
        </w:rPr>
        <w:t>.</w:t>
      </w:r>
      <w:r>
        <w:rPr>
          <w:rtl w:val="true"/>
        </w:rPr>
        <w:t>تمهید</w:t>
      </w:r>
      <w:bookmarkEnd w:id="365"/>
    </w:p>
    <w:p>
      <w:pPr>
        <w:pStyle w:val="BookText"/>
        <w:rPr/>
      </w:pPr>
      <w:r>
        <w:rPr>
          <w:rFonts w:ascii="Amiri" w:hAnsi="Amiri" w:eastAsia="Amiri" w:cs="Amiri"/>
          <w:color w:val="111111"/>
          <w:sz w:val="28"/>
          <w:sz w:val="28"/>
          <w:szCs w:val="28"/>
          <w:rtl w:val="true"/>
          <w:lang w:bidi="ar-SA"/>
        </w:rPr>
        <w:t>تشمل الدراسات المهدويّة عدداً من الموضوعات الشاملة والمهمّة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وسنتطرّق في هذا الباب إلى بيان بعض هذه البحوث مراعين في ذلك الاختصار؛ وهي على الترتيب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بوجود مخلّص البشريّة في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المهدويّة في رؤية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سمات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أحداث ما قبل الظهور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الغيبة</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5369847_1280447820"/>
      <w:bookmarkStart w:id="367" w:name="_Toc142"/>
      <w:bookmarkEnd w:id="366"/>
      <w:r>
        <w:rPr/>
        <w:t>25</w:t>
      </w:r>
      <w:r>
        <w:rPr>
          <w:rtl w:val="true"/>
        </w:rPr>
        <w:t xml:space="preserve"> /</w:t>
      </w:r>
      <w:r>
        <w:rPr/>
        <w:t>2</w:t>
      </w:r>
      <w:r>
        <w:rPr>
          <w:rtl w:val="true"/>
        </w:rPr>
        <w:t>.</w:t>
      </w:r>
      <w:r>
        <w:rPr>
          <w:rtl w:val="true"/>
        </w:rPr>
        <w:t>الإيمان بمخلّص البشريّة في الديانات الأخرى</w:t>
      </w:r>
      <w:r>
        <w:rPr>
          <w:rtl w:val="true"/>
        </w:rPr>
        <w:t>:</w:t>
      </w:r>
      <w:bookmarkEnd w:id="36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تمثّل قضيّة الاعتقاد بوجود مخلّص للبشريّة إحدى القضايا المشتركة التي يؤمن بها أبناء الديانات المختلفة فالزرادشتيّون على سبيل المثال يؤمنون بوجود صراع مستمر بين قوى الشرّ وجنوده من جهة، وقوى الخير وجنوده من جهة أخرى، وأنّ </w:t>
      </w:r>
    </w:p>
    <w:p>
      <w:pPr>
        <w:pStyle w:val="BookText"/>
        <w:rPr/>
      </w:pPr>
      <w:r>
        <w:rPr>
          <w:rFonts w:ascii="Amiri" w:hAnsi="Amiri" w:eastAsia="Amiri" w:cs="Amiri"/>
          <w:color w:val="111111"/>
          <w:sz w:val="28"/>
          <w:sz w:val="28"/>
          <w:szCs w:val="28"/>
          <w:rtl w:val="true"/>
          <w:lang w:bidi="ar-SA"/>
        </w:rPr>
        <w:t>هذه الصراع الدائم سوف يختفي يوماً بانتصار قوى الخير التي سوف تحقّق السعادة للبشريّة، وتمهّد الطريق للازدهار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شاكموني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أعلام الدين الهندوسيّ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يؤول أمر المُلك والسلطنة في دار الدنيا إلى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ابن آدم هو من سيحكم جبال المشرق والمغرب، وهو من سيركب أعالي السُّحب، وسيجعل دين الله ديناً واحداً</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عن زبور النبيّ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يُقطع دابر قوى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المتوكّلون على الربّ فسوف يرثون الأرض، وسوف تكون عاقبة الأشرار الفناء على يديهم، وسوف يرث الأرض أولئك الذين باركهم الربّ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في العهد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المنسوبة للنبيّ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 قضيب من جذع يسى، وينبت غصن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عليه روح الربّ؛ روح الحكمة والفهم، روح المشورة والقوّة، روح المعرفة ومخافة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ولذّته تكون في مخافة الربّ، فلا يقضي بحسب نظر عينيه، ولا يحكم بحسب سمع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يقضي بالعدل للمساكين، ويحكم بالإنصاف لبائسي الأرض</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العهد الجديد في إنجيل متّى، في الإصحاح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جاء ابن الإنسان في مجده وجميع الملائكة القدّيسين معه، فحينئذ يجلس على كرسي مجده </w:t>
      </w:r>
      <w:r>
        <w:rPr>
          <w:rFonts w:eastAsia="Amiri" w:cs="Amiri" w:ascii="Amiri" w:hAnsi="Amiri"/>
          <w:color w:val="111111"/>
          <w:sz w:val="28"/>
          <w:szCs w:val="28"/>
          <w:rtl w:val="true"/>
          <w:lang w:bidi="ar-SA"/>
        </w:rPr>
        <w:t xml:space="preserve">». </w:t>
      </w:r>
      <w:bookmarkStart w:id="368" w:name="pg16299_219558"/>
    </w:p>
    <w:p>
      <w:pPr>
        <w:pStyle w:val="BookText"/>
        <w:rPr/>
      </w:pPr>
      <w:bookmarkEnd w:id="368"/>
      <w:r>
        <w:rPr>
          <w:rFonts w:ascii="IRNazanin" w:hAnsi="IRNazanin" w:eastAsia="IRNazanin"/>
          <w:color w:val="111111"/>
          <w:sz w:val="28"/>
          <w:sz w:val="28"/>
          <w:szCs w:val="28"/>
          <w:rtl w:val="true"/>
          <w:lang w:bidi="fa-IR"/>
        </w:rPr>
        <w:t xml:space="preserve">كما ورد أيضاً في وصايا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شمعون بطرس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أخبرني الربّ أن أوصيك بسيّد الأنبياء، والذي هو كبير أبناء آدم؛ وهو النبيّ الأمّيّ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ساعة يقوى فيها الفرج، وتتبلور فيها النبوّة، وتملأ العالم عدلاً وإنصافاً؛ كما يفعل السيل</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 الكريم فقد تحدّث في هذا الموضوع بكل صراحة؛ فقد ورد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5369849_1280447820"/>
      <w:bookmarkStart w:id="370" w:name="_Toc143"/>
      <w:bookmarkEnd w:id="369"/>
      <w:r>
        <w:rPr/>
        <w:t>25</w:t>
      </w:r>
      <w:r>
        <w:rPr>
          <w:rtl w:val="true"/>
        </w:rPr>
        <w:t xml:space="preserve">/ </w:t>
      </w:r>
      <w:r>
        <w:rPr/>
        <w:t>3</w:t>
      </w:r>
      <w:r>
        <w:rPr>
          <w:rtl w:val="true"/>
        </w:rPr>
        <w:t>.</w:t>
      </w:r>
      <w:r>
        <w:rPr>
          <w:rtl w:val="true"/>
        </w:rPr>
        <w:t xml:space="preserve">المهدوية في رؤية الفريقين </w:t>
      </w:r>
      <w:r>
        <w:rPr>
          <w:rtl w:val="true"/>
        </w:rPr>
        <w:t>:</w:t>
      </w:r>
      <w:bookmarkEnd w:id="370"/>
    </w:p>
    <w:p>
      <w:pPr>
        <w:pStyle w:val="Heading5"/>
        <w:numPr>
          <w:ilvl w:val="4"/>
          <w:numId w:val="1"/>
        </w:numPr>
        <w:rPr/>
      </w:pPr>
      <w:bookmarkStart w:id="371" w:name="__RefHeading___Toc5369851_1280447820"/>
      <w:bookmarkStart w:id="372" w:name="_Toc144"/>
      <w:bookmarkEnd w:id="371"/>
      <w:r>
        <w:rPr>
          <w:rtl w:val="true"/>
        </w:rPr>
        <w:t>إشارة</w:t>
      </w:r>
      <w:bookmarkEnd w:id="37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كبار المحدّثين المسلمين من الشيعة وأهل السنّة أخباراً متعدّدة في ما يتعلّق بموعود آخر الزمان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صُنّفت مئات من الكتب في هذا الإطار</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ظهور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يترك مجالاً للشكّ؛ فالأحاديث التي تناولت هذا الموضوع متواترة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يأتي نماذج منها </w:t>
      </w:r>
      <w:r>
        <w:rPr>
          <w:rFonts w:eastAsia="Amiri" w:cs="Amiri" w:ascii="Amiri" w:hAnsi="Amiri"/>
          <w:color w:val="111111"/>
          <w:sz w:val="28"/>
          <w:szCs w:val="28"/>
          <w:rtl w:val="true"/>
          <w:lang w:bidi="ar-SA"/>
        </w:rPr>
        <w:t xml:space="preserve">: </w:t>
      </w:r>
      <w:bookmarkStart w:id="373" w:name="pg16299_219559"/>
    </w:p>
    <w:p>
      <w:pPr>
        <w:pStyle w:val="Heading5"/>
        <w:numPr>
          <w:ilvl w:val="4"/>
          <w:numId w:val="1"/>
        </w:numPr>
        <w:rPr/>
      </w:pPr>
      <w:bookmarkStart w:id="374" w:name="__RefHeading___Toc5369853_1280447820"/>
      <w:bookmarkStart w:id="375" w:name="_Toc145"/>
      <w:bookmarkEnd w:id="373"/>
      <w:bookmarkEnd w:id="374"/>
      <w:r>
        <w:rPr/>
        <w:t>25</w:t>
      </w:r>
      <w:r>
        <w:rPr>
          <w:rtl w:val="true"/>
        </w:rPr>
        <w:t xml:space="preserve">/ </w:t>
      </w:r>
      <w:r>
        <w:rPr/>
        <w:t>3</w:t>
      </w:r>
      <w:r>
        <w:rPr>
          <w:rtl w:val="true"/>
        </w:rPr>
        <w:t xml:space="preserve">/ </w:t>
      </w:r>
      <w:r>
        <w:rPr/>
        <w:t>1</w:t>
      </w:r>
      <w:r>
        <w:rPr>
          <w:rtl w:val="true"/>
        </w:rPr>
        <w:t xml:space="preserve">. </w:t>
      </w:r>
      <w:r>
        <w:rPr>
          <w:rtl w:val="true"/>
        </w:rPr>
        <w:t>المهدويّة عند علماء العامّة</w:t>
      </w:r>
      <w:r>
        <w:rPr>
          <w:rtl w:val="true"/>
        </w:rPr>
        <w:t>:</w:t>
      </w:r>
      <w:bookmarkEnd w:id="375"/>
    </w:p>
    <w:p>
      <w:pPr>
        <w:pStyle w:val="BookText"/>
        <w:rPr/>
      </w:pPr>
      <w:r>
        <w:rPr>
          <w:rFonts w:ascii="IRNazanin" w:hAnsi="IRNazanin" w:eastAsia="IRNazanin"/>
          <w:color w:val="111111"/>
          <w:sz w:val="28"/>
          <w:sz w:val="28"/>
          <w:szCs w:val="28"/>
          <w:rtl w:val="true"/>
          <w:lang w:bidi="fa-IR"/>
        </w:rPr>
        <w:t xml:space="preserve">يمكن أن نشير فيما يأتي إلى بعض المحدّثين الذين رووا في كتبهم شيئاً من الأحاديث المرتبطة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ويقع على رأس القائمة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داوود، والترمذي، وابن ماجه والطبرانيّ ، وأبويعلى البزّاز، وأحمد بن حنبل ، والحاكم النيسابوري، وقد نقلوها إلى الأجيال التي تليهم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روى هذه الأحاديث من علماء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الگنجيّ الشافعيّ </w:t>
      </w:r>
      <w:r>
        <w:rPr>
          <w:rFonts w:eastAsia="IRNazanin" w:cs="IRNazanin"/>
          <w:color w:val="111111"/>
          <w:sz w:val="28"/>
          <w:szCs w:val="28"/>
          <w:rtl w:val="true"/>
          <w:lang w:bidi="fa-IR"/>
        </w:rPr>
        <w:t>(</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في أخبار صاحب الزمان</w:t>
      </w:r>
      <w:r>
        <w:rPr>
          <w:rFonts w:eastAsia="IRNazanin" w:cs="IRNazanin"/>
          <w:color w:val="111111"/>
          <w:sz w:val="28"/>
          <w:szCs w:val="28"/>
          <w:rtl w:val="true"/>
          <w:lang w:bidi="fa-IR"/>
        </w:rPr>
        <w:t>»</w:t>
      </w:r>
      <w:r>
        <w:rPr>
          <w:rStyle w:val="FootnoteAnchor"/>
          <w:rtl w:val="true"/>
        </w:rPr>
        <w:footnoteReference w:id="438"/>
      </w:r>
      <w:r>
        <w:rPr>
          <w:rFonts w:ascii="Amiri" w:hAnsi="Amiri" w:eastAsia="Amiri" w:cs="Amiri"/>
          <w:color w:val="111111"/>
          <w:sz w:val="28"/>
          <w:sz w:val="28"/>
          <w:szCs w:val="28"/>
          <w:rtl w:val="true"/>
          <w:lang w:bidi="ar-SA"/>
        </w:rPr>
        <w:t xml:space="preserve">، وابن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 ومؤمن الشبلنجي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 والشيخ محمد الصبّان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 والشيخ منصور علي ناصف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 الجامع للأصول </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 والعلّامة الشوكاني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التوضيح في تواتر ما جاء في المنتظر والدجال والمسيح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اعترف جميعهم بتواتر هذه الأحاديث</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وادّعى ابن أبي الحديد أنّ الفرق الإسلاميّة قد أجمعت وأطبقت بأسرها على أنّ أجل الدنيا لن ينقضي إلّا بعد ظهور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ماجة في صحيحه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يصلحه الله في ليلة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أبو داوود في صحيحه بسند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 الله ذلك اليوم حتى يبعث فيه رجلاً منّي أو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الأرض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صحيح الترمذي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أو لا تنقضي الدنيا حتى يملك العرب رجل من أهل بيتي ويواطئ اسمه اسمي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يوم لطوّل الله ذلك اليوم حتى يلي رجل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ذهب القرطبيّ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وتابعه في ذلك صاحب تفسير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صحّة الأخبار المخبرة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وتواترها </w:t>
      </w:r>
      <w:r>
        <w:rPr>
          <w:rStyle w:val="FootnoteAnchor"/>
          <w:rtl w:val="true"/>
        </w:rPr>
        <w:footnoteReference w:id="449"/>
      </w:r>
      <w:r>
        <w:rPr>
          <w:rFonts w:ascii="Amiri" w:hAnsi="Amiri" w:eastAsia="Amiri" w:cs="Amiri"/>
          <w:color w:val="111111"/>
          <w:sz w:val="28"/>
          <w:sz w:val="28"/>
          <w:szCs w:val="28"/>
          <w:rtl w:val="true"/>
          <w:lang w:bidi="ar-SA"/>
        </w:rPr>
        <w:t xml:space="preserve">، والأحاديث التي أثبتت أنّه من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فقد ورد في تفسير روح المعاني قوله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معظم أهل العلم إلى أنّه حين ينزل، يصلّي وراء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الفجر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ويذكر في مكان آخر 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والمشهور نزوله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والناس في صلاة الصبح فيتأخّر الإمام وهو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فيقدّمه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خلفه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أقيمت لك، وقيل بل يتقدم هو ويؤمّ الناس والأكثرون على اقتدائه بالمهديّ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الصلاة دفعاً لتوهّم نزوله ناسخاً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الفخر الرازيّ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بالغيب المهديّ المنتظر الذي وعد الله تعالى به في القرآن والخبر؛ أمّا القرآن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أهل بيتي يواطئ اسمه اسمي وكنيته كنيتي يملأ الأرض عدلاً وقسطاً كما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تخصيص المطلق من غير الدليل باطل </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 كثير فيقول في تفسيره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المبشَّر به في الأحاديث الواردة بذكره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كلّ من محمّد طه درّة الحمصي و محمد رشيد رضا أنّ المسلمين ينتظرون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76" w:name="pg16299_219562"/>
    </w:p>
    <w:p>
      <w:pPr>
        <w:pStyle w:val="BookText"/>
        <w:rPr/>
      </w:pPr>
      <w:bookmarkEnd w:id="376"/>
      <w:r>
        <w:rPr>
          <w:rFonts w:ascii="IRNazanin" w:hAnsi="IRNazanin" w:eastAsia="IRNazanin"/>
          <w:color w:val="111111"/>
          <w:sz w:val="28"/>
          <w:sz w:val="28"/>
          <w:szCs w:val="28"/>
          <w:rtl w:val="true"/>
          <w:lang w:bidi="fa-IR"/>
        </w:rPr>
        <w:t xml:space="preserve">وقال صاحب تفسير بيان المعاني واصفاً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جاء في فضله ما لم يحصره القلم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ويبيّن الطنطاويّ في تفسير الجواهر، عموم فكرة المهدويّة بين الناس جاهلهم وعالمهم؛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فكرة المهدي عامّة في المسلمين العلماء والجهّال، فلمّا قرأت الكتب وجدت لهذا المهدي أحاديث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فأيقنت بأنّ الأمّة الإسلاميّة تغلغلت فيها هذه الفكرة وثبّتت</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ويوافقه في ذلك محمد رشيد رضا حيث ذكر في تفسير المنار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الخاصّ والعامّ أنّه ورد في علامات الساعة من الأخبار أنّه يخرج رجل من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5369855_1280447820"/>
      <w:bookmarkStart w:id="378" w:name="_Toc146"/>
      <w:bookmarkEnd w:id="377"/>
      <w:r>
        <w:rPr/>
        <w:t>25</w:t>
      </w:r>
      <w:r>
        <w:rPr>
          <w:rtl w:val="true"/>
        </w:rPr>
        <w:t xml:space="preserve">/ </w:t>
      </w:r>
      <w:r>
        <w:rPr/>
        <w:t>3</w:t>
      </w:r>
      <w:r>
        <w:rPr>
          <w:rtl w:val="true"/>
        </w:rPr>
        <w:t xml:space="preserve">/ </w:t>
      </w:r>
      <w:r>
        <w:rPr/>
        <w:t>2</w:t>
      </w:r>
      <w:r>
        <w:rPr>
          <w:rtl w:val="true"/>
        </w:rPr>
        <w:t xml:space="preserve">. </w:t>
      </w:r>
      <w:r>
        <w:rPr>
          <w:rtl w:val="true"/>
        </w:rPr>
        <w:t>المهدويّة عند علماء الإماميّة</w:t>
      </w:r>
      <w:r>
        <w:rPr>
          <w:rtl w:val="true"/>
        </w:rPr>
        <w:t>:</w:t>
      </w:r>
      <w:bookmarkEnd w:id="378"/>
    </w:p>
    <w:p>
      <w:pPr>
        <w:pStyle w:val="BookText"/>
        <w:rPr/>
      </w:pPr>
      <w:r>
        <w:rPr>
          <w:rFonts w:ascii="Amiri" w:hAnsi="Amiri" w:eastAsia="Amiri" w:cs="Amiri"/>
          <w:color w:val="111111"/>
          <w:sz w:val="28"/>
          <w:sz w:val="28"/>
          <w:szCs w:val="28"/>
          <w:rtl w:val="true"/>
          <w:lang w:bidi="ar-SA"/>
        </w:rPr>
        <w:t>تبيّن لنا مما تقدّم أنّ علماء الفريقين متفقون على وجود مخلّص يظهر في آخر الزمان؛ غير أنّ أهل السنّة ذهبوا إلى أنّ هذا المهديّ المنتظر لم يولد بعد، وأنّه سوف يولد في آخر الزمان، وسوف يؤسس دولة تشمل العالم بأسره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الإماميّة فيرون أنّ المهدي المنتظر هو الإمام محمد 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السيّدة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 وأنّه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القرن الثالث الهجري، ثمّ </w:t>
      </w:r>
    </w:p>
    <w:p>
      <w:pPr>
        <w:pStyle w:val="BookText"/>
        <w:rPr/>
      </w:pPr>
      <w:r>
        <w:rPr>
          <w:rFonts w:ascii="Amiri" w:hAnsi="Amiri" w:eastAsia="Amiri" w:cs="Amiri"/>
          <w:color w:val="111111"/>
          <w:sz w:val="28"/>
          <w:sz w:val="28"/>
          <w:szCs w:val="28"/>
          <w:rtl w:val="true"/>
          <w:lang w:bidi="ar-SA"/>
        </w:rPr>
        <w:t xml:space="preserve">غاب غيبة صغرى، وهو اليوم في غيبة كبرى بإذن وأمر من الله، وأنّه سوف يظهر في آخر الزمان، ويحقّق حكومة العدل الإلهيّة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ويروي محدّثو الشيعة أنّ حكيمة بنت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إليّ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اجعلي إفطارك الليلة عندنا فإنّها ليلة النصف من شعبان فإنّ الله تبارك وتعالى سيظهر في هذه الليلة الحجّة وهو حجّته في أرضه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ومن أمّه؟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جعلني الله فداك ما بها أثر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أقول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فوثبت إلى نرجس فقلّبتها ظهر البطن فلم أر بها أثراً من حبل فعدت إليه فأخبرته بما فعلت فتبسّم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وقت الفجر يظهر لك بها الحبل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السيّدة حكيمة أيضاً في خبر آخر أنّها قالت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استيقظت فلم أزل مفكّرة فيما وعدني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قبل الوقت الذي كنت أقوم في كل ليلة للصلاة، فصلّيت صلاة الليل حتى بلغت إلى الوتر، فوثبت سوسن فزعة وخرجت وأسبغت الوضوء ثمّ عادت فصلّت صلاة الليل وبلغت إلى الوتر، فوقع في قلبي أنّ الفجر قد قرب فقمت لأنظر فإذا بالفجر الأوّل قد طلع فتداخل قلبي الشكّ من وعد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 من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تشكّي وكأنّك بالأمر الساعة قد رأيته إن شاء الله قالت حكيمة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فاستحييت من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وقع في قلبي، ورجعت إلى البيت وأنا خجلة فإذا هي قد قطعت الصلاة وخرجت فزعة فلقيتها على باب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هل تحسّين شيئا؟ قالت نعم يا عمة إنّي لأجد أمراً شديداً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خوف عليك إن شاء الله وأخذت وسادة فألقيتها في وسط البيت وأجلستها عليها وجلست منها حيث تقعد </w:t>
      </w:r>
    </w:p>
    <w:p>
      <w:pPr>
        <w:pStyle w:val="BookText"/>
        <w:rPr/>
      </w:pPr>
      <w:r>
        <w:rPr>
          <w:rFonts w:ascii="IRNazanin" w:hAnsi="IRNazanin" w:eastAsia="IRNazanin"/>
          <w:color w:val="111111"/>
          <w:sz w:val="28"/>
          <w:sz w:val="28"/>
          <w:szCs w:val="28"/>
          <w:rtl w:val="true"/>
          <w:lang w:bidi="fa-IR"/>
        </w:rPr>
        <w:t xml:space="preserve">المرأة من المرأة للولادة فقبضت على كفّي وغمزت غمزة شديدة ثمّ أنت أنّة وتشهّدت ونظرت تحتها فإذا أنا بولي الله صلوات الله عليه متلقّياً الأرض بمساجده فأخذت بكتفيه فأجلسته في حجري وإذا هو نظيف مفروغ منه فناداني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هلمّي فأتيني بابني </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في خبر عن أبي الأديان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بالكتب إلى المدائن وأخذت جواباتها ودخلت سرّ من رأى يوم الخامس عشر كما ذكر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بالواعية في داره وإذا به على المغتسل، وإذا أنا بجعفر بن عليّ أخيه بباب الدار والشيعة من حوله يعزّونه ويهنّونه،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يكن هذا الامام فقد بطلت الإمامة، لأنّي كنت أعرفه يشرب النبيذ ويقامر في الجوسق ويلعب بالطنبور، فتقدّمت فعزّيت وهنّيت فلم يسألني عن شيء، ثمّ خرج عقيد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كُفّن أخوك فقم وصلّ عليه فدخل جعفر بن عليّ والشيعة من حوله يقدّمهم السمان والحسن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قتيل المعتصم المعروف بسلمة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صرنا في الدار إذا نحن بالحسن بن علي صلوات الله عليه على نعشه مكفّناً فتقدّم جعفر بن علي ليصلّي على أخيه، فلمّا همَّ بالتكبير خرج صبيّ بوجهه سمرة، بشعره قطط، بأسنانه تفليج فجبذ برداء جعفر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تأخّر يا عمّ فأنا أحقّ بالصلاة على أبي، فتأخّر جعفر، وقد أربد وجهه واصفرّ فتقدّم الصبيّ وصلّى عليه ودفن إلى جانب قبر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بصري هات جوابات الكتب التي معك، فدفعتها إليه، فقلت في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بينتان بقي الهميان ثمّ خرجت إلى جعفر بن عليّ وهو يزفر ، فقال له 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من الصبيّ لنقيم الحجّة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رأيته قطّ ولا أعرفه فنحن جلوس إذ قدم نفر من قم فسألوا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فعرفوا موته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فأشار الناس إلى جعفر بن عليّ فسلّموا عليه وعزّوه وهنّوه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كُتباً ومالاً، فتقول ممّن الكتب؟ وكم المال؟ فقام ينفض أثوابه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منّا أن نعلم الغيب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كتب فلان </w:t>
      </w:r>
      <w:bookmarkStart w:id="379" w:name="pg16299_219565"/>
    </w:p>
    <w:p>
      <w:pPr>
        <w:pStyle w:val="BookText"/>
        <w:rPr/>
      </w:pPr>
      <w:bookmarkEnd w:id="379"/>
      <w:r>
        <w:rPr>
          <w:rFonts w:ascii="Amiri" w:hAnsi="Amiri" w:eastAsia="Amiri" w:cs="Amiri"/>
          <w:color w:val="111111"/>
          <w:sz w:val="28"/>
          <w:sz w:val="28"/>
          <w:szCs w:val="28"/>
          <w:rtl w:val="true"/>
          <w:lang w:bidi="ar-SA"/>
        </w:rPr>
        <w:t>وفلان وفلان وهميان فيه ألف دينار وعشرة دنانير منها مطلية، فدفعوا إليه الكتب والمال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وجه بك لاخذ ذلك هو الإمام، فدخل جعفر بن عليّ على المعتمد وكشف له ذلك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عدد من الشواهد الروائية الدالة على ولادة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كانت منذ اللحظة الأولى لميلاده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يخرجه ويريه للخواص من أصحابه في طوال الخمس سنوات التي عاشها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كنف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تقبّل ما وقع من معجزات في أمر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تمّت المحافظة عليه طوال مدة تلك السنوات الخمسة؛ يتّضح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تذهب به الملائكة إلى السماء ولا تعود به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ليراه إلّا مرة كل أربعين يوم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5369857_1280447820"/>
      <w:bookmarkStart w:id="381" w:name="_Toc147"/>
      <w:bookmarkEnd w:id="380"/>
      <w:r>
        <w:rPr/>
        <w:t>24</w:t>
      </w:r>
      <w:r>
        <w:rPr>
          <w:rtl w:val="true"/>
        </w:rPr>
        <w:t xml:space="preserve">/ </w:t>
      </w:r>
      <w:r>
        <w:rPr/>
        <w:t>4</w:t>
      </w:r>
      <w:r>
        <w:rPr>
          <w:rtl w:val="true"/>
        </w:rPr>
        <w:t xml:space="preserve">. </w:t>
      </w:r>
      <w:r>
        <w:rPr>
          <w:rtl w:val="true"/>
        </w:rPr>
        <w:t xml:space="preserve">سمات أصحاب المهدي </w:t>
      </w:r>
      <w:r>
        <w:rPr>
          <w:rtl w:val="true"/>
        </w:rPr>
        <w:t>(</w:t>
      </w:r>
      <w:r>
        <w:rPr>
          <w:rtl w:val="true"/>
        </w:rPr>
        <w:t>علیه السلام</w:t>
      </w:r>
      <w:r>
        <w:rPr>
          <w:rtl w:val="true"/>
        </w:rPr>
        <w:t>) :</w:t>
      </w:r>
      <w:bookmarkEnd w:id="381"/>
    </w:p>
    <w:p>
      <w:pPr>
        <w:pStyle w:val="BookText"/>
        <w:rPr/>
      </w:pPr>
      <w:r>
        <w:rPr>
          <w:rFonts w:ascii="IRNazanin" w:hAnsi="IRNazanin" w:eastAsia="IRNazanin"/>
          <w:color w:val="111111"/>
          <w:sz w:val="28"/>
          <w:sz w:val="28"/>
          <w:szCs w:val="28"/>
          <w:rtl w:val="true"/>
          <w:lang w:bidi="fa-IR"/>
        </w:rPr>
        <w:t xml:space="preserve">وردت في المصادر الإسلامية بحوث تتعلّق بعدد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وأسماء بعضهم، وأوطانهم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هذه الشخصيّات بروزاً هو نبيّ الله عيسى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سوف يكون له دور مهمّ ومفصليّ في عصر مفصليّ في عصر ما بعد الظهور، وسوف يقدّم عوناً كبيراً لقيام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بعض الأحاديث في كتب أهل السنّة أيضاً عن أصحاب الكهف ودورهم آخر الزمان، وأنّهم سوف يكونون من أصحاب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أشار الآلوسي إلى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أيضاً من بين أصحاب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سوف يرافقونه في قيامه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إسماعيل حقّي البروسويّ عن الشيخ الأكبر أنّ نبيّ الله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يظهر مع أهل الكهف في عصر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يستشهد بين يديه، ويكون من أفضل شهداء جيشه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في مصادر العامّة أيضاً أن أكثر 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الإسلام </w:t>
      </w:r>
      <w:r>
        <w:rPr>
          <w:rStyle w:val="FootnoteAnchor"/>
          <w:rtl w:val="true"/>
        </w:rPr>
        <w:footnoteReference w:id="469"/>
      </w:r>
      <w:r>
        <w:rPr>
          <w:rFonts w:ascii="Amiri" w:hAnsi="Amiri" w:eastAsia="Amiri" w:cs="Amiri"/>
          <w:color w:val="111111"/>
          <w:sz w:val="28"/>
          <w:sz w:val="28"/>
          <w:szCs w:val="28"/>
          <w:rtl w:val="true"/>
          <w:lang w:bidi="ar-SA"/>
        </w:rPr>
        <w:t xml:space="preserve">، وأنّهم ممّن يتّصفون بخصائص الكمّل من المؤمنين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82" w:name="pg16299_219567"/>
    </w:p>
    <w:p>
      <w:pPr>
        <w:pStyle w:val="BookText"/>
        <w:rPr/>
      </w:pPr>
      <w:bookmarkEnd w:id="3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أنّهم من أهل الصدق </w:t>
      </w:r>
      <w:r>
        <w:rPr>
          <w:rStyle w:val="FootnoteAnchor"/>
          <w:rtl w:val="true"/>
        </w:rPr>
        <w:footnoteReference w:id="471"/>
      </w:r>
      <w:r>
        <w:rPr>
          <w:rFonts w:ascii="Amiri" w:hAnsi="Amiri" w:eastAsia="Amiri" w:cs="Amiri"/>
          <w:color w:val="111111"/>
          <w:sz w:val="28"/>
          <w:sz w:val="28"/>
          <w:szCs w:val="28"/>
          <w:rtl w:val="true"/>
          <w:lang w:bidi="ar-SA"/>
        </w:rPr>
        <w:t xml:space="preserve">، مجاهدون ، لا يكلّون ولا يفترون </w:t>
      </w:r>
      <w:r>
        <w:rPr>
          <w:rStyle w:val="FootnoteAnchor"/>
          <w:rtl w:val="true"/>
        </w:rPr>
        <w:footnoteReference w:id="472"/>
      </w:r>
      <w:r>
        <w:rPr>
          <w:rFonts w:ascii="Amiri" w:hAnsi="Amiri" w:eastAsia="Amiri" w:cs="Amiri"/>
          <w:color w:val="111111"/>
          <w:sz w:val="28"/>
          <w:sz w:val="28"/>
          <w:szCs w:val="28"/>
          <w:rtl w:val="true"/>
          <w:lang w:bidi="ar-SA"/>
        </w:rPr>
        <w:t xml:space="preserve">، يحبّون الله تَبَارَكَ وَتَعَالى ويحبّهم </w:t>
      </w:r>
      <w:r>
        <w:rPr>
          <w:rStyle w:val="FootnoteAnchor"/>
          <w:rtl w:val="true"/>
        </w:rPr>
        <w:footnoteReference w:id="473"/>
      </w:r>
      <w:r>
        <w:rPr>
          <w:rFonts w:ascii="Amiri" w:hAnsi="Amiri" w:eastAsia="Amiri" w:cs="Amiri"/>
          <w:color w:val="111111"/>
          <w:sz w:val="28"/>
          <w:sz w:val="28"/>
          <w:szCs w:val="28"/>
          <w:rtl w:val="true"/>
          <w:lang w:bidi="ar-SA"/>
        </w:rPr>
        <w:t>، وأنّهم من زمرة وصفهم الله بقوله السابقون السابقون، علاوةً على كونهم من أصحاب القيامة الكبرى، وأهل الكشف والظهور</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5369859_1280447820"/>
      <w:bookmarkStart w:id="384" w:name="_Toc148"/>
      <w:bookmarkEnd w:id="383"/>
      <w:r>
        <w:rPr/>
        <w:t>25</w:t>
      </w:r>
      <w:r>
        <w:rPr>
          <w:rtl w:val="true"/>
        </w:rPr>
        <w:t xml:space="preserve"> /</w:t>
      </w:r>
      <w:r>
        <w:rPr/>
        <w:t>5</w:t>
      </w:r>
      <w:r>
        <w:rPr>
          <w:rtl w:val="true"/>
        </w:rPr>
        <w:t xml:space="preserve">. </w:t>
      </w:r>
      <w:r>
        <w:rPr>
          <w:rtl w:val="true"/>
        </w:rPr>
        <w:t xml:space="preserve">أحداث ما قبل الظهور </w:t>
      </w:r>
      <w:r>
        <w:rPr>
          <w:rtl w:val="true"/>
        </w:rPr>
        <w:t>:</w:t>
      </w:r>
      <w:bookmarkEnd w:id="384"/>
    </w:p>
    <w:p>
      <w:pPr>
        <w:pStyle w:val="BookText"/>
        <w:rPr/>
      </w:pPr>
      <w:r>
        <w:rPr>
          <w:rFonts w:ascii="Amiri" w:hAnsi="Amiri" w:eastAsia="Amiri" w:cs="Amiri"/>
          <w:color w:val="111111"/>
          <w:sz w:val="28"/>
          <w:sz w:val="28"/>
          <w:szCs w:val="28"/>
          <w:rtl w:val="true"/>
          <w:lang w:bidi="ar-SA"/>
        </w:rPr>
        <w:t>ترتبط البحوث الأخرى بأحداث عصر الظهور التي جاء بيانها على نحو مفصّل في الكتب التي تناولت موضوع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سنستعرض بعض تلك الأحداث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عندما يصل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حليّ جميع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قيصر الروم قد أخذها، واحتملها على سبعين ألفاً ومئة ألف عجلة حتى أودعه في كنيسة الذهب، فهو فيها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ويردّها إلى بيت المقدس، حيث يرسي بها على يافا، ويمضي بها حتى يدخل بها بيت المقدس، وبها يجمع الله الأولين والآخرين،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معجزة تثبت حقانية دعوتها</w:t>
      </w:r>
      <w:r>
        <w:rPr>
          <w:rStyle w:val="FootnoteAnchor"/>
          <w:rtl w:val="true"/>
        </w:rPr>
        <w:footnoteReference w:id="475"/>
      </w:r>
      <w:r>
        <w:rPr>
          <w:rFonts w:ascii="IRNazanin" w:hAnsi="IRNazanin" w:eastAsia="IRNazanin"/>
          <w:color w:val="111111"/>
          <w:sz w:val="28"/>
          <w:sz w:val="28"/>
          <w:szCs w:val="28"/>
          <w:rtl w:val="true"/>
          <w:lang w:bidi="fa-IR"/>
        </w:rPr>
        <w:t xml:space="preserve">، وقد ورد في وصف هذه الحلّي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يرسي بألف سفينة وسبعمئة سفينة محمّلة بها</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ألف سفينة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سفينة يرسي بها علي يافا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تفسير المأثور،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الكشف والبيان عن تفسير القرآن، الثعلبي،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معالم التزيل في تفسير القرآن، البغوي،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مراح لبيد لكشف معنى القرآن المجيد،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ألف سفينة وسبع مئة سفينة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ومن الحوادث الإعجازيّة التي تقع في عصر الظهور سلام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 الكهف؛ حيث جعله الله سُبحَانَهُ وَتَعَالى سبباً في بعثهم إلى الحياة مرّة أخرى </w:t>
      </w:r>
      <w:r>
        <w:rPr>
          <w:rStyle w:val="FootnoteAnchor"/>
          <w:rtl w:val="true"/>
        </w:rPr>
        <w:footnoteReference w:id="477"/>
      </w:r>
      <w:r>
        <w:rPr>
          <w:rFonts w:ascii="IRNazanin" w:hAnsi="IRNazanin" w:eastAsia="IRNazanin"/>
          <w:color w:val="111111"/>
          <w:sz w:val="28"/>
          <w:sz w:val="28"/>
          <w:szCs w:val="28"/>
          <w:rtl w:val="true"/>
          <w:lang w:bidi="fa-IR"/>
        </w:rPr>
        <w:t xml:space="preserve">لينصروا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حركته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نقل آخر فإنّهم سوف يثبتون في مكانهم إلى حين قيام القيامة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من يعودون إلى الدنيا إضافة إلى أصحاب الكهف 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أخرى من الأخيار؛ حيث يعودون لنصرة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يخوض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 حروباً عديدة بعضها على الكفار وبعضها على منكريه، وأهمّ هذه الحروب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حربه على الدجّال، وعلى السفيانيّ؛ ومن خلال هذه الحروب تصبح جميع الأرض تحت سيطرته، وتنعم جميع المخلوقات برغد حكومته العادلة؛ وقد وردت الإشارة في الأحاديث المرويّة إلى بعض هذه الفتوحات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ذلك أهمّيتها وما لها من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بينها عمورية، وروميّة، والقسطنطينيّة</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القدير، الشوكانيّ،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فتح البيان القنوجي،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أبو حيان الأندلسي،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كشف الاسرار، رشيد الدين الميبدي،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أبي حاتم،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خزيهم في الدنيا فإنّه إذا قام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القسطنطينيّة وقتلهم فذلك الخزي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وببيان هذه المدن واهتمام الروايات بها يتّضح لنا أهميّة الحروب التي سوف يخوضها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البلاد الغربيّة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استعرض مفسّرو أهل السنة في ضمن تفسيرهم الآيات التي تناولت الحديث عن إظهار الدين من قبيل قوله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w:t>
      </w:r>
    </w:p>
    <w:p>
      <w:pPr>
        <w:pStyle w:val="BookText"/>
        <w:rPr/>
      </w:pPr>
      <w:r>
        <w:rPr>
          <w:rFonts w:ascii="Amiri" w:hAnsi="Amiri" w:eastAsia="Amiri" w:cs="Amiri"/>
          <w:color w:val="111111"/>
          <w:sz w:val="28"/>
          <w:sz w:val="28"/>
          <w:szCs w:val="28"/>
          <w:rtl w:val="true"/>
          <w:lang w:bidi="ar-SA"/>
        </w:rPr>
        <w:t>بِاللَّهِ شَهِيدًا</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xml:space="preserve">، وغيرها ؛ أنّ زمان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الزمان الذي يتحقّق فيه علوّ الدين الإسلاميّ وانتصاره، بحيث لا يبقى على وجه البسيطة مشرك؛ وذلك عندما يكون كلّ البشر قد اعتنقوا الإسلام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بعض كتب التفسير في ما يتعلّق بتفسير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خِزْيٌ فِي الدُّنْيَا وَلَهُمْ فِي الْآخِرَةِ عَذَابٌ عَظِيمٌ</w:t>
      </w:r>
      <w:r>
        <w:rPr>
          <w:rFonts w:eastAsia="Amiri" w:cs="Amiri" w:ascii="Amiri" w:hAnsi="Amiri"/>
          <w:color w:val="111111"/>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 xml:space="preserve">مجموعة من الأحاديث التي تطرّقت الكفار والظالمين في الدنيا، وتعرّضهم للذلّ في الدنيا قبل الآخرة، ويتحقّق ذلك بقيام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وحينها تتخلّص البشريّة من أذاهم وليس لهم مفرّ آخر إلّا أن يتقبّلوا بالدين الحقّ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في تفسير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 لَعَلَّهُمْ يَرْجِعُونَ</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 xml:space="preserve">حيث نُقلت أحاديث أخرى أيضاً تشير إلى أنّ المقصود من العذاب الأكبر المذكور في الآية الشريفة هو قيام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w:t>
      </w:r>
      <w:r>
        <w:rPr>
          <w:rStyle w:val="FootnoteAnchor"/>
          <w:rtl w:val="true"/>
        </w:rPr>
        <w:footnoteReference w:id="487"/>
      </w:r>
      <w:r>
        <w:rPr>
          <w:rFonts w:ascii="Amiri" w:hAnsi="Amiri" w:eastAsia="Amiri" w:cs="Amiri"/>
          <w:color w:val="111111"/>
          <w:sz w:val="28"/>
          <w:sz w:val="28"/>
          <w:szCs w:val="28"/>
          <w:rtl w:val="true"/>
          <w:lang w:bidi="ar-SA"/>
        </w:rPr>
        <w:t>، وحينها سوف يميّز المؤمن من الكافر</w:t>
      </w:r>
      <w:r>
        <w:rPr>
          <w:rFonts w:eastAsia="Amiri" w:cs="Amiri" w:ascii="Amiri" w:hAnsi="Amiri"/>
          <w:color w:val="111111"/>
          <w:sz w:val="28"/>
          <w:szCs w:val="28"/>
          <w:rtl w:val="true"/>
          <w:lang w:bidi="ar-SA"/>
        </w:rPr>
        <w:t xml:space="preserve">. </w:t>
      </w:r>
      <w:bookmarkStart w:id="385" w:name="pg16299_219571"/>
    </w:p>
    <w:p>
      <w:pPr>
        <w:pStyle w:val="Heading4"/>
        <w:numPr>
          <w:ilvl w:val="3"/>
          <w:numId w:val="1"/>
        </w:numPr>
        <w:rPr/>
      </w:pPr>
      <w:bookmarkStart w:id="386" w:name="__RefHeading___Toc5369861_1280447820"/>
      <w:bookmarkStart w:id="387" w:name="_Toc149"/>
      <w:bookmarkEnd w:id="385"/>
      <w:bookmarkEnd w:id="386"/>
      <w:r>
        <w:rPr/>
        <w:t>25</w:t>
      </w:r>
      <w:r>
        <w:rPr>
          <w:rtl w:val="true"/>
        </w:rPr>
        <w:t xml:space="preserve"> /</w:t>
      </w:r>
      <w:r>
        <w:rPr/>
        <w:t>6</w:t>
      </w:r>
      <w:r>
        <w:rPr>
          <w:rtl w:val="true"/>
        </w:rPr>
        <w:t xml:space="preserve">. </w:t>
      </w:r>
      <w:r>
        <w:rPr>
          <w:rtl w:val="true"/>
        </w:rPr>
        <w:t xml:space="preserve">فلسفة الغيبة </w:t>
      </w:r>
      <w:r>
        <w:rPr>
          <w:rtl w:val="true"/>
        </w:rPr>
        <w:t>:</w:t>
      </w:r>
      <w:bookmarkEnd w:id="387"/>
    </w:p>
    <w:p>
      <w:pPr>
        <w:pStyle w:val="BookText"/>
        <w:rPr/>
      </w:pPr>
      <w:r>
        <w:rPr>
          <w:rFonts w:ascii="Amiri" w:hAnsi="Amiri" w:eastAsia="Amiri" w:cs="Amiri"/>
          <w:color w:val="111111"/>
          <w:sz w:val="28"/>
          <w:sz w:val="28"/>
          <w:szCs w:val="28"/>
          <w:rtl w:val="true"/>
          <w:lang w:bidi="ar-SA"/>
        </w:rPr>
        <w:t>تقتضي فلسفة ضرورة وجود الإمام تواجد الإمام المعصوم بين الناس؛ ليكون له عليهم ولاية تشريعيّة وسياسيّة اجتماعيّة؛ علاوةً على ما يتمتّع به من الولاية التكوينيّة على عالم الممكنات لكنّ إمام العصر يعيش حالة الغيبة لبعض الأسباب، ومع أنّ اللطف الإلهيّ التكوينيّ المفاض على الناس وعالم الممكنات بواسطته غير منقطع، لكنّ العالم محروم من ولايته التشريعيّة والسياسيّة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والسؤال المركزيّ الذي يطرح نفسه هنا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اختفى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الأنظار؟ وما الحكمة التي تقف وراء حدوث هذه الغيبة؟ وما هي فلسفتها؟</w:t>
      </w:r>
    </w:p>
    <w:p>
      <w:pPr>
        <w:pStyle w:val="BookText"/>
        <w:rPr/>
      </w:pPr>
      <w:r>
        <w:rPr>
          <w:rFonts w:ascii="Amiri" w:hAnsi="Amiri" w:eastAsia="Amiri" w:cs="Amiri"/>
          <w:color w:val="111111"/>
          <w:sz w:val="28"/>
          <w:sz w:val="28"/>
          <w:szCs w:val="28"/>
          <w:rtl w:val="true"/>
          <w:lang w:bidi="ar-SA"/>
        </w:rPr>
        <w:t>يرى جماعة أنّ سبب الغيبة سرّ خفيّ، وقد تمسّكوا لإثبات هذه الدعوى إلى بعض الأحاديث؛ منها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فأغلقوا أبواب السؤال عمّا لا يعنيكم ولا تتكلّفوا علم ما قد كفيتم وأكثروا الدعاء بتعجيل الفرج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الفضيل الهاشمي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غيبة لا بدّ منها، يرتاب فيها كلّ 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أمر الله وسرّ من الله، وغيب من غيب الله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حنان بن سدير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غيبة يطول أمدها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يا ابن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أبى إلّا أن يجري فيه سنن الأنبياء في غيباتهم وإنّه لا بدّ له يا سدير من استيفاء مدد غيباتهم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وقدّم غيرهم تصوّراً آخر عن أسباب غيبة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التي تقف خلف ذلك، مستفيدين من أحاديث شريفة أخرى صدرت لخواص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ضرورة استمرار الإمامة وحياة الإمام على الرغم من جميع التحدّيات والتهديدات التي واجهت ذلك يمكن عدّها في ضمن أهمّ دواعي الغيبة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بدّ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زرارة أنّه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قبل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وأومأ بيده إلى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القتل</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رواية أخرى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على نفسه الذبح</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 فَوَهَبَ لِي رَبِّي حُكْمًا وَجَعَلَنِي مِنَ الْمُرْسَلِينَ</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 في هذا السياق أيضاً إلى أنّ سبب الغيبة هو ألّا يكون حين الغيبة في عنق الإمام بيعة لأحد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إسحاق بن يعقوب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علّة ما وقع من الغيبة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w:t>
      </w:r>
    </w:p>
    <w:p>
      <w:pPr>
        <w:pStyle w:val="BookText"/>
        <w:rPr/>
      </w:pPr>
      <w:r>
        <w:rPr>
          <w:rFonts w:ascii="Amiri" w:hAnsi="Amiri" w:eastAsia="Amiri" w:cs="Amiri"/>
          <w:color w:val="111111"/>
          <w:sz w:val="28"/>
          <w:sz w:val="28"/>
          <w:szCs w:val="28"/>
          <w:rtl w:val="true"/>
          <w:lang w:bidi="ar-SA"/>
        </w:rPr>
        <w:t xml:space="preserve">أَشْيَاءَ إِنْ تُبْدَ لَكُمْ تَسُؤْكُمْ </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إنّه لم يكن أحدٌ من آبائى إلّا وقعت في عنقه بيعةٌ لطاغية زمانه، وإنّي أخرج حين أخرج ولا بيعةَ لأحدٍ من الطواغيت في عنقي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هذا الأمر تعمى ولادته على هذا الخلق، لئلّا يكون لأحد في عنقه بيعة إذا خرج</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والحكمة الأخرى من وراء الغيبة هي سوء أعمال العباد، ولا يرضى الله سبحانه بأن يرافق الإمام أمثال هؤلاء العباد، كما ورد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محجوب عنكم ، ولكن حجبه سوء أعمالكم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إشارة إلى أنّ من ليس له عمل سوء فلا فلا شيء يحجبه عن 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مروان الأنباريّ أنّه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إذا كره لنا جوار قوم، نزعنا من بين أظهرهم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16299_219575"/>
      <w:bookmarkStart w:id="389" w:name="pg16299_219575"/>
      <w:bookmarkEnd w:id="389"/>
    </w:p>
    <w:p>
      <w:pPr>
        <w:pStyle w:val="Heading2"/>
        <w:numPr>
          <w:ilvl w:val="1"/>
          <w:numId w:val="1"/>
        </w:numPr>
        <w:rPr/>
      </w:pPr>
      <w:bookmarkStart w:id="390" w:name="pg16299_219575"/>
      <w:bookmarkStart w:id="391" w:name="__RefHeading___Toc5369863_1280447820"/>
      <w:bookmarkStart w:id="392" w:name="_Toc150"/>
      <w:bookmarkEnd w:id="390"/>
      <w:bookmarkEnd w:id="391"/>
      <w:r>
        <w:rPr>
          <w:rtl w:val="true"/>
        </w:rPr>
        <w:t xml:space="preserve">الباب السابع </w:t>
      </w:r>
      <w:r>
        <w:rPr>
          <w:rtl w:val="true"/>
        </w:rPr>
        <w:t>-</w:t>
      </w:r>
      <w:r>
        <w:rPr>
          <w:rtl w:val="true"/>
        </w:rPr>
        <w:t>المعاد</w:t>
      </w:r>
      <w:bookmarkEnd w:id="392"/>
    </w:p>
    <w:p>
      <w:pPr>
        <w:pStyle w:val="Heading3"/>
        <w:numPr>
          <w:ilvl w:val="2"/>
          <w:numId w:val="1"/>
        </w:numPr>
        <w:rPr/>
      </w:pPr>
      <w:bookmarkStart w:id="393" w:name="__RefHeading___Toc5369865_1280447820"/>
      <w:bookmarkStart w:id="394" w:name="_Toc151"/>
      <w:bookmarkEnd w:id="393"/>
      <w:r>
        <w:rPr>
          <w:rtl w:val="true"/>
        </w:rPr>
        <w:t>إشارة</w:t>
      </w:r>
      <w:bookmarkEnd w:id="394"/>
    </w:p>
    <w:p>
      <w:pPr>
        <w:pStyle w:val="BookText"/>
        <w:rPr/>
      </w:pPr>
      <w:r>
        <w:rPr>
          <w:rFonts w:ascii="Amiri" w:hAnsi="Amiri" w:eastAsia="Amiri" w:cs="Amiri"/>
          <w:color w:val="111111"/>
          <w:sz w:val="28"/>
          <w:sz w:val="28"/>
          <w:szCs w:val="28"/>
          <w:rtl w:val="true"/>
          <w:lang w:bidi="ar-SA"/>
        </w:rPr>
        <w:t>المعاد الجسماني والروحاني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منكرو المعاد في مواجهة تحدّيات تفنّد آراءهم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الآخرة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والمراجع </w:t>
      </w:r>
      <w:bookmarkStart w:id="395" w:name="pg16299_219576"/>
    </w:p>
    <w:p>
      <w:pPr>
        <w:pStyle w:val="Heading3"/>
        <w:numPr>
          <w:ilvl w:val="2"/>
          <w:numId w:val="1"/>
        </w:numPr>
        <w:rPr/>
      </w:pPr>
      <w:bookmarkStart w:id="396" w:name="__RefHeading___Toc5369867_1280447820"/>
      <w:bookmarkStart w:id="397" w:name="_Toc152"/>
      <w:bookmarkEnd w:id="395"/>
      <w:bookmarkEnd w:id="396"/>
      <w:r>
        <w:rPr/>
        <w:t>37</w:t>
      </w:r>
      <w:r>
        <w:rPr>
          <w:rtl w:val="true"/>
        </w:rPr>
        <w:t>.</w:t>
      </w:r>
      <w:r>
        <w:rPr>
          <w:rtl w:val="true"/>
        </w:rPr>
        <w:t>المعاد الجسماني والروحاني</w:t>
      </w:r>
      <w:bookmarkEnd w:id="397"/>
    </w:p>
    <w:p>
      <w:pPr>
        <w:pStyle w:val="Heading4"/>
        <w:numPr>
          <w:ilvl w:val="3"/>
          <w:numId w:val="1"/>
        </w:numPr>
        <w:rPr/>
      </w:pPr>
      <w:bookmarkStart w:id="398" w:name="__RefHeading___Toc5369869_1280447820"/>
      <w:bookmarkStart w:id="399" w:name="_Toc153"/>
      <w:bookmarkEnd w:id="398"/>
      <w:r>
        <w:rPr>
          <w:rtl w:val="true"/>
        </w:rPr>
        <w:t>إشارة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عامّة حول المعاد</w:t>
      </w:r>
    </w:p>
    <w:p>
      <w:pPr>
        <w:pStyle w:val="BookText"/>
        <w:rPr/>
      </w:pPr>
      <w:r>
        <w:rPr>
          <w:rFonts w:ascii="Amiri" w:hAnsi="Amiri" w:eastAsia="Amiri" w:cs="Amiri"/>
          <w:color w:val="111111"/>
          <w:sz w:val="28"/>
          <w:sz w:val="28"/>
          <w:szCs w:val="28"/>
          <w:rtl w:val="true"/>
          <w:lang w:bidi="ar-SA"/>
        </w:rPr>
        <w:t>يتمحور البحث في هذا الفصل حول المواضيع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إمكانية تحقّق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تحقّق المعاد الجسماني والروحاني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البرزخ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القيامة ومواقفه</w:t>
      </w:r>
    </w:p>
    <w:p>
      <w:pPr>
        <w:pStyle w:val="BookText"/>
        <w:rPr/>
      </w:pPr>
      <w:r>
        <w:rPr>
          <w:rFonts w:ascii="Amiri" w:hAnsi="Amiri" w:eastAsia="Amiri" w:cs="Amiri"/>
          <w:color w:val="111111"/>
          <w:sz w:val="28"/>
          <w:sz w:val="28"/>
          <w:szCs w:val="28"/>
          <w:rtl w:val="true"/>
          <w:lang w:bidi="ar-SA"/>
        </w:rPr>
        <w:t>قبل الخوض في تفاصيل هذه المباحث، نتطرّق أوّلاً إلى الحديث عن بعض المواضيع المرتبطة بها فيما يأتي</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5369871_1280447820"/>
      <w:bookmarkStart w:id="401" w:name="_Toc154"/>
      <w:bookmarkEnd w:id="400"/>
      <w:r>
        <w:rPr>
          <w:rtl w:val="true"/>
        </w:rPr>
        <w:t xml:space="preserve">- </w:t>
      </w:r>
      <w:r>
        <w:rPr>
          <w:rtl w:val="true"/>
        </w:rPr>
        <w:t>نمطية تصنيف المعتقدات</w:t>
      </w:r>
      <w:r>
        <w:rPr>
          <w:rtl w:val="true"/>
        </w:rPr>
        <w:t>.</w:t>
      </w:r>
      <w:bookmarkEnd w:id="401"/>
    </w:p>
    <w:p>
      <w:pPr>
        <w:pStyle w:val="BookText"/>
        <w:rPr/>
      </w:pPr>
      <w:r>
        <w:rPr>
          <w:rFonts w:ascii="Amiri" w:hAnsi="Amiri" w:eastAsia="Amiri" w:cs="Amiri"/>
          <w:color w:val="111111"/>
          <w:sz w:val="28"/>
          <w:sz w:val="28"/>
          <w:szCs w:val="28"/>
          <w:rtl w:val="true"/>
          <w:lang w:bidi="ar-SA"/>
        </w:rPr>
        <w:t>المواضيع العقائديّة تصنف في ثلاثة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لا يمكن إثباتها إلّا عن طريق العقل وبالاعتماد على النصوص الدينيّة بحيث تستتبع حدوث الدور الذي يعني توقّف وجود الشيء على نفسه، مثل إثبات أنّ الله تعالى موجود لكون حجّيّة كلامه متوقفةً على وجوده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لا يمكن إثباتها إلّا اعتماداً على النصوص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لكونها جزئيةً، مثل درجات الجنّة وطبقات جهنّم</w:t>
      </w:r>
      <w:r>
        <w:rPr>
          <w:rFonts w:eastAsia="Amiri" w:cs="Amiri" w:ascii="Amiri" w:hAnsi="Amiri"/>
          <w:color w:val="111111"/>
          <w:sz w:val="28"/>
          <w:szCs w:val="28"/>
          <w:rtl w:val="true"/>
          <w:lang w:bidi="ar-SA"/>
        </w:rPr>
        <w:t xml:space="preserve">. </w:t>
      </w:r>
      <w:bookmarkStart w:id="402" w:name="pg16299_219577"/>
    </w:p>
    <w:p>
      <w:pPr>
        <w:pStyle w:val="BookText"/>
        <w:rPr/>
      </w:pPr>
      <w:bookmarkEnd w:id="402"/>
      <w:r>
        <w:rPr>
          <w:rFonts w:ascii="Amiri" w:hAnsi="Amiri" w:eastAsia="Amiri" w:cs="Amiri"/>
          <w:color w:val="111111"/>
          <w:sz w:val="28"/>
          <w:sz w:val="28"/>
          <w:szCs w:val="28"/>
          <w:rtl w:val="true"/>
          <w:lang w:bidi="ar-SA"/>
        </w:rPr>
        <w:t>القسم الثالث قضايا يمكن إثباتها عن طريق الدليلين العقليّ والنقليّ، مثل التوحيد والمعاد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أهمّ المسائل المرتبطة بالمعاد تندرج في ضمن القسم الثالث من قبيل أهمّية الاعتقاد بالحياة بعد الممات وإثبات تحقّقها والردّ على شبهات منكريها ومعرفة نمط العلاقة بين الدنيا والآخرة وبيان طبيعة عالم البرزخ ويوم القيامة وكيفية الثواب والعقاب</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369873_1280447820"/>
      <w:bookmarkStart w:id="404" w:name="_Toc155"/>
      <w:bookmarkEnd w:id="403"/>
      <w:r>
        <w:rPr>
          <w:rtl w:val="true"/>
        </w:rPr>
        <w:t xml:space="preserve">- </w:t>
      </w:r>
      <w:r>
        <w:rPr>
          <w:rtl w:val="true"/>
        </w:rPr>
        <w:t xml:space="preserve">أهمّية دراسة المعاد </w:t>
      </w:r>
      <w:r>
        <w:rPr>
          <w:rtl w:val="true"/>
        </w:rPr>
        <w:t>:</w:t>
      </w:r>
      <w:bookmarkEnd w:id="404"/>
    </w:p>
    <w:p>
      <w:pPr>
        <w:pStyle w:val="BookText"/>
        <w:rPr/>
      </w:pPr>
      <w:r>
        <w:rPr>
          <w:rFonts w:ascii="Amiri" w:hAnsi="Amiri" w:eastAsia="Amiri" w:cs="Amiri"/>
          <w:color w:val="111111"/>
          <w:sz w:val="28"/>
          <w:sz w:val="28"/>
          <w:szCs w:val="28"/>
          <w:rtl w:val="true"/>
          <w:lang w:bidi="ar-SA"/>
        </w:rPr>
        <w:t>ثلث آيات القرآن المجيد تتمحور مواضيعها حول العوالم الأخرى والحياة بعد الممات، فالبارئ سبحانه وتعالى يروم من ذلك بيان أهمّية عقيدة المعاد لعباده، ويمكن تصنيف هذه الآيات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تؤكّد على وجوب الإيمان بالله تعالى وبيوم القيامة في آنٍ واحدٍ،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 بِمُؤْمِنِينَ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تؤكّد على ضرورة الإيمان بالآخرة وتعتبره من ميزات خير العباد، ومنها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تحذّر من عواقب إنكار المعاد،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الَّذِينَ لَا يُؤْمِنُونَ بِالْآخِرَةِ أَعْتَدْنَا لَهُمْ عَذَابًا أَلِيمًا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تخبر عن النعيم الذي يناله المؤمنون والعذاب الذي يطال الكافرين في </w:t>
      </w:r>
      <w:bookmarkStart w:id="405" w:name="pg16299_219578"/>
    </w:p>
    <w:p>
      <w:pPr>
        <w:pStyle w:val="BookText"/>
        <w:rPr/>
      </w:pPr>
      <w:bookmarkEnd w:id="405"/>
      <w:r>
        <w:rPr>
          <w:rFonts w:ascii="Amiri" w:hAnsi="Amiri" w:eastAsia="Amiri" w:cs="Amiri"/>
          <w:color w:val="111111"/>
          <w:sz w:val="28"/>
          <w:sz w:val="28"/>
          <w:szCs w:val="28"/>
          <w:rtl w:val="true"/>
          <w:lang w:bidi="ar-SA"/>
        </w:rPr>
        <w:t>يوم القيامة،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 وَأَبَارِيقَ وَكَأْسٍ مِنْ مَعِينٍ</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وَكَانُوا يَقُولُونَ أَئِذَا مِتْنَا وَكُنَّا تُرَابًا وَعِظَامًا أَإِنَّا لَمَبْعُوثُونَ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تدلّ على ارتباط الأعمال الحسنة والقبيحة بمصير الإنسان في يوم القيامة والحساب،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فَغَفَرْنَا لَهُ ذَلِكَ وَإِنَّ لَهُ عِنْدَنَا لَزُلْفَى وَحُسْنَ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5369875_1280447820"/>
      <w:bookmarkStart w:id="407" w:name="_Toc156"/>
      <w:bookmarkEnd w:id="406"/>
      <w:r>
        <w:rPr>
          <w:rtl w:val="true"/>
        </w:rPr>
        <w:t xml:space="preserve">- </w:t>
      </w:r>
      <w:r>
        <w:rPr>
          <w:rtl w:val="true"/>
        </w:rPr>
        <w:t xml:space="preserve">حقيقة الخلود </w:t>
      </w:r>
      <w:r>
        <w:rPr>
          <w:rtl w:val="true"/>
        </w:rPr>
        <w:t>:</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يعادلها في اللغة الإنجليزية مصطلح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immortality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وهي تعني الحياة التي لا يكتنفها موتٌ، ولا فرق في ذلك بين كون المخلّد منعّماً أو معذّباً، إلّا أنّ المصطلح الإنجليزي فيه دلالة على المعنى السلبي لاستمرار الحياة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اختلاف بين معنى الخلود ومفهوم الحياة بعد الموت، إذ كلاهما يدلّان على استمرار الحياة إلى الأبد ؛ ولكن هناك بعض التوجّهات الفكريّة لا تؤيّد هذا الأمر، كالبوذية التي يعتقد أتباعها بأنّ الإنسان يفنى بعد موته، حيث يقولون بأنّ الميّت بعد خروجه من دورة التناسخ سوف يلتحق بالنيرفانا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nirvana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ثُمَ تنتهي حياته الشخصيّة</w:t>
      </w:r>
      <w:r>
        <w:rPr>
          <w:rFonts w:eastAsia="Amiri" w:cs="Amiri" w:ascii="Amiri" w:hAnsi="Amiri"/>
          <w:color w:val="111111"/>
          <w:sz w:val="28"/>
          <w:szCs w:val="28"/>
          <w:rtl w:val="true"/>
          <w:lang w:bidi="ar-SA"/>
        </w:rPr>
        <w:t xml:space="preserve">. </w:t>
      </w:r>
      <w:bookmarkStart w:id="408" w:name="pg16299_219579"/>
    </w:p>
    <w:p>
      <w:pPr>
        <w:pStyle w:val="BookText"/>
        <w:rPr/>
      </w:pPr>
      <w:bookmarkEnd w:id="408"/>
      <w:r>
        <w:rPr>
          <w:rFonts w:ascii="Amiri" w:hAnsi="Amiri" w:eastAsia="Amiri" w:cs="Amiri"/>
          <w:color w:val="111111"/>
          <w:sz w:val="28"/>
          <w:sz w:val="28"/>
          <w:szCs w:val="28"/>
          <w:rtl w:val="true"/>
          <w:lang w:bidi="ar-SA"/>
        </w:rPr>
        <w:t>الخلود في الإسلام يعني بقاء شخصيّة الإنسان على حالها بعد الموت وفق مبدأ الهوهويّة، فالإنسان في الحياة الأخرويّة يُبعث بنفس شخصيّته الدنيويّة وخصالها التي تمتاز بها عن غيرها، إذ من المؤكّد أنّه لا يبقى مسوّغ للخلود بعد زوال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هناك هوهويّةٌ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إنسان الحياة الدنيا وإنسان الحياة الآخرة</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5369877_1280447820"/>
      <w:bookmarkStart w:id="410" w:name="_Toc157"/>
      <w:bookmarkEnd w:id="409"/>
      <w:r>
        <w:rPr>
          <w:rtl w:val="true"/>
        </w:rPr>
        <w:t xml:space="preserve">- </w:t>
      </w:r>
      <w:r>
        <w:rPr>
          <w:rtl w:val="true"/>
        </w:rPr>
        <w:t xml:space="preserve">النزعة إلى الخلود </w:t>
      </w:r>
      <w:r>
        <w:rPr>
          <w:rtl w:val="true"/>
        </w:rPr>
        <w:t>:</w:t>
      </w:r>
      <w:bookmarkEnd w:id="410"/>
    </w:p>
    <w:p>
      <w:pPr>
        <w:pStyle w:val="Heading5"/>
        <w:numPr>
          <w:ilvl w:val="4"/>
          <w:numId w:val="1"/>
        </w:numPr>
        <w:rPr/>
      </w:pPr>
      <w:bookmarkStart w:id="411" w:name="__RefHeading___Toc5369879_1280447820"/>
      <w:bookmarkStart w:id="412" w:name="_Toc158"/>
      <w:bookmarkEnd w:id="411"/>
      <w:r>
        <w:rPr>
          <w:rtl w:val="true"/>
        </w:rPr>
        <w:t>إشارة</w:t>
      </w:r>
      <w:bookmarkEnd w:id="412"/>
    </w:p>
    <w:p>
      <w:pPr>
        <w:pStyle w:val="BookText"/>
        <w:rPr/>
      </w:pPr>
      <w:r>
        <w:rPr>
          <w:rFonts w:ascii="Amiri" w:hAnsi="Amiri" w:eastAsia="Amiri" w:cs="Amiri"/>
          <w:color w:val="111111"/>
          <w:sz w:val="28"/>
          <w:sz w:val="28"/>
          <w:szCs w:val="28"/>
          <w:rtl w:val="true"/>
          <w:lang w:bidi="ar-SA"/>
        </w:rPr>
        <w:t>الإنسان بطبيعته تكتنفه نزعةٌ باطنيّة إلى الخلود من منطلق فطرته المستودعة في ذاته منذ لحظة خلقته في عالم التكوين، والنزعات الفطرية بدورها تتأرجح بين الشدّة والضعف على مرّ الأيام إثر مختلف الظروف الاجتماعيّة والنفسيّة والجغرافيّة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الرغبة الجامحة والشاملة تثير في نفس الإنسان إرادة البقاء وعدم الفناء، ومن جانبٍ آخر فإنّ الموت بدوره ينتاب الذهن البشري ويثير هواجسه أيضاً، إذ كلّ إنسانٍ على يقينٍ بأنّ حياته الدنيويّة ستصل إلى نهايتها وسيلاقي مصيره المحتوم يوماً ما بعد أن تطرق بابه المنّية التي لا مفرّ منها، وحينما تتبادر في ذهنه هذه الحقيقة يتساءل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الموت نهاية للحياة وبداية لعدمٍ مطلقٍ ؟ من المؤكّد أنّ معتنقي الأديان السماويّة يؤمنون بحتميّة المعاد والحياة الأخرويّة، وهذه الأديان لها الريادة في ترويج فكرة الخلود بعد الموت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الجدير بالذكر هنا أنّ كثيراً من علماء النفس المعتقدين بالمسائل النفسيّة الميتافيزيقيّة في عصرنا الراهن يطرحون قضيّة ارتباط الروح الإنسانيّة بالقضايا الماورائيّة، وهو ما يطلق عليه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ADS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يقولون إنّ أرواح الموتى من شأنها الارتباط مع الأحياء وإخبارهم بما يجري في ذلك العالم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الأديان التوحيديّة وعلى رأسها الإسلام، تتضمّن تعاليم أكثر شموليةً وتفصيلاً حول الحياة بعد الممات، وقد أخبرت أتباعها بوجود ارتباطٍ وطيدٍ بين الحياتين الدنيويّة والأخرويّة</w:t>
      </w:r>
      <w:r>
        <w:rPr>
          <w:rFonts w:eastAsia="Amiri" w:cs="Amiri" w:ascii="Amiri" w:hAnsi="Amiri"/>
          <w:color w:val="111111"/>
          <w:sz w:val="28"/>
          <w:szCs w:val="28"/>
          <w:rtl w:val="true"/>
          <w:lang w:bidi="ar-SA"/>
        </w:rPr>
        <w:t xml:space="preserve">. </w:t>
      </w:r>
      <w:bookmarkStart w:id="413" w:name="pg16299_219580"/>
    </w:p>
    <w:p>
      <w:pPr>
        <w:pStyle w:val="Heading4"/>
        <w:numPr>
          <w:ilvl w:val="3"/>
          <w:numId w:val="1"/>
        </w:numPr>
        <w:rPr/>
      </w:pPr>
      <w:bookmarkStart w:id="414" w:name="__RefHeading___Toc5369881_1280447820"/>
      <w:bookmarkStart w:id="415" w:name="_Toc159"/>
      <w:bookmarkEnd w:id="413"/>
      <w:bookmarkEnd w:id="414"/>
      <w:r>
        <w:rPr>
          <w:rtl w:val="true"/>
        </w:rPr>
        <w:t xml:space="preserve">- </w:t>
      </w:r>
      <w:r>
        <w:rPr>
          <w:rtl w:val="true"/>
        </w:rPr>
        <w:t>حقيقة الشخصيّة الإنسانيّة</w:t>
      </w:r>
      <w:r>
        <w:rPr>
          <w:rtl w:val="true"/>
        </w:rPr>
        <w:t>:</w:t>
      </w:r>
      <w:bookmarkEnd w:id="415"/>
    </w:p>
    <w:p>
      <w:pPr>
        <w:pStyle w:val="Heading5"/>
        <w:numPr>
          <w:ilvl w:val="4"/>
          <w:numId w:val="1"/>
        </w:numPr>
        <w:rPr/>
      </w:pPr>
      <w:bookmarkStart w:id="416" w:name="__RefHeading___Toc5369883_1280447820"/>
      <w:bookmarkStart w:id="417" w:name="_Toc160"/>
      <w:bookmarkEnd w:id="416"/>
      <w:r>
        <w:rPr>
          <w:rtl w:val="true"/>
        </w:rPr>
        <w:t>إشارة</w:t>
      </w:r>
      <w:bookmarkEnd w:id="417"/>
    </w:p>
    <w:p>
      <w:pPr>
        <w:pStyle w:val="BookText"/>
        <w:rPr/>
      </w:pPr>
      <w:r>
        <w:rPr>
          <w:rFonts w:ascii="Amiri" w:hAnsi="Amiri" w:eastAsia="Amiri" w:cs="Amiri"/>
          <w:color w:val="111111"/>
          <w:sz w:val="28"/>
          <w:sz w:val="28"/>
          <w:szCs w:val="28"/>
          <w:rtl w:val="true"/>
          <w:lang w:bidi="ar-SA"/>
        </w:rPr>
        <w:t>لا ريب في أنّ شخصية الإنسان هي الدعامة الأساسيّة وقوام الخلود في الحياة الآخرة، وعلى هذا الأساس فلا بدّ من معرفة كُنهها وماهيتها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الألفاظ المشتركة التي لها أكثر من دلالةٍ، فأحياناً يراد منها طبيعة الإنسان النفسية ومشاربه الفكريّة، وهذا المعنى خارجٌ عن نطاق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أخرى يقصد منها الهوية الفردية المشخّصة للإنسان بذاته والتي تعدّ محور دلالة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إنّها حقيقة الأنا؛ وهذا المعنى هو محور بحثنا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طوال حياته الدنيويّة ومن خلال مختلف تجاربه، يواجه تغييراتٍ عديدةً تسفر عن حدوث تحوّلاتٍ في شخصيّته، ومن الممكن أن تطرأ هذه التحوّلات في الحياة الأخرويّة أيضاً؛ إلّا أنّ هويته تبقى على حالها دونما أيّ تغيير وفق مبدأ الهوهوية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أربع نظريات أساسية طرحت لبيان معيار هوهويّة الشخصيّة، هي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5369885_1280447820"/>
      <w:bookmarkStart w:id="419" w:name="_Toc161"/>
      <w:bookmarkEnd w:id="418"/>
      <w:r>
        <w:rPr>
          <w:rtl w:val="true"/>
        </w:rPr>
        <w:t>النظرية الأولى</w:t>
      </w:r>
      <w:r>
        <w:rPr>
          <w:rtl w:val="true"/>
        </w:rPr>
        <w:t xml:space="preserve">: </w:t>
      </w:r>
      <w:r>
        <w:rPr>
          <w:rtl w:val="true"/>
        </w:rPr>
        <w:t>انعدام شخصية الإنسان</w:t>
      </w:r>
      <w:bookmarkEnd w:id="419"/>
    </w:p>
    <w:p>
      <w:pPr>
        <w:pStyle w:val="BookText"/>
        <w:rPr/>
      </w:pPr>
      <w:r>
        <w:rPr>
          <w:rFonts w:ascii="Amiri" w:hAnsi="Amiri" w:eastAsia="Amiri" w:cs="Amiri"/>
          <w:color w:val="111111"/>
          <w:sz w:val="28"/>
          <w:sz w:val="28"/>
          <w:szCs w:val="28"/>
          <w:rtl w:val="true"/>
          <w:lang w:bidi="ar-SA"/>
        </w:rPr>
        <w:t>نحا بعض العلماء المادّيين منحىً متطرّفاً بالنسبة إلى مصير شخصيّة الإنسان بعد الموت، كالفيلسوف ديفيد هيوم الذي ادّعى زوالها واضمحلال الهويّة الفرديّة بعد الموت مشبّهاً ابن آدم بالآلة التي تتلاشى بتلاشي أجزائها، إذ عدّ وحدته وحدة اعتباريّة وليست حقيقيّة، وقال إنّ ذهن الإنسان ليس سوى سلسلة من الإدراكات المتوالية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وللفيلسوف ديكارت عبارة شهيرة بهذا الخصوص،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أُفكّر، إذن أنا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في الواقع استنتاج خاطئ وعارٍ من الصواب، لأنّ التفكير هو عين وجود الإنسان ولا يمكن القول بأنّ الإنسان موجودٌ ويفكّر، فهو موجودٌ مفكّرٌ ؛ وشخصيّته على هذا الأساس ليست سلسلة اعتباريّة من الأفكار والتصوّرات المتوالية</w:t>
      </w:r>
      <w:r>
        <w:rPr>
          <w:rFonts w:eastAsia="Amiri" w:cs="Amiri" w:ascii="Amiri" w:hAnsi="Amiri"/>
          <w:color w:val="111111"/>
          <w:sz w:val="28"/>
          <w:szCs w:val="28"/>
          <w:rtl w:val="true"/>
          <w:lang w:bidi="ar-SA"/>
        </w:rPr>
        <w:t xml:space="preserve">. </w:t>
      </w:r>
      <w:bookmarkStart w:id="420" w:name="pg16299_219581"/>
    </w:p>
    <w:p>
      <w:pPr>
        <w:pStyle w:val="BookText"/>
        <w:rPr/>
      </w:pPr>
      <w:bookmarkEnd w:id="420"/>
      <w:r>
        <w:rPr>
          <w:rFonts w:ascii="Amiri" w:hAnsi="Amiri" w:eastAsia="Amiri" w:cs="Amiri"/>
          <w:color w:val="111111"/>
          <w:sz w:val="28"/>
          <w:sz w:val="28"/>
          <w:szCs w:val="28"/>
          <w:rtl w:val="true"/>
          <w:lang w:bidi="ar-SA"/>
        </w:rPr>
        <w:t>المزاعم الواهية التي بدرت من بعض الفلاسفة والمفكرين من أمثال هيوم و ديكارت، تتعارض مع الوجدان الذي يدرك مفهوم الشخصيّة بعلمه الحضوريّ، إذ كلّ إنسان يعرف نفسه معرفةً حضوريّةً، وهذه المعرفة عبارة عن إدراكٍ واحدٍ بسيطٍ وبديهيٍّ لايمكن إنكاره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الأفكار والتصوّرات التي تراود ذهن الإنسان، فهي ليست مطلقة لكونها متعلقات ترتبط بشخصيته؛ لذا لو فرضنا أن شخصين اجتمعا في مكانٍ واحدٍ وطلب منهما تصوّر الكعبة المشرّفة في آنٍ واحد، فلا يمكن ادّعاء أنّ تصوّرهما واحد، بل ما حدث هو في الواقع تصوّران في وعاءين ذهنيين مختلفين، إذ إنّ تصوّر كلّ واحدٍ منهما متعلّق بذاته وشخصيته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،هذان التصوّران ليسا مطلقين لكون كل واحدٍ منهما يرتبط بشخصيةٍ وهويّةٍ بالتحديد، ودواليك سائر الأفكار والتصوّرات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ذهبنا إلى القول باعتبارية الشخصية الإنسانية، يترتّب عليه أنّ شخصية الإنسان مركبة من تصوّراتٍ وأفكارٍ متواليةٍ؛ لكنّ الواقع على خلاف ذلك تماماً</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369887_1280447820"/>
      <w:bookmarkStart w:id="422" w:name="_Toc162"/>
      <w:bookmarkEnd w:id="421"/>
      <w:r>
        <w:rPr>
          <w:rtl w:val="true"/>
        </w:rPr>
        <w:t>النظرية الثانية</w:t>
      </w:r>
      <w:r>
        <w:rPr>
          <w:rtl w:val="true"/>
        </w:rPr>
        <w:t xml:space="preserve">: </w:t>
      </w:r>
      <w:r>
        <w:rPr>
          <w:rtl w:val="true"/>
        </w:rPr>
        <w:t xml:space="preserve">البدن هو شخصيّة الإنسان </w:t>
      </w:r>
      <w:r>
        <w:rPr>
          <w:rtl w:val="true"/>
        </w:rPr>
        <w:t>:</w:t>
      </w:r>
      <w:bookmarkEnd w:id="422"/>
    </w:p>
    <w:p>
      <w:pPr>
        <w:pStyle w:val="BookText"/>
        <w:rPr/>
      </w:pPr>
      <w:r>
        <w:rPr>
          <w:rFonts w:ascii="Amiri" w:hAnsi="Amiri" w:eastAsia="Amiri" w:cs="Amiri"/>
          <w:color w:val="111111"/>
          <w:sz w:val="28"/>
          <w:sz w:val="28"/>
          <w:szCs w:val="28"/>
          <w:rtl w:val="true"/>
          <w:lang w:bidi="ar-SA"/>
        </w:rPr>
        <w:t>برأي العلماء المادّين فإنّ بدن الإنسان هو المناط لهويّته الشخصيّة، واستدلّوا على رأيهم بالمثال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قبل شهر هو زيد بذاته اليوم، وبعد شهرٍ أيضاً سيبقى هو هو، ولكن هذا البقاء مشروط ببقاء بدنه على أرض الواقع ؛ لذا بما أنّ بدنه موجود على أرض الواقع فهو عين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حسب رأي هؤلاء فإنّ شخصيّة الإنسان هي ذات بدنه الذي نلاقيه في الخارج، وهذا الرأي يدلّ بوضوح على نفي الوجود الإنساني المجرّد ويؤكّد على كون حقيقته مادّيةً محضةً، ومن ثَمَّ تكون شخصيته متعلّقة ببدنه فقط؛ ومن المؤكّد أنّ هذه الرؤية المادّية البحتة منبثقةٌ من النزعة الوضعية </w:t>
      </w:r>
      <w:r>
        <w:rPr>
          <w:rFonts w:eastAsia="Amiri" w:cs="Amiri" w:ascii="Amiri" w:hAnsi="Amiri"/>
          <w:color w:val="111111"/>
          <w:sz w:val="28"/>
          <w:szCs w:val="28"/>
          <w:rtl w:val="true"/>
          <w:lang w:bidi="ar-SA"/>
        </w:rPr>
        <w:t xml:space="preserve">. </w:t>
      </w:r>
      <w:bookmarkStart w:id="423" w:name="pg16299_219582"/>
    </w:p>
    <w:p>
      <w:pPr>
        <w:pStyle w:val="BookText"/>
        <w:rPr/>
      </w:pPr>
      <w:bookmarkEnd w:id="423"/>
      <w:r>
        <w:rPr>
          <w:rFonts w:ascii="Amiri" w:hAnsi="Amiri" w:eastAsia="Amiri" w:cs="Amiri"/>
          <w:color w:val="111111"/>
          <w:sz w:val="28"/>
          <w:sz w:val="28"/>
          <w:szCs w:val="28"/>
          <w:rtl w:val="true"/>
          <w:lang w:bidi="ar-SA"/>
        </w:rPr>
        <w:t xml:space="preserve">أمّا الفلسفة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خلال استدلالاتها العقليّة أثبتت وجود النفس المجرّدة المتعلّقة بالبدن، ومن ثَمَّ فنّدت نظرية الشخصيّة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رأي المادّيين الذي ذهبوا على أساسه إلى تقييد الشخصيّة الإنسانيّة بالبدن، يمكن نقضه حسب تعاليم الحكمة الإسلاميّة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ادّعيتم أنّ البدن المادّي في الحياة الدنيا هو الشخصيّة الحقيقيّة للإنسان، فكيف تبرّرون قوانينكم وأحكامكم التي تنصّ على وجوب معاقبة المجرمين بعد ارتكابهم الجرائم حتّى وإن اعتقلوا بعد فترةٍ طويلةٍ قد تدوم عشرات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أنّ هذه المدّة الزمنية شهدت اضمحلال الخلايا البدنية التي كانت في جسم المجرم أثناء ارتكاب الجريمة، وحسب القوانين الطبيعيّة ومبادئ علم الأحياء فقد استبدلت بالكامل وحلّت محلّها خلايا جديدة لم تكن موجودةً آنذاك بحيث يمكن القول إنّ أعضاء جسمه قد استبدلت بأعضاء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ترى كيف تُعاقب أعضاء لم ترتكب أية جنحةٍ؟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وإن لم تتغيّر الجينات الوراثية للبدن وبقيت البُنية العامّة المكوّنة لأعضائه الداخلية على حالها، إلّا أنّ حقيقة خلاياها قد تغيّرت بعد أن استقرّت في زمانين مختلفين داخل جسمين مادّيين متشابهين من حيث الهيئة ، وعلى هذا الأساس انتفت هوهويتها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لا يمكن مطلقاً إثبات شخصيّة الإنسان وهوهويته الثابتة طبقاً لمكوّنات بدنه المادّي من خلايا وجينات وراثية</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5369889_1280447820"/>
      <w:bookmarkStart w:id="425" w:name="_Toc163"/>
      <w:bookmarkEnd w:id="424"/>
      <w:r>
        <w:rPr>
          <w:rtl w:val="true"/>
        </w:rPr>
        <w:t xml:space="preserve">النظرية الثالثة </w:t>
      </w:r>
      <w:r>
        <w:rPr>
          <w:rtl w:val="true"/>
        </w:rPr>
        <w:t xml:space="preserve">: </w:t>
      </w:r>
      <w:r>
        <w:rPr>
          <w:rtl w:val="true"/>
        </w:rPr>
        <w:t xml:space="preserve">الذهن هو شخصية الإنسان </w:t>
      </w:r>
      <w:r>
        <w:rPr>
          <w:rtl w:val="true"/>
        </w:rPr>
        <w:t>:</w:t>
      </w:r>
      <w:bookmarkEnd w:id="4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أصحاب هذه النظرية على رأيهم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زيداً قبل شهرٍ امتلك أحاسيس وتصوّرات ورغبات وارتكازات ذهنية خاصة بحيث بقيت راسخةً في ذهنه اليوم وبعد شهر من الآن، فهذا دليل على كون ذهنه هو شخصيته وهويته، أي إنّ هوهويّة الذهن وخصائصه هي ذات هوهوية الشخصيّة وخصائصها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426" w:name="pg16299_219583"/>
    </w:p>
    <w:p>
      <w:pPr>
        <w:pStyle w:val="BookText"/>
        <w:rPr/>
      </w:pPr>
      <w:bookmarkEnd w:id="426"/>
      <w:r>
        <w:rPr>
          <w:rFonts w:ascii="Amiri" w:hAnsi="Amiri" w:eastAsia="Amiri" w:cs="Amiri"/>
          <w:color w:val="111111"/>
          <w:sz w:val="28"/>
          <w:sz w:val="28"/>
          <w:szCs w:val="28"/>
          <w:rtl w:val="true"/>
          <w:lang w:bidi="ar-SA"/>
        </w:rPr>
        <w:t>هذه النظرية هي الأخرى لا تصمد أمام الأدلّة الدامغة التي تنقض متبنّياتها، فالإنسان غالباً ما ينسى كثيراً من أفعاله وذكرياته ، وبعضها الآخر يمحى بالكامل من ذهنه، لكن مع ذلك فهو يدرك هوهويّته الشخصيّة، ناهيك عن أنّ المعيار الذهنيّ هو نفس المعيار البدني المذكور في النظريّة الثانية لكونه لا يدلّ إلّا على التشابه والانطباق بين الأعضاء طوال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أنّ شخصين أحدهما زيد تطابقت تصوّراتهما، وهذه التصوّرات تناظر أيضاً ما في أذهان عددٍ آخر من الناس؛ فهل يمكن القول حينئذ إنّ زيداً وذلك الشخص وكلّ أولئك الذي اتسقت تصوّراتهم معهما، يمتلكون شخصيةً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من الممكن القول بأنّ هوهويّة هؤلاء هي عين هوهويّة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هنا إلى أنّ البعض ذهبوا إلى القول بكون الذهن والبدن معاً يكونان شخصيّة الإنسان </w:t>
      </w:r>
      <w:r>
        <w:rPr>
          <w:rStyle w:val="FootnoteAnchor"/>
          <w:rtl w:val="true"/>
        </w:rPr>
        <w:footnoteReference w:id="510"/>
      </w:r>
      <w:r>
        <w:rPr>
          <w:rFonts w:ascii="Amiri" w:hAnsi="Amiri" w:eastAsia="Amiri" w:cs="Amiri"/>
          <w:color w:val="111111"/>
          <w:sz w:val="28"/>
          <w:sz w:val="28"/>
          <w:szCs w:val="28"/>
          <w:rtl w:val="true"/>
          <w:lang w:bidi="ar-SA"/>
        </w:rPr>
        <w:t>، وهذا الرأي يرد عليه ما ورد على الرأيين السابقين، وغاية ما يمكن أن يثبته هو وجود تشابه بين إنسانين أو أكثر في بعض الخصال النفسيّة، وهذا بمعنى أنّ التصوّرات يمكن أن تكون واحدةً لكنّ الذهن ليس واحداً، والأعضاء أيضاً تكون متشابهةً من حيث الهيئة فقط ؛ فكلّ إنسان له ذهنه الخاصّ وأعضاؤه التي يمتاز بها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الذهن البشري والأعضاء البشريّة المادّية، ليس من شأنها الحفاظ على وحدة شخصيّة الإنسان في الدنيا والآخرة</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5369891_1280447820"/>
      <w:bookmarkStart w:id="428" w:name="_Toc164"/>
      <w:bookmarkEnd w:id="427"/>
      <w:r>
        <w:rPr>
          <w:rtl w:val="true"/>
        </w:rPr>
        <w:t xml:space="preserve">النظرية الرابعة </w:t>
      </w:r>
      <w:r>
        <w:rPr>
          <w:rtl w:val="true"/>
        </w:rPr>
        <w:t xml:space="preserve">: </w:t>
      </w:r>
      <w:r>
        <w:rPr>
          <w:rtl w:val="true"/>
        </w:rPr>
        <w:t xml:space="preserve">النفس هي شخصية الإنسان </w:t>
      </w:r>
      <w:r>
        <w:rPr>
          <w:rtl w:val="true"/>
        </w:rPr>
        <w:t>:</w:t>
      </w:r>
      <w:bookmarkEnd w:id="4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النظرية هى الأكثر شيوعاً من بين سائر النظريات التي طرحت على صعيد بيان حقيقة الشخصيّة الإنسانيّة وهوهويّتها، والاستدلال فيها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قبل شهر </w:t>
      </w:r>
      <w:bookmarkStart w:id="429" w:name="pg16299_219584"/>
    </w:p>
    <w:p>
      <w:pPr>
        <w:pStyle w:val="BookText"/>
        <w:rPr/>
      </w:pPr>
      <w:bookmarkEnd w:id="429"/>
      <w:r>
        <w:rPr>
          <w:rFonts w:ascii="IRNazanin" w:hAnsi="IRNazanin" w:eastAsia="IRNazanin"/>
          <w:color w:val="111111"/>
          <w:sz w:val="28"/>
          <w:sz w:val="28"/>
          <w:szCs w:val="28"/>
          <w:rtl w:val="true"/>
          <w:lang w:bidi="fa-IR"/>
        </w:rPr>
        <w:t>هو نفسه الآن، وبعد شهر سيبقى كذلك شريطة أن تكون نفسه واحدةً، والمراد من النفس هنا الجوهر المجرّد المتّحد مع البدن على نحو ما؛ وبناءً على هذا تكون النفس هی الهوية الحقيقة للإنسان والمناط الأساسي لشخصيّته وهوهويّته</w:t>
      </w:r>
      <w:r>
        <w:rPr>
          <w:rFonts w:eastAsia="IRNazanin" w:cs="IRNazanin"/>
          <w:color w:val="111111"/>
          <w:sz w:val="28"/>
          <w:szCs w:val="28"/>
          <w:rtl w:val="true"/>
          <w:lang w:bidi="fa-IR"/>
        </w:rPr>
        <w:t>.</w:t>
      </w:r>
    </w:p>
    <w:p>
      <w:pPr>
        <w:pStyle w:val="Heading4"/>
        <w:numPr>
          <w:ilvl w:val="3"/>
          <w:numId w:val="1"/>
        </w:numPr>
        <w:rPr/>
      </w:pPr>
      <w:bookmarkStart w:id="430" w:name="__RefHeading___Toc5369893_1280447820"/>
      <w:bookmarkStart w:id="431" w:name="_Toc165"/>
      <w:bookmarkEnd w:id="430"/>
      <w:r>
        <w:rPr>
          <w:rtl w:val="true"/>
        </w:rPr>
        <w:t xml:space="preserve">تأثير الاعتقاد بالمعاد على الحياة </w:t>
      </w:r>
      <w:r>
        <w:rPr>
          <w:rtl w:val="true"/>
        </w:rPr>
        <w:t>:</w:t>
      </w:r>
      <w:bookmarkEnd w:id="431"/>
    </w:p>
    <w:p>
      <w:pPr>
        <w:pStyle w:val="BookText"/>
        <w:rPr/>
      </w:pPr>
      <w:r>
        <w:rPr>
          <w:rFonts w:ascii="Amiri" w:hAnsi="Amiri" w:eastAsia="Amiri" w:cs="Amiri"/>
          <w:color w:val="111111"/>
          <w:sz w:val="28"/>
          <w:sz w:val="28"/>
          <w:szCs w:val="28"/>
          <w:rtl w:val="true"/>
          <w:lang w:bidi="ar-SA"/>
        </w:rPr>
        <w:t>الاعتقاد بالمعاد له دور كبير في شتّى الشؤون الحياتيّة للإنسان، ولا سيّما على صعيد تعيين مصيره فهو نظير الاعتقاد بالتوحيد والنبوّة وتأثيره يبدو جليّاً فى مجال الأنثروبولوجيا، فالاعتقاد به يجعل الإنسان مؤمناً بهدفٍ نبيلٍ غير محدود بإطار المادّة وهويةٍ خالدةٍ تفوق أُطر الحياة الدنيا الفانية، كما أنّه ذو تأثير لا ينكر على القيم والأصول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الإنسان الذي لا يؤمن بالحياة الخالدة، يعجز عن بلوغ الدرجة المطلوبة من الفضل مهما كان نزيهاً ومثالياً وعادلاً ومؤثّراً على نفسه ومحسناً للآخرين، بل حتى لو دافع عن العدل وقارع الظلم فسوف يبقى يعاني من نقص في شخصيّته؛ فهو وإن امتلك درجةً من الفضل، لكنّ فضله هذا يظلّ محدوداً في نطاق حياته الدنيويّة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عاجز عن ذكر جواب للسؤال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يدعو الإنسان لمراعاة الأخلاق الحميدة والسعي لأن يصبح فاضلاً كريماً في هذه الحياة الفانية؟</w:t>
      </w:r>
    </w:p>
    <w:p>
      <w:pPr>
        <w:pStyle w:val="BookText"/>
        <w:rPr/>
      </w:pPr>
      <w:r>
        <w:rPr>
          <w:rFonts w:ascii="Amiri" w:hAnsi="Amiri" w:eastAsia="Amiri" w:cs="Amiri"/>
          <w:color w:val="111111"/>
          <w:sz w:val="28"/>
          <w:sz w:val="28"/>
          <w:szCs w:val="28"/>
          <w:rtl w:val="true"/>
          <w:lang w:bidi="ar-SA"/>
        </w:rPr>
        <w:t>ومن المؤكّد أنّ الفضيلة لا معنى لها إلّا في ظلّ اعتقاد الإنسان بالحياة بعد الممات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الآثار الأخرى التي تترتب على الاعتقاد بالمعاد في الحياة الآخرة، أنّ الإنسان ينزع إلى الدفاع عن كافّة القوانين الاجتماعيّة والحقوقيّة والأخلاقيّة والثقافيّة، إذ إنّ الإيمان بالبعث والحساب في العالم الآخر يحفّزه على الامتثال لهذه القوانين ومن ثمّ تطبيقها بأحسن وجهٍ وفي الحين ذاته يمنحه القدرة اللازمة لمقارعة الباطل ومواجهة الهجمات الثقافيّة المحمومة</w:t>
      </w:r>
      <w:r>
        <w:rPr>
          <w:rFonts w:eastAsia="Amiri" w:cs="Amiri" w:ascii="Amiri" w:hAnsi="Amiri"/>
          <w:color w:val="111111"/>
          <w:sz w:val="28"/>
          <w:szCs w:val="28"/>
          <w:rtl w:val="true"/>
          <w:lang w:bidi="ar-SA"/>
        </w:rPr>
        <w:t xml:space="preserve">. </w:t>
      </w:r>
      <w:bookmarkStart w:id="432" w:name="pg16299_219585"/>
    </w:p>
    <w:p>
      <w:pPr>
        <w:pStyle w:val="Heading4"/>
        <w:numPr>
          <w:ilvl w:val="3"/>
          <w:numId w:val="1"/>
        </w:numPr>
        <w:rPr/>
      </w:pPr>
      <w:bookmarkStart w:id="433" w:name="__RefHeading___Toc5369895_1280447820"/>
      <w:bookmarkStart w:id="434" w:name="_Toc166"/>
      <w:bookmarkEnd w:id="432"/>
      <w:bookmarkEnd w:id="433"/>
      <w:r>
        <w:rPr>
          <w:rtl w:val="true"/>
        </w:rPr>
        <w:t>-</w:t>
      </w:r>
      <w:r>
        <w:rPr>
          <w:rtl w:val="true"/>
        </w:rPr>
        <w:t xml:space="preserve">آثار الاعتقاد بالمعاد من زاويةٍ قرآنيةٍ </w:t>
      </w:r>
      <w:r>
        <w:rPr>
          <w:rtl w:val="true"/>
        </w:rPr>
        <w:t>:</w:t>
      </w:r>
      <w:bookmarkEnd w:id="434"/>
    </w:p>
    <w:p>
      <w:pPr>
        <w:pStyle w:val="BookText"/>
        <w:rPr/>
      </w:pPr>
      <w:r>
        <w:rPr>
          <w:rFonts w:ascii="Amiri" w:hAnsi="Amiri" w:eastAsia="Amiri" w:cs="Amiri"/>
          <w:color w:val="111111"/>
          <w:sz w:val="28"/>
          <w:sz w:val="28"/>
          <w:szCs w:val="28"/>
          <w:rtl w:val="true"/>
          <w:lang w:bidi="ar-SA"/>
        </w:rPr>
        <w:t>هناك عدد من الآيات المباركة التي تطرقت إلى مسألة المعاد في الكتاب الحكيم في ضمن مباحث عديدة، ونذكر منها ما يأتي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اجتناب الشرك وأداء الأعمال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العون المادّي للمحرومين وخشية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الله تعالى وحده وعدم الشرك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أَأَتَّخِذُ مِنْ دُونِهِ آلِهَةً إِنْ يُرِدْنِ الرَّحْمَنُ بِضُرٍّ لَا تُغْنِ عَنِّي شَفَاعَتُهُمْ شَيْئًا وَلَا يُنْقِذُونِ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الصلاة وأداء الطاعات وعدم التكذيب بالمعاد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إجحاف الناس حقوقهم الاقتصادية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كَالُوهُمْ أَوْ وَزَنُوهُمْ يُخْسِرُونَ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435" w:name="pg16299_219586"/>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القلب والرحمة بالعالمين ولا سيّما الأيتام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التبجّح في إنكار يوم القيامة بذريعة استحالة إحياء البدن بعد الممات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أَيَّانَ يَوْمُ الْقِيَامَةِ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النفسي للمعاد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لَهُمْ سُوءُ الْعَذَابِ وَهُمْ فِي الْآخِرَةِ هُمُ الْأَخْسَرُونَ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الدور التعبوي للمعاد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w:t>
      </w:r>
      <w:r>
        <w:rPr>
          <w:rStyle w:val="FootnoteAnchor"/>
          <w:rtl w:val="true"/>
        </w:rPr>
        <w:footnoteReference w:id="51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الَّذِينَ يَظُنُّونَ أَنَّهُمْ مُلَاقُو اللَّهِ 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5369897_1280447820"/>
      <w:bookmarkStart w:id="437" w:name="_Toc167"/>
      <w:bookmarkEnd w:id="436"/>
      <w:r>
        <w:rPr>
          <w:rtl w:val="true"/>
        </w:rPr>
        <w:t xml:space="preserve">- </w:t>
      </w:r>
      <w:r>
        <w:rPr>
          <w:rtl w:val="true"/>
        </w:rPr>
        <w:t xml:space="preserve">ماهية الحياة بعد الموت </w:t>
      </w:r>
      <w:r>
        <w:rPr>
          <w:rtl w:val="true"/>
        </w:rPr>
        <w:t>:</w:t>
      </w:r>
      <w:bookmarkEnd w:id="43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طرحت مجموعة من الآراء حول طبيعة الإنسان في الحياة الأخرى من قبل المعتقدين بعدم فنائه بعد الممات، وأكثرها شهرةً وشيوعاً الآراء الثلاثة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التناسخ، انبعاث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انبعاث 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الجسماني</w:t>
      </w:r>
      <w:r>
        <w:rPr>
          <w:rFonts w:eastAsia="Amiri" w:cs="Amiri" w:ascii="Amiri" w:hAnsi="Amiri"/>
          <w:color w:val="111111"/>
          <w:sz w:val="28"/>
          <w:szCs w:val="28"/>
          <w:rtl w:val="true"/>
          <w:lang w:bidi="ar-SA"/>
        </w:rPr>
        <w:t xml:space="preserve">). </w:t>
      </w:r>
      <w:bookmarkStart w:id="438" w:name="pg16299_219587"/>
    </w:p>
    <w:p>
      <w:pPr>
        <w:pStyle w:val="BookText"/>
        <w:rPr/>
      </w:pPr>
      <w:bookmarkEnd w:id="438"/>
      <w:r>
        <w:rPr>
          <w:rFonts w:ascii="Amiri" w:hAnsi="Amiri" w:eastAsia="Amiri" w:cs="Amiri"/>
          <w:color w:val="111111"/>
          <w:sz w:val="28"/>
          <w:sz w:val="28"/>
          <w:szCs w:val="28"/>
          <w:rtl w:val="true"/>
          <w:lang w:bidi="ar-SA"/>
        </w:rPr>
        <w:t xml:space="preserve">وفيما يأتي نتطرّق إلى بيانها بشكلٍ إجماليٍّ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تناسخ</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الانتقال لغةً؛ وأمّا اصطلاحاً فهي تدلّ على انتقال النفس من بدن إلى بدنٍ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التناسخ شائعةٌ بين بعض الأديان والمذاهب الشرقية وبما فيها البراهماتية والهندوسية والبوذية، فأتباع هذه الأديان يعتقدون بصور عديدة لهذا الأمر، منها بقاء الروح تدور في فلك التناسخ إلى الأبد منتقلة من بدن إلى آخر، ومنها حلولها في بدن حيوان وبعد ذلك استقرارها في نباتٍ ومن ثَمَّ انتقالها إلى أحد الجمادات، في حين يرى آخرون أنّ هذه العلمية تتم معكوسةً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المعتقدات البوذية لا بدّ للإنسان من البقاء في عناء آلام التناسخ المضنية ما لم يطهّر نفسه من الآثام ويجرّدها من الرغبات والطموحات التي لا تتناسب مع تعاليم البوذا، وعلى هذا الأساس فالروح الطاهرة فقط تلتحق بالنيرفانا بعد الموت لتنال الطمأنينة الأبدية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الفلاسفة وعلماء الكلام المسلمون والغربيون فقد رفضوا عقيدة التناسخ وساقوا براهين عديدة لتفنيدها</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369899_1280447820"/>
      <w:bookmarkStart w:id="440" w:name="_Toc168"/>
      <w:bookmarkEnd w:id="439"/>
      <w:r>
        <w:rPr>
          <w:rtl w:val="true"/>
        </w:rPr>
        <w:t>-</w:t>
      </w:r>
      <w:r>
        <w:rPr>
          <w:rtl w:val="true"/>
        </w:rPr>
        <w:t>المعاد الروحاني</w:t>
      </w:r>
      <w:r>
        <w:rPr>
          <w:rtl w:val="true"/>
        </w:rPr>
        <w:t>:</w:t>
      </w:r>
      <w:bookmarkEnd w:id="44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الباحثون أنّ الحكيم أفلاطون هو الرائد في طرح عقيدة المعاد الروحاني، </w:t>
      </w:r>
      <w:r>
        <w:rPr>
          <w:rStyle w:val="FootnoteAnchor"/>
          <w:rtl w:val="true"/>
        </w:rPr>
        <w:footnoteReference w:id="522"/>
      </w:r>
      <w:r>
        <w:rPr>
          <w:rFonts w:ascii="Amiri" w:hAnsi="Amiri" w:eastAsia="Amiri" w:cs="Amiri"/>
          <w:color w:val="111111"/>
          <w:sz w:val="28"/>
          <w:sz w:val="28"/>
          <w:szCs w:val="28"/>
          <w:rtl w:val="true"/>
          <w:lang w:bidi="ar-SA"/>
        </w:rPr>
        <w:t>إذ كان يعتقد بأنّ الروح ترتقي إلى حضرة القدس بعد الموت فتنعم بحياة أبدية هناك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441" w:name="pg16299_219588"/>
    </w:p>
    <w:p>
      <w:pPr>
        <w:pStyle w:val="BookText"/>
        <w:rPr/>
      </w:pPr>
      <w:bookmarkEnd w:id="441"/>
      <w:r>
        <w:rPr>
          <w:rFonts w:ascii="Amiri" w:hAnsi="Amiri" w:eastAsia="Amiri" w:cs="Amiri"/>
          <w:color w:val="111111"/>
          <w:sz w:val="28"/>
          <w:sz w:val="28"/>
          <w:szCs w:val="28"/>
          <w:rtl w:val="true"/>
          <w:lang w:bidi="ar-SA"/>
        </w:rPr>
        <w:t xml:space="preserve">هذه الرؤية شهدت تغييراً من قبل الرئيس ابن سينا الذي كان يعتقد بأنّ القوة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هي الوجود المجرّد الوحيد بين سائر القوى النفسانية وهي التي تبقى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يؤكّد أتباع المعاد الروحاني على أن النفس الناطقة حينما تأنس بكمالاتها المعنوية في حياتها الدنيوية فسوف تحظى بلذّةٍ ونعيمٍ في الحياة الآخرة، لكنّها إن انهمكت في الملذّات المادّية ستواجه آلاماً وهموماً فور نهاية الحياة المادّية ومن ثمّ تفقد كلّ تلك الكمالات المادّية التي كانت تنعم بها في الحياة الدنيا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 ابن سينا المعاد الجسماني على أساس القول الصادق المصدّق، أي كلام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في حين أنّ الفيلسوف الغربي ديكارت أكّد على ثلاث حقائق في منظومته الفلسفيّة، وهي الله والنفس والجسم، حيث استنتج أنّ النفس تمتلك شعوراً لكنّها مجرّدةٌ عن الأبعاد ، لكنّ الجسم مفتقدٌ لخصائص الروح، لذا تكون النفس غير مادّيةٍ ولا يمكن أن تفنى بعد فناء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إنّ نظرية ديكارت تعود في أساسها إلى نظريّة أفلاطون التي اعتبرت الجسم والنفس جوهرين مستقلّين عن بعضهما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5369901_1280447820"/>
      <w:bookmarkStart w:id="443" w:name="_Toc169"/>
      <w:bookmarkEnd w:id="442"/>
      <w:r>
        <w:rPr>
          <w:rtl w:val="true"/>
        </w:rPr>
        <w:t xml:space="preserve">- </w:t>
      </w:r>
      <w:r>
        <w:rPr>
          <w:rtl w:val="true"/>
        </w:rPr>
        <w:t xml:space="preserve">المعاد الجسماني </w:t>
      </w:r>
      <w:r>
        <w:rPr>
          <w:rtl w:val="true"/>
        </w:rPr>
        <w:t>:</w:t>
      </w:r>
      <w:bookmarkEnd w:id="443"/>
    </w:p>
    <w:p>
      <w:pPr>
        <w:pStyle w:val="BookText"/>
        <w:rPr/>
      </w:pPr>
      <w:r>
        <w:rPr>
          <w:rFonts w:ascii="Amiri" w:hAnsi="Amiri" w:eastAsia="Amiri" w:cs="Amiri"/>
          <w:color w:val="111111"/>
          <w:sz w:val="28"/>
          <w:sz w:val="28"/>
          <w:szCs w:val="28"/>
          <w:rtl w:val="true"/>
          <w:lang w:bidi="ar-SA"/>
        </w:rPr>
        <w:t>المقصود من المعاد الجسماني هو حياة الإنسان الأخروية بهيئةٍ جسمانيةٍ مادّيةٍ أو جسمانيةٍ 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الحكمة المتعالية رجّحوا الجسم المثالي على الجسم المادّي واعتبروه أكثر احتمالاً وأقرب إلى الحقيقة ومن ثَمَّ فهو أنسب للاتّصاف بالجسمية من المادّي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نظرية المعاد الجسماني تعدّ إحدى أقدم النظريات التي </w:t>
      </w:r>
    </w:p>
    <w:p>
      <w:pPr>
        <w:pStyle w:val="BookText"/>
        <w:rPr/>
      </w:pPr>
      <w:r>
        <w:rPr>
          <w:rFonts w:ascii="Amiri" w:hAnsi="Amiri" w:eastAsia="Amiri" w:cs="Amiri"/>
          <w:color w:val="111111"/>
          <w:sz w:val="28"/>
          <w:sz w:val="28"/>
          <w:szCs w:val="28"/>
          <w:rtl w:val="true"/>
          <w:lang w:bidi="ar-SA"/>
        </w:rPr>
        <w:t>تمحورت حول خلود الإنسان، وهناك شواهد عديدة على هذا الأمر ومنها الآثار المكتشفة في مختلف بقاع العالم، إذ عثر على أدوات حربية وموادّ غذائية في القبور التي دفن فيها إنسان النياندرتال وسائر الأمم التي تضرب بجذورها في عهود ما قبل التأريخ، كذلك المومياءات التي تعجّ بها مقابر الفراعنة في مصر والتي دفن معظمها في الأهرامات المزوّدة بشتّى الوسائل المادّية التي اعتقد المصريون القدماء بأنّها ستكون مفيدةً لهم في حياتهم الأخروية، وكذا هو الحال بالنسبة إلى حضارة ما بين النهرين التي عثر فيها على عددٍ من الوسائل المادّية في المقابر ؛ فهذه الأمور صوّرت في ذهن الإنسان المعاصر وجود حياةٍ مادّيةٍ أخرى بعد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ألقينا نظرةً إجماليةً على الأديان التوحيدية المعروفة كالإسلام والمسيحية، نجد أتباعها قد انقسموا إلى فئتين، فمنهم من ذهب إلى القول بمبدأ المعاد الروحاني ومنهم من قال بالمعاد الجسماني؛ وأحد الأسباب التي دعت بعض المسلمين للقول بالمعاد الجسماني ما جاء في القرآن المجيد على لسان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وَيُخْرِجُكُمْ إِخْرَاجًا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تعاليم الديانة المسيحية أعارت أهميةً كبيرةً لمسألة الحياة بعد الممات، ومن جملة ذلك ما ورد في رسالة القديس بولس إلى نصارى مدينة فيلبي الواقعة شمالي بلاد الإغريق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سِیرَتَنا نَحْنُ هِيَ فِي السَّمَاوَاتِ الَّتِي مِنْهَا أَيْضًا نَنتَظِرُ مُخَلّصًا هُوَ الرَّبُّ يَسُوعُ المَسِيحُ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سَيُغَيِّرُ شَكْلَ جَسَدِ تَوَاضُعِنَا لِيَكُونَ عَلَى صُورَةِ جَسَدِ مُجدِه، بِحَسَبِ عَمَلِ اسْتِطَاعَتِهِ أَنْ يُخْضِعَ لِنَفْسِهِ كُلََ شَيْءٍ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الديانة اليهودية هي الأخرى أكّدت على مبدأ المعاد الجسماني، إذ ذكر في العهد القديم وفي كتاب دانيال بالتحديد أنّ الموتى سيبعثون في فئتين، فبعضهم سيبعث للخلود والبعض الآخر للذلّة والتوبيخ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444" w:name="pg16299_219590"/>
    </w:p>
    <w:p>
      <w:pPr>
        <w:pStyle w:val="BookText"/>
        <w:rPr/>
      </w:pPr>
      <w:bookmarkEnd w:id="444"/>
      <w:r>
        <w:rPr>
          <w:rFonts w:ascii="Amiri" w:hAnsi="Amiri" w:eastAsia="Amiri" w:cs="Amiri"/>
          <w:color w:val="111111"/>
          <w:sz w:val="28"/>
          <w:sz w:val="28"/>
          <w:szCs w:val="28"/>
          <w:rtl w:val="true"/>
          <w:lang w:bidi="ar-SA"/>
        </w:rPr>
        <w:t>إذن، النصوص المقدّسة لمختلف الأديان لها دورٌ كبيرٌ في طرح مسألة المعاد الجسماني بين أتباعها</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5369903_1280447820"/>
      <w:bookmarkStart w:id="446" w:name="_Toc170"/>
      <w:bookmarkEnd w:id="445"/>
      <w:r>
        <w:rPr>
          <w:rtl w:val="true"/>
        </w:rPr>
        <w:t>-</w:t>
      </w:r>
      <w:r>
        <w:rPr>
          <w:rtl w:val="true"/>
        </w:rPr>
        <w:t xml:space="preserve">نظريات المعاد الجسماني </w:t>
      </w:r>
      <w:r>
        <w:rPr>
          <w:rtl w:val="true"/>
        </w:rPr>
        <w:t>:</w:t>
      </w:r>
      <w:bookmarkEnd w:id="446"/>
    </w:p>
    <w:p>
      <w:pPr>
        <w:pStyle w:val="Heading5"/>
        <w:numPr>
          <w:ilvl w:val="4"/>
          <w:numId w:val="1"/>
        </w:numPr>
        <w:rPr/>
      </w:pPr>
      <w:bookmarkStart w:id="447" w:name="__RefHeading___Toc5369905_1280447820"/>
      <w:bookmarkStart w:id="448" w:name="_Toc171"/>
      <w:bookmarkEnd w:id="447"/>
      <w:r>
        <w:rPr>
          <w:rtl w:val="true"/>
        </w:rPr>
        <w:t>إشارة</w:t>
      </w:r>
      <w:bookmarkEnd w:id="448"/>
    </w:p>
    <w:p>
      <w:pPr>
        <w:pStyle w:val="BookText"/>
        <w:rPr/>
      </w:pPr>
      <w:r>
        <w:rPr>
          <w:rFonts w:ascii="IRNazanin" w:hAnsi="IRNazanin" w:eastAsia="IRNazanin"/>
          <w:color w:val="111111"/>
          <w:sz w:val="28"/>
          <w:sz w:val="28"/>
          <w:szCs w:val="28"/>
          <w:rtl w:val="true"/>
          <w:lang w:bidi="fa-IR"/>
        </w:rPr>
        <w:t>طرحت مجموعة من النظريات والآراء حول كيفية تحقّق المعاد الجسماني في الحیاة الآخرة، ونشير إلى بعضها فيما يأتي</w:t>
      </w:r>
      <w:r>
        <w:rPr>
          <w:rFonts w:eastAsia="IRNazanin" w:cs="IRNazanin"/>
          <w:color w:val="111111"/>
          <w:sz w:val="28"/>
          <w:szCs w:val="28"/>
          <w:rtl w:val="true"/>
          <w:lang w:bidi="fa-IR"/>
        </w:rPr>
        <w:t>:</w:t>
      </w:r>
    </w:p>
    <w:p>
      <w:pPr>
        <w:pStyle w:val="Heading5"/>
        <w:numPr>
          <w:ilvl w:val="4"/>
          <w:numId w:val="1"/>
        </w:numPr>
        <w:rPr/>
      </w:pPr>
      <w:bookmarkStart w:id="449" w:name="__RefHeading___Toc5369907_1280447820"/>
      <w:bookmarkStart w:id="450" w:name="_Toc172"/>
      <w:bookmarkEnd w:id="449"/>
      <w:r>
        <w:rPr/>
        <w:t>1</w:t>
      </w:r>
      <w:r>
        <w:rPr>
          <w:rtl w:val="true"/>
        </w:rPr>
        <w:t xml:space="preserve">) </w:t>
      </w:r>
      <w:r>
        <w:rPr>
          <w:rtl w:val="true"/>
        </w:rPr>
        <w:t xml:space="preserve">نظرية إعادة المعدوم </w:t>
      </w:r>
      <w:r>
        <w:rPr>
          <w:rtl w:val="true"/>
        </w:rPr>
        <w:t>:</w:t>
      </w:r>
      <w:bookmarkEnd w:id="450"/>
    </w:p>
    <w:p>
      <w:pPr>
        <w:pStyle w:val="BookText"/>
        <w:rPr/>
      </w:pPr>
      <w:r>
        <w:rPr>
          <w:rFonts w:ascii="Amiri" w:hAnsi="Amiri" w:eastAsia="Amiri" w:cs="Amiri"/>
          <w:color w:val="111111"/>
          <w:sz w:val="28"/>
          <w:sz w:val="28"/>
          <w:szCs w:val="28"/>
          <w:rtl w:val="true"/>
          <w:lang w:bidi="ar-SA"/>
        </w:rPr>
        <w:t>بعض علماء الكلام الأشاعرة من أمثال أبي الحسن الأشعري والباقلاني وعبد القاهر البغدادي، وعدد من متكلّمي المعتزلة من أمثال الضراء بن عمرو والكعبي وأبي علي الجبائي وابنه أبي هاشم؛ ذهبوا إلى أنّ النفس عبارةٌ عن كائن مادّي أو عرضي من أعراض الجسم بحيث يزول مع زواله، لأنّ العرض متقوّم بوجوده على الجسم الذي يحلّ فيه وبطبيعة الحال فإنّه سيفنى لمجرّد فناء هذا الجسم، ولكنّه سيخلق مرّةً أخرى في القيامة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باعتقاد أتباع هذه النظرية فإنّ المعدوم يمكن أن يخلق مرّةً أخرى وقد أقاموا أدلّة تدعم رأيهم هذا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 مؤاخذةٍ تذكر على هذه النظرية هي استحالة إعادة المعدوم من جديد، فبعض الفلاسفة من أمثال ابن سينا اعتبروا استحالة إعادة المعدوم من البديهيات، ومع ذلك فقد استشهد ببراهين عدّة لإثبات بداهة هذه الاستحالة</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451" w:name="pg16299_219591"/>
    </w:p>
    <w:p>
      <w:pPr>
        <w:pStyle w:val="Heading5"/>
        <w:numPr>
          <w:ilvl w:val="4"/>
          <w:numId w:val="1"/>
        </w:numPr>
        <w:rPr/>
      </w:pPr>
      <w:bookmarkStart w:id="452" w:name="__RefHeading___Toc5369909_1280447820"/>
      <w:bookmarkStart w:id="453" w:name="_Toc173"/>
      <w:bookmarkEnd w:id="451"/>
      <w:bookmarkEnd w:id="452"/>
      <w:r>
        <w:rPr/>
        <w:t>2</w:t>
      </w:r>
      <w:r>
        <w:rPr>
          <w:rtl w:val="true"/>
        </w:rPr>
        <w:t>)</w:t>
      </w:r>
      <w:r>
        <w:rPr>
          <w:rtl w:val="true"/>
        </w:rPr>
        <w:t>نظرية النسخة البديلة</w:t>
      </w:r>
      <w:r>
        <w:rPr>
          <w:rtl w:val="true"/>
        </w:rPr>
        <w:t>.</w:t>
      </w:r>
      <w:bookmarkEnd w:id="453"/>
    </w:p>
    <w:p>
      <w:pPr>
        <w:pStyle w:val="BookText"/>
        <w:rPr/>
      </w:pPr>
      <w:r>
        <w:rPr>
          <w:rFonts w:ascii="Amiri" w:hAnsi="Amiri" w:eastAsia="Amiri" w:cs="Amiri"/>
          <w:color w:val="111111"/>
          <w:sz w:val="28"/>
          <w:sz w:val="28"/>
          <w:szCs w:val="28"/>
          <w:rtl w:val="true"/>
          <w:lang w:bidi="ar-SA"/>
        </w:rPr>
        <w:t xml:space="preserve">نظرية النسخة البديلة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النسخة البديلة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في دلالتها إلى نظرية إعادة المعدوم، وقد طرحها اللاهوتي البريطاني المعاصر جون هيك </w:t>
      </w:r>
      <w:r>
        <w:rPr>
          <w:rStyle w:val="FootnoteAnchor"/>
          <w:rtl w:val="true"/>
        </w:rPr>
        <w:footnoteReference w:id="532"/>
      </w:r>
      <w:r>
        <w:rPr>
          <w:rFonts w:ascii="Amiri" w:hAnsi="Amiri" w:eastAsia="Amiri" w:cs="Amiri"/>
          <w:color w:val="111111"/>
          <w:sz w:val="28"/>
          <w:sz w:val="28"/>
          <w:szCs w:val="28"/>
          <w:rtl w:val="true"/>
          <w:lang w:bidi="ar-SA"/>
        </w:rPr>
        <w:t xml:space="preserve">، ونظريته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الوحيدة التي يمكننا ادّعاء أنّ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طبق الأصل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مشروطةٌ بأن 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خصائص،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شبيهاً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الصفات البدنية والذهنية بالكامل، من قبيل الذكريات والمعتقدات ولون الشعر والطول والبصمات والأحشاء الداخلية، وما إلى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النسخة الوحيدة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موجوداً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وضّح هذا الفيلسوف نظريته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وتظهر نسخته الأخرى بنفس خصائصه في عالمٍ آخر يختلف بالكامل عن هذا العالم المادّي وفي مكان آخر بعيد عن كلّ مكانٍ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نريد أن نحكي الكلام التالي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انتبهت من نومةٍ كتلك النومة التي كانت تسلب منّي الشعور بما حولي في عالم الدنيا، فقد انتبهت من عدم الشعور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استيقظت من موتي تذكّرت أنّني كنت راقداً في فراش الموت وقد صحوت الآن في عالم مختلف بالكامل عمّا سبقه</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المؤاخذة الأساسية التي تطرح على هذه النظرية هي أنّها تنفي الهوهوية الشخصية، </w:t>
      </w:r>
      <w:bookmarkStart w:id="454" w:name="pg16299_219592"/>
    </w:p>
    <w:p>
      <w:pPr>
        <w:pStyle w:val="BookText"/>
        <w:rPr/>
      </w:pPr>
      <w:bookmarkEnd w:id="454"/>
      <w:r>
        <w:rPr>
          <w:rFonts w:ascii="Amiri" w:hAnsi="Amiri" w:eastAsia="Amiri" w:cs="Amiri"/>
          <w:color w:val="111111"/>
          <w:sz w:val="28"/>
          <w:sz w:val="28"/>
          <w:szCs w:val="28"/>
          <w:rtl w:val="true"/>
          <w:lang w:bidi="ar-SA"/>
        </w:rPr>
        <w:t xml:space="preserve">إذ تؤكّد على كون النسخة البديلة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نسخة مطابقة للنسخة الأصيلة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وليست بذاتها، لذا لا يمكن على أساسها إثبات الهوية الفردية للنسخة الأصيلة، وتوضيح ذلك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البديلة لا يمكنها أن تتحمّل مسؤولية أعمال النسخة الأصيلة، إذ إنّ الإنسان حسب التعاليم والمقرّرات الدينيّة سوف ينال جزاء أعماله الدنيوية الحسنة والقبيحة في حياته الأخروية، لذا إمّا أن ينال حُسن العقبى أو يطاله عذابٌ أليمٌ تجاه تلك الأعمال الشنيعة التي ارتكبها في حياته؛ في حين أنّ نظرية جون هيك تؤكّد على أنّ المعذّب والمنعّم في يوم القيامة هو شخص آخر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بدرت منه الأعمال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الذي يحشر في الحياة الآخرة لم يرتكب أيّ ذنبٍ كي يستحقّ العذاب ولم يفعل أيّ حُسنٍ كي يستحقّ الثواب، أي إنّه ليس الفاعل</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5369911_1280447820"/>
      <w:bookmarkStart w:id="456" w:name="_Toc174"/>
      <w:bookmarkEnd w:id="455"/>
      <w:r>
        <w:rPr/>
        <w:t>3</w:t>
      </w:r>
      <w:r>
        <w:rPr>
          <w:rtl w:val="true"/>
        </w:rPr>
        <w:t xml:space="preserve">) </w:t>
      </w:r>
      <w:r>
        <w:rPr>
          <w:rtl w:val="true"/>
        </w:rPr>
        <w:t xml:space="preserve">نظرية الجسم المثالي </w:t>
      </w:r>
      <w:r>
        <w:rPr>
          <w:rtl w:val="true"/>
        </w:rPr>
        <w:t>:</w:t>
      </w:r>
      <w:bookmarkEnd w:id="456"/>
    </w:p>
    <w:p>
      <w:pPr>
        <w:pStyle w:val="BookText"/>
        <w:rPr/>
      </w:pPr>
      <w:r>
        <w:rPr>
          <w:rFonts w:ascii="Amiri" w:hAnsi="Amiri" w:eastAsia="Amiri" w:cs="Amiri"/>
          <w:color w:val="111111"/>
          <w:sz w:val="28"/>
          <w:sz w:val="28"/>
          <w:szCs w:val="28"/>
          <w:rtl w:val="true"/>
          <w:lang w:bidi="ar-SA"/>
        </w:rPr>
        <w:t xml:space="preserve">الحكيم المسلم صدر الدين الشيرازي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أثبت أصالة الوجود وأكّد على أنّه من الحقائق المشكّكة ، طرح نظرية الحركة الجوهرية التي تدلّ على وجود حركةٍ باطنيةٍ غير محسوسةٍ في جواهر الأشياء فضلاً عن الحركات الظاهرية والمحسوسة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حركةٌ تكامليةٌ مصدرها استعداد الأجسام لامتلاكها، أي إنّ المتحرّك يسير نحو التكامل على أساس هذه الحركة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المباحث الأخرى التي تطرّق هذا الحكيم المتألّه إلى شرحها وتحليلها، هي العلاقة الموجودة بين النفس والبدن، إذ استنتج أنّهما ليسا جوهرين متمايزين عن بعضهما، فالنفس برأيه ثمرةٌ للحركة الاشتدادية والتكاملية المكنونة في البدن، والبدن بدوره هو أحد مراتب النفس، وهذه النفس خلال مسيرتها التكاملية تصبح في غنىً عنه شيئاً فشيئاً ومن ثمّ تنفصل عنه بالكامل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يرى هذا الفيلسوف أنّ تصوّر جسم بلا مادّةٍ لا يمسّ بجسميّته، كما يعتقد بأنّ النفس هي الهوهوية الشخصية للإنسان، وعلى هذا الأساس إن تعلّقت ببدن مثاليٍّ فلا يحدث خلل في الهوهوية الشخصية؛ فهي التي توجد البدن عبر حركتها الجوهرية والاشتدادية، ومن ثمّ تبدأ بالانفصال عنه تدريجياً إلى أن تنقطع عنه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هذا الحكيم المتألّه أنّ قوّة التصوّر لدى الإنسان هي عبارة عن جوهرٍ مجرّدٍ ومرتبةٍ من مراتب النفس، وبعد انفصال النفس عن البدن تتزايد قدرتها على التصوّر ممّا يعني تزايد هذه القوّة الجوهرية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أكّد على أنّ النفس الإنسانية تتجلّى في يوم القيامة على أساس الإدراكات والملكات التي اكتسبتها في الحياة الدنيا فينشأ إثر ذلك جسمٌ 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نظرية الجسم المثالي تؤكّد على أنّ البدن مرآة للنفس وانعكاسٌ لها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تفسيرٌ آخر للمعاد الجسماني في الحكمة المتعالية،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المثالي ينشأ إثر الحركة الجوهرية والتكاملية للجسم المادّي، أي إنّ الإنسان يمتلك جسمين أحدهما مادّي والآخر مثالي، وهما موجودان في آنٍ واحدٍ في الحياة الدنيا، ولكن بعد الموت يفنى الجسم المادّي ويبقى المثالي ؛ وعلى الرغم من أنّ الثاني ينشأ من جوهر الأوّل، لكنّ هيئته تتكوّن تدريجياً من أفعال الإنسان وملكاته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الجسم المادّي حسب هذه الرؤية يفقد ارتباطه بالنفس عندما ينفصل عنها إثر الموت</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النصوص الدينيّة تصوّر عالم الآخرة بشكلٍ مختلف عن عالم الدنيا، ومن هذا المنطلق فالأحكام والمقرّرات التي تتّخذ في ذلك العالم متقوّمةٌ على أعمال الإنسان في </w:t>
      </w:r>
      <w:bookmarkStart w:id="457" w:name="pg16299_219594"/>
    </w:p>
    <w:p>
      <w:pPr>
        <w:pStyle w:val="BookText"/>
        <w:rPr/>
      </w:pPr>
      <w:bookmarkEnd w:id="457"/>
      <w:r>
        <w:rPr>
          <w:rFonts w:ascii="Amiri" w:hAnsi="Amiri" w:eastAsia="Amiri" w:cs="Amiri"/>
          <w:color w:val="111111"/>
          <w:sz w:val="28"/>
          <w:sz w:val="28"/>
          <w:szCs w:val="28"/>
          <w:rtl w:val="true"/>
          <w:lang w:bidi="ar-SA"/>
        </w:rPr>
        <w:t>هذا العالم، فالقرآن الكريم يعتبر الدنيا دار عمل والآخرة دار جزاء، لذا ليس هناك مجال للتوبة من المعاصي إلّا في هذه الحياة فقط إذ لا وجود لها في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الدنيا عبارة عن نظام مرتكز على الحركة والتكامل، في حين أنّ الآخرة نظام مرتكز على الأعمال والملكات النفسانية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التعاليم الدينيّة فإنّ جميع الكائنات الحيّة في الدنيا العالم ستنبعث فيها الحياة في الآخرة لدرجة أنّ أعضاء الإنسان وجوارحه ستشهد له أو عليه جرّاء ما فعل في حياته الدنيوية، وعلى هذا الأساس لا يمكن لبدن الإنسان أن يتواجد في القيامة بنفس خصائص حياته الأولى التي تطغى عليها الميزة الدنيوية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5369913_1280447820"/>
      <w:bookmarkStart w:id="459" w:name="_Toc175"/>
      <w:bookmarkEnd w:id="458"/>
      <w:r>
        <w:rPr>
          <w:rtl w:val="true"/>
        </w:rPr>
        <w:t xml:space="preserve">براهين إثبات المعاد </w:t>
      </w:r>
      <w:r>
        <w:rPr>
          <w:rtl w:val="true"/>
        </w:rPr>
        <w:t>:</w:t>
      </w:r>
      <w:bookmarkEnd w:id="459"/>
    </w:p>
    <w:p>
      <w:pPr>
        <w:pStyle w:val="BookText"/>
        <w:rPr/>
      </w:pPr>
      <w:r>
        <w:rPr>
          <w:rFonts w:ascii="Amiri" w:hAnsi="Amiri" w:eastAsia="Amiri" w:cs="Amiri"/>
          <w:color w:val="111111"/>
          <w:sz w:val="28"/>
          <w:sz w:val="28"/>
          <w:szCs w:val="28"/>
          <w:rtl w:val="true"/>
          <w:lang w:bidi="ar-SA"/>
        </w:rPr>
        <w:t>يمكن إثبات تحقّق المعاد والحياة الأخروية ببراهين عقليّة ونقليّة على حدٍ سواء، لذا ليس من الحريّ غضّ النظر عن الأدلّة العقليّة والاكتفاء بما جاء في النصوص الدينيّة ولا سيّما القرآن الكريم لكونه كلام الله تعالى؛ إذ من المؤكّد أنّ الكتاب الحكيم يؤيد القضايا التي تثبت بالبراهين العقليّة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القرآن الكريم تضمّن عدداً من الآيات التي أثبتت تحقّق المعاد بالأدلّة العقلية، إذ أكّدت على ضرورة وجود حياةٍ آخرة تلي الحياة الدنيا وأثبتت عدم استحالة البعث والمعاد بحكم العقل والبرهان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نتطرّق إلى بسط الأدلّة العقليّة والتجريبية التي تثبت وقوع المعاد بعد الممات، سنسلّط الضوء على بعض جوانبه ونبيّن طبيعته ومفاهيمه وبعض أدلّته وشواهده التأريخية في رحاب القرآن الكريم في ضمن خمس نقاطٍ في المبحث الآتي</w:t>
      </w:r>
      <w:r>
        <w:rPr>
          <w:rFonts w:eastAsia="Amiri" w:cs="Amiri" w:ascii="Amiri" w:hAnsi="Amiri"/>
          <w:color w:val="111111"/>
          <w:sz w:val="28"/>
          <w:szCs w:val="28"/>
          <w:rtl w:val="true"/>
          <w:lang w:bidi="ar-SA"/>
        </w:rPr>
        <w:t xml:space="preserve">: </w:t>
      </w:r>
      <w:bookmarkStart w:id="460" w:name="pg16299_219595"/>
    </w:p>
    <w:p>
      <w:pPr>
        <w:pStyle w:val="Heading4"/>
        <w:numPr>
          <w:ilvl w:val="3"/>
          <w:numId w:val="1"/>
        </w:numPr>
        <w:rPr/>
      </w:pPr>
      <w:bookmarkStart w:id="461" w:name="__RefHeading___Toc5369915_1280447820"/>
      <w:bookmarkStart w:id="462" w:name="_Toc176"/>
      <w:bookmarkEnd w:id="460"/>
      <w:bookmarkEnd w:id="461"/>
      <w:r>
        <w:rPr>
          <w:rtl w:val="true"/>
        </w:rPr>
        <w:t>المعاد فی القرآن الکریم</w:t>
      </w:r>
      <w:r>
        <w:rPr>
          <w:rtl w:val="true"/>
        </w:rPr>
        <w:t>:</w:t>
      </w:r>
      <w:bookmarkEnd w:id="462"/>
    </w:p>
    <w:p>
      <w:pPr>
        <w:pStyle w:val="Heading5"/>
        <w:numPr>
          <w:ilvl w:val="4"/>
          <w:numId w:val="1"/>
        </w:numPr>
        <w:rPr/>
      </w:pPr>
      <w:bookmarkStart w:id="463" w:name="__RefHeading___Toc5369917_1280447820"/>
      <w:bookmarkStart w:id="464" w:name="_Toc177"/>
      <w:bookmarkEnd w:id="463"/>
      <w:r>
        <w:rPr>
          <w:rtl w:val="true"/>
        </w:rPr>
        <w:t>إشارة</w:t>
      </w:r>
      <w:bookmarkEnd w:id="464"/>
    </w:p>
    <w:p>
      <w:pPr>
        <w:pStyle w:val="BookText"/>
        <w:rPr/>
      </w:pPr>
      <w:r>
        <w:rPr>
          <w:rFonts w:ascii="Amiri" w:hAnsi="Amiri" w:eastAsia="Amiri" w:cs="Amiri"/>
          <w:color w:val="111111"/>
          <w:sz w:val="28"/>
          <w:sz w:val="28"/>
          <w:szCs w:val="28"/>
          <w:rtl w:val="true"/>
          <w:lang w:bidi="ar-SA"/>
        </w:rPr>
        <w:t xml:space="preserve">كتاب الله الحكيم أعار أهميةً بالغةً لمسألة المعاد وتحدّث عنها من عدّة زوايا، وفيما يأتي نذكر جانباً منها </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5369919_1280447820"/>
      <w:bookmarkStart w:id="466" w:name="_Toc178"/>
      <w:bookmarkEnd w:id="465"/>
      <w:r>
        <w:rPr/>
        <w:t>1</w:t>
      </w:r>
      <w:r>
        <w:rPr>
          <w:rtl w:val="true"/>
        </w:rPr>
        <w:t xml:space="preserve">) </w:t>
      </w:r>
      <w:r>
        <w:rPr>
          <w:rtl w:val="true"/>
        </w:rPr>
        <w:t xml:space="preserve">ألفاظ المعاد في القرآن الكريم </w:t>
      </w:r>
      <w:r>
        <w:rPr>
          <w:rtl w:val="true"/>
        </w:rPr>
        <w:t>:</w:t>
      </w:r>
      <w:bookmarkEnd w:id="466"/>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مصدر ميمي مشتقّة من 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وتعني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العلماء عدّها اسم مكانٍ يدلّ على محلّ العودة، فيما ذهب آخرون إلى أنّها اسم زمانٍ يدلّ على وقت تحقّقها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اصطلاحاً فهي تعني الانتقال من عالم الدنيا إلى عالم الآخرة، بمعنى تحوّل الحياة الدنيوية إلى أخروية عن طريق عودة الحقيقة الإنسانية الدنيوية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التعابير والمصطلحات القرآنية التي تدلّ على البعث والحياة بعد الممات، ومنها ما يأتي</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إحياء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اليوم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اليوم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ابتلاء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يقال لجهنّم هل امتلأت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عضّ الظالم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لا ينفع الظالمين معذرتهم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صيرورة الولدان شيباً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فرار المرء من كلّ ما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الشرّ المستطير </w:t>
      </w:r>
      <w:bookmarkStart w:id="467" w:name="pg16299_219596"/>
    </w:p>
    <w:p>
      <w:pPr>
        <w:pStyle w:val="BookText"/>
        <w:rPr/>
      </w:pPr>
      <w:bookmarkEnd w:id="4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لا تجزي نفس عن 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لا تملك فيه نفس لنفس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ابيضاض وجوه واسوداد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لا ينفع فيه مال ولا بنون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تذكّر الإنسان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إحضار كلّ عمل بدر من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مقداره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النفخ في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تبدّل 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5369921_1280447820"/>
      <w:bookmarkStart w:id="469" w:name="_Toc179"/>
      <w:bookmarkEnd w:id="468"/>
      <w:r>
        <w:rPr/>
        <w:t>2</w:t>
      </w:r>
      <w:r>
        <w:rPr>
          <w:rtl w:val="true"/>
        </w:rPr>
        <w:t xml:space="preserve">) </w:t>
      </w:r>
      <w:r>
        <w:rPr>
          <w:rtl w:val="true"/>
        </w:rPr>
        <w:t xml:space="preserve">القدرة الإلهيّة المطلقة </w:t>
      </w:r>
      <w:r>
        <w:rPr>
          <w:rtl w:val="true"/>
        </w:rPr>
        <w:t>:</w:t>
      </w:r>
      <w:bookmarkEnd w:id="469"/>
    </w:p>
    <w:p>
      <w:pPr>
        <w:pStyle w:val="BookText"/>
        <w:rPr/>
      </w:pPr>
      <w:r>
        <w:rPr>
          <w:rFonts w:ascii="Amiri" w:hAnsi="Amiri" w:eastAsia="Amiri" w:cs="Amiri"/>
          <w:color w:val="111111"/>
          <w:sz w:val="28"/>
          <w:sz w:val="28"/>
          <w:szCs w:val="28"/>
          <w:rtl w:val="true"/>
          <w:lang w:bidi="ar-SA"/>
        </w:rPr>
        <w:t>بعد إثبات أنّ الله عزّ وجلّ ذو قدرةٍ مطلقة وغير متناهية على أساس أسمائه الحسنى وصفاته الجلالية بحيث تعمّ قدرته عالم الممكنات بمادّياته ومجرّداته، بطبيعة الحال يمكن إثبات كلّ ما يترتّب على هذه العمومية من قضايا، لذا بما أنّ عالم الحشر والحياة بعد الممات جزء من عالم الممكنات فهو مشمول أيضاً بهذه القاعدة ومن ثَمَّ ليس هناك أيّ مانعٍ من تعلّق القدرة الإلهيّة به وتحقّقه على أرض الواقع لكون هذه القدرة المطلقة تتعلّق بجميع العوالم من دون استثناء في كلّ آنٍ ومكانٍ بما في ذلك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الآيات التي تثبت هذه الحقيقة الثابتة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 أَلَيْسَ هَذَا بِالْحَقِّ قَالُوا بَلَى وَرَبِّنَا قَالَ فَذُوقُوا الْعَذَابَ بِمَا كُنْتُمْ تَكْفُرُونَ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الآيات استخدم الكتاب الحكيم تعابير بسيطة لإثبات تحقّق المعاد بعد الممات، كقوله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bookmarkStart w:id="470" w:name="pg16299_219597"/>
    </w:p>
    <w:p>
      <w:pPr>
        <w:pStyle w:val="BookText"/>
        <w:rPr/>
      </w:pPr>
      <w:bookmarkEnd w:id="470"/>
      <w:r>
        <w:rPr>
          <w:rFonts w:ascii="Amiri" w:hAnsi="Amiri" w:eastAsia="Amiri" w:cs="Amiri"/>
          <w:color w:val="111111"/>
          <w:sz w:val="28"/>
          <w:sz w:val="28"/>
          <w:szCs w:val="28"/>
          <w:rtl w:val="true"/>
          <w:lang w:bidi="ar-SA"/>
        </w:rPr>
        <w:t xml:space="preserve">ومن جملة الاستدلالات القرآنية على هذا الصعيد التمثيل بإحياء الأرض وازدهارها بنعمة الماء بعد جدبها وجفافها؛ فهذا الإحياء آيةٌ جليّةٌ على القدرة الإلهيّة المطلقة التي من شأنها إحياء كلّ شيء، وبما في ذلك إحياء الناس بعد الممات، فقد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5369923_1280447820"/>
      <w:bookmarkStart w:id="472" w:name="_Toc180"/>
      <w:bookmarkEnd w:id="471"/>
      <w:r>
        <w:rPr/>
        <w:t>3</w:t>
      </w:r>
      <w:r>
        <w:rPr>
          <w:rtl w:val="true"/>
        </w:rPr>
        <w:t>)</w:t>
      </w:r>
      <w:r>
        <w:rPr>
          <w:rtl w:val="true"/>
        </w:rPr>
        <w:t>العلم الإلهيّ بالخلقة الأولى</w:t>
      </w:r>
      <w:r>
        <w:rPr>
          <w:rtl w:val="true"/>
        </w:rPr>
        <w:t>:</w:t>
      </w:r>
      <w:bookmarkEnd w:id="472"/>
    </w:p>
    <w:p>
      <w:pPr>
        <w:pStyle w:val="BookText"/>
        <w:rPr/>
      </w:pPr>
      <w:r>
        <w:rPr>
          <w:rFonts w:ascii="Amiri" w:hAnsi="Amiri" w:eastAsia="Amiri" w:cs="Amiri"/>
          <w:color w:val="111111"/>
          <w:sz w:val="28"/>
          <w:sz w:val="28"/>
          <w:szCs w:val="28"/>
          <w:rtl w:val="true"/>
          <w:lang w:bidi="ar-SA"/>
        </w:rPr>
        <w:t>العلم المطلق واللامحدود هو أحد صفات الذات الإلهيّة المباركة، فقد خلق الله تعالى الإنسان من العدم بمحض إرادته وعلمه، ومن المؤكّد أنّ هذا الخالق المبدع من العدم له القدرة على إحياء العظام وهي رميم، فكما خلقها أوّل مرّةٍ من البديهيّ أنّه غير عاجز عن إعادتها من جديدٍ؛ وهو ما أكّد عليه الكتاب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5369925_1280447820"/>
      <w:bookmarkStart w:id="474" w:name="_Toc181"/>
      <w:bookmarkEnd w:id="473"/>
      <w:r>
        <w:rPr/>
        <w:t>4</w:t>
      </w:r>
      <w:r>
        <w:rPr>
          <w:rtl w:val="true"/>
        </w:rPr>
        <w:t>)</w:t>
      </w:r>
      <w:r>
        <w:rPr>
          <w:rtl w:val="true"/>
        </w:rPr>
        <w:t xml:space="preserve">خلقة الإنسان </w:t>
      </w:r>
      <w:r>
        <w:rPr>
          <w:rtl w:val="true"/>
        </w:rPr>
        <w:t>:</w:t>
      </w:r>
      <w:bookmarkEnd w:id="47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الإنسان مستعدّاً للظهور من العدم إلى الوجود في الحياة الدنيوية في مراحل عدّة عبر التحوّل من ترابٍ إلى نطفةٍ ثمّ علقةٍ ثمّ مضغةٍ ثمّ عظامٍ يكتسي بلحمٍ وجلدٍ مع أحشاءٍ ومكوّناتٍ أخرى لا شعور لها، فهو بكلّ تأكيد مستعدٌّ لأن ينشأ من جديد في حياةٍ أخرويةٍ على وفق مراحل محدّدة؛ وهذه المراحل التي تكتنف الحياتين لا تحدث عبثاً، بل هي من تخطيط ربٍّ مدبّرٍ ذي قدرةٍ مطلقة لا </w:t>
      </w:r>
      <w:bookmarkStart w:id="475" w:name="pg16299_219598"/>
    </w:p>
    <w:p>
      <w:pPr>
        <w:pStyle w:val="BookText"/>
        <w:rPr/>
      </w:pPr>
      <w:bookmarkEnd w:id="475"/>
      <w:r>
        <w:rPr>
          <w:rFonts w:ascii="Amiri" w:hAnsi="Amiri" w:eastAsia="Amiri" w:cs="Amiri"/>
          <w:color w:val="111111"/>
          <w:sz w:val="28"/>
          <w:sz w:val="28"/>
          <w:szCs w:val="28"/>
          <w:rtl w:val="true"/>
          <w:lang w:bidi="ar-SA"/>
        </w:rPr>
        <w:t xml:space="preserve">حدّ لها، فقد جاء في الكتاب الحكيم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يَرِثُونَ الْفِرْدَوْسَ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ascii="Amiri" w:hAnsi="Amiri" w:eastAsia="Amiri" w:cs="Amiri"/>
          <w:i/>
          <w:i/>
          <w:iCs/>
          <w:color w:val="111111"/>
          <w:sz w:val="28"/>
          <w:sz w:val="28"/>
          <w:szCs w:val="28"/>
          <w:rtl w:val="true"/>
          <w:lang w:bidi="ar-SA"/>
        </w:rPr>
        <w:t>ثُمَّ إِنَّكُمْ بَعْدَ ذَلِكَ لَمَيِّتُونَ</w:t>
      </w:r>
      <w:r>
        <w:rPr>
          <w:rFonts w:ascii="Amiri" w:hAnsi="Amiri" w:eastAsia="Amiri" w:cs="Amiri"/>
          <w:color w:val="111111"/>
          <w:sz w:val="28"/>
          <w:sz w:val="28"/>
          <w:szCs w:val="28"/>
          <w:rtl w:val="true"/>
          <w:lang w:bidi="ar-SA"/>
        </w:rPr>
        <w:t xml:space="preserve"> ثُمَّ إِنَّكُمْ يَوْمَ الْقِيَامَةِ تُبْعَثُونَ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5369927_1280447820"/>
      <w:bookmarkStart w:id="477" w:name="_Toc182"/>
      <w:bookmarkEnd w:id="476"/>
      <w:r>
        <w:rPr/>
        <w:t>5</w:t>
      </w:r>
      <w:r>
        <w:rPr>
          <w:rtl w:val="true"/>
        </w:rPr>
        <w:t>)</w:t>
      </w:r>
      <w:r>
        <w:rPr>
          <w:rtl w:val="true"/>
        </w:rPr>
        <w:t xml:space="preserve">الشواهد التأريخية </w:t>
      </w:r>
      <w:r>
        <w:rPr>
          <w:rtl w:val="true"/>
        </w:rPr>
        <w:t>:</w:t>
      </w:r>
      <w:bookmarkEnd w:id="477"/>
    </w:p>
    <w:p>
      <w:pPr>
        <w:pStyle w:val="Heading6"/>
        <w:numPr>
          <w:ilvl w:val="5"/>
          <w:numId w:val="1"/>
        </w:numPr>
        <w:rPr/>
      </w:pPr>
      <w:bookmarkStart w:id="478" w:name="__RefHeading___Toc5369929_1280447820"/>
      <w:bookmarkStart w:id="479" w:name="_Toc183"/>
      <w:bookmarkEnd w:id="478"/>
      <w:r>
        <w:rPr>
          <w:rtl w:val="true"/>
        </w:rPr>
        <w:t>إشارة</w:t>
      </w:r>
      <w:bookmarkEnd w:id="479"/>
    </w:p>
    <w:p>
      <w:pPr>
        <w:pStyle w:val="BookText"/>
        <w:rPr/>
      </w:pPr>
      <w:r>
        <w:rPr>
          <w:rFonts w:ascii="IRNazanin" w:hAnsi="IRNazanin" w:eastAsia="IRNazanin"/>
          <w:color w:val="111111"/>
          <w:sz w:val="28"/>
          <w:sz w:val="28"/>
          <w:szCs w:val="28"/>
          <w:rtl w:val="true"/>
          <w:lang w:bidi="fa-IR"/>
        </w:rPr>
        <w:t>القرآن الكريم إلى جانب تأكيده على إمكانية تحقّق المعاد بعد الممات، ذكر براهين تثبت عدم استحالته، إذ اشتملت بعض آیاته مضامین تدلّ على وجود هذه الحقيقة في إطار نمطين استدلاليين، أحدهما استدلالٌ تأريخيٌّ تجريبيٌّ، والآخر عقليٌّ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شواهد تأريخية ساقها الكتاب الحكيم تدلّ على إمكانيّة الحياة بعد الممات، منها قصّة عزير الذي توفّي مع حماره لمدّة مئة عام، وإبراهيم الخليل الذي تضمّنت قصّه إحياء أربعةٍ من الطير، وأصحاب الكهف الذين مكثوا في الكهف مع كلبهم لأكثر من ثلاثمئة عام، وبقرة بني إسرائيل التي اعتمد عليها لإحياء أحد موتاهم الذي لقي حتفه قتلاً</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5369931_1280447820"/>
      <w:bookmarkStart w:id="481" w:name="_Toc184"/>
      <w:bookmarkEnd w:id="480"/>
      <w:r>
        <w:rPr>
          <w:rtl w:val="true"/>
        </w:rPr>
        <w:t xml:space="preserve">أ </w:t>
      </w:r>
      <w:r>
        <w:rPr>
          <w:rtl w:val="true"/>
        </w:rPr>
        <w:t xml:space="preserve">- </w:t>
      </w:r>
      <w:r>
        <w:rPr>
          <w:rtl w:val="true"/>
        </w:rPr>
        <w:t xml:space="preserve">عُزير </w:t>
      </w:r>
      <w:r>
        <w:rPr>
          <w:rtl w:val="true"/>
        </w:rPr>
        <w:t>(</w:t>
      </w:r>
      <w:r>
        <w:rPr>
          <w:rtl w:val="true"/>
        </w:rPr>
        <w:t>علیه السلام</w:t>
      </w:r>
      <w:r>
        <w:rPr>
          <w:rtl w:val="true"/>
        </w:rPr>
        <w:t>) :</w:t>
      </w:r>
      <w:bookmarkEnd w:id="48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صلحاء بني إسرائيل، وقيل إنّه كان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مرّ مع حماره على قرية مندرسة فتساءل مع نفسه عن كيفية خلقتها وخلقة الموتى بعد أن تبلى عظامهم ولا يبقى منهم شيء؛ فأماته الله سبحانه وتعالى مئة عام ثمّ أحياه وأحيا حماره وأعاد طعامه طازجاً طرياً وكأن لم يمض عليه قرنٌ من الزمن بحيث تصوّر أنّ النوم غلبه، فرأى من ربّه معجزةً أمست عبرةً لكلّ معتبرٍ ، فقد قال تعالى في الذكر الحكيم</w:t>
      </w:r>
      <w:r>
        <w:rPr>
          <w:rFonts w:eastAsia="IRNazanin" w:cs="IRNazanin"/>
          <w:color w:val="111111"/>
          <w:sz w:val="28"/>
          <w:szCs w:val="28"/>
          <w:rtl w:val="true"/>
          <w:lang w:bidi="fa-IR"/>
        </w:rPr>
        <w:t xml:space="preserve">: </w:t>
      </w:r>
      <w:bookmarkStart w:id="482" w:name="pg16299_219599"/>
    </w:p>
    <w:p>
      <w:pPr>
        <w:pStyle w:val="BookText"/>
        <w:rPr/>
      </w:pPr>
      <w:bookmarkEnd w:id="4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5369933_1280447820"/>
      <w:bookmarkStart w:id="484" w:name="_Toc185"/>
      <w:bookmarkEnd w:id="483"/>
      <w:r>
        <w:rPr>
          <w:rtl w:val="true"/>
        </w:rPr>
        <w:t xml:space="preserve">ب </w:t>
      </w:r>
      <w:r>
        <w:rPr>
          <w:rtl w:val="true"/>
        </w:rPr>
        <w:t xml:space="preserve">- </w:t>
      </w:r>
      <w:r>
        <w:rPr>
          <w:rtl w:val="true"/>
        </w:rPr>
        <w:t xml:space="preserve">إبراهيم الخليل </w:t>
      </w:r>
      <w:r>
        <w:rPr>
          <w:rtl w:val="true"/>
        </w:rPr>
        <w:t>(</w:t>
      </w:r>
      <w:r>
        <w:rPr>
          <w:rtl w:val="true"/>
        </w:rPr>
        <w:t>علیه السلام</w:t>
      </w:r>
      <w:r>
        <w:rPr>
          <w:rtl w:val="true"/>
        </w:rPr>
        <w:t>) :</w:t>
      </w:r>
      <w:bookmarkEnd w:id="484"/>
    </w:p>
    <w:p>
      <w:pPr>
        <w:pStyle w:val="BookText"/>
        <w:rPr/>
      </w:pPr>
      <w:r>
        <w:rPr>
          <w:rFonts w:ascii="Amiri" w:hAnsi="Amiri" w:eastAsia="Amiri" w:cs="Amiri"/>
          <w:color w:val="111111"/>
          <w:sz w:val="28"/>
          <w:sz w:val="28"/>
          <w:szCs w:val="28"/>
          <w:rtl w:val="true"/>
          <w:lang w:bidi="ar-SA"/>
        </w:rPr>
        <w:t xml:space="preserve">ذكر القرآن الكريم قصصاً عدّة حول خليل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قصّة الطير، فعلى الرغم من أنّه آمن بالمعاد والحياة بعد الممات إلّا أنّه رغب بأن تترسّخ في نفسه معرفةٌ شهوديةٌ حول هذا الأمر عن طريق مشاهدة كيفية إحياء الموتى، فأمره الله تعالى بأن يأخذ أربعةً من الطير فيقطّعهنّ ثمّ يلقي كلّ قطعة على جبل ثمّ يدعوهنّ فيرجعن إليه على حالهنّ الأوّل بإذن الله وقدرته؛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5369935_1280447820"/>
      <w:bookmarkStart w:id="486" w:name="_Toc186"/>
      <w:bookmarkEnd w:id="485"/>
      <w:r>
        <w:rPr>
          <w:rtl w:val="true"/>
        </w:rPr>
        <w:t xml:space="preserve">ج </w:t>
      </w:r>
      <w:r>
        <w:rPr>
          <w:rtl w:val="true"/>
        </w:rPr>
        <w:t xml:space="preserve">- </w:t>
      </w:r>
      <w:r>
        <w:rPr>
          <w:rtl w:val="true"/>
        </w:rPr>
        <w:t xml:space="preserve">الفتية أصحاب الكهف </w:t>
      </w:r>
      <w:r>
        <w:rPr>
          <w:rtl w:val="true"/>
        </w:rPr>
        <w:t>:</w:t>
      </w:r>
      <w:bookmarkEnd w:id="4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أصحاب الكهف هي إحدى الشواهد القرآنية التأريخية على إمكانية إحياء الموتى، ومن ثَمَّ فهي دليل على عدم استحالة وقوع المعاد في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أنّهم ناموا في كهفهم ما يقارب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حيث جاء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وَلَبِثُوا فِي كَهْفِهِمْ ثَلَاثَ مِائَةٍ سِنِينَ وَازْدَادُوا تِسْعًا</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النوم في الحقيقة هو سنخّ للموت، ولا سيّما هذه الرقدة التي دامت كلّ هذه الفترة المتمادية، حيث مكثوا في الكهف لأكثر من ثلاثة قرون مع كلبهم بإعجاز من الله العزيز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اعْتَزَلْتُمُوهُمْ وَمَا </w:t>
      </w:r>
      <w:bookmarkStart w:id="487" w:name="pg16299_219600"/>
    </w:p>
    <w:p>
      <w:pPr>
        <w:pStyle w:val="BookText"/>
        <w:rPr/>
      </w:pPr>
      <w:bookmarkEnd w:id="487"/>
      <w:r>
        <w:rPr>
          <w:rFonts w:ascii="Amiri" w:hAnsi="Amiri" w:eastAsia="Amiri" w:cs="Amiri"/>
          <w:color w:val="111111"/>
          <w:sz w:val="28"/>
          <w:sz w:val="28"/>
          <w:szCs w:val="28"/>
          <w:rtl w:val="true"/>
          <w:lang w:bidi="ar-SA"/>
        </w:rPr>
        <w:t xml:space="preserve">َعْبُدُونَ إِلَّا اللَّهَ فَأْوُوا إِلَى الْكَهْفِ يَنْشُرْ لَكُمْ رَبُّكُمْ مِنْ رَحْمَتِهِ وَيُهَيِّئْ لَكُمْ مِنْ أَمْرِكُمْ مِرْفَقًا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وَتَحْسَبُهُمْ أَيْقَاظًا وَهُمْ رُقُودٌ وَنُقَلِّبُهُمْ ذَاتَ الْيَمِينِ وَذَاتَ الشِّمَالِ وَكَلْبُهُمْ بَاسِطٌ ذِرَاعَيْهِ بِالْوَصِيدِ لَوِ اطَّلَعْتَ عَلَيْهِمْ لَوَلَّيْتَ مِنْهُمْ فِرَارًا وَلَمُلِئْتَ مِنْهُمْ رُعْبًا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5369937_1280447820"/>
      <w:bookmarkStart w:id="489" w:name="_Toc187"/>
      <w:bookmarkEnd w:id="488"/>
      <w:r>
        <w:rPr>
          <w:rtl w:val="true"/>
        </w:rPr>
        <w:t xml:space="preserve">د </w:t>
      </w:r>
      <w:r>
        <w:rPr>
          <w:rtl w:val="true"/>
        </w:rPr>
        <w:t xml:space="preserve">- </w:t>
      </w:r>
      <w:r>
        <w:rPr>
          <w:rtl w:val="true"/>
        </w:rPr>
        <w:t xml:space="preserve">قتيل بني إسرائيل </w:t>
      </w:r>
      <w:r>
        <w:rPr>
          <w:rtl w:val="true"/>
        </w:rPr>
        <w:t>:</w:t>
      </w:r>
      <w:bookmarkEnd w:id="489"/>
    </w:p>
    <w:p>
      <w:pPr>
        <w:pStyle w:val="BookText"/>
        <w:rPr/>
      </w:pPr>
      <w:r>
        <w:rPr>
          <w:rFonts w:ascii="Amiri" w:hAnsi="Amiri" w:eastAsia="Amiri" w:cs="Amiri"/>
          <w:color w:val="111111"/>
          <w:sz w:val="28"/>
          <w:sz w:val="28"/>
          <w:szCs w:val="28"/>
          <w:rtl w:val="true"/>
          <w:lang w:bidi="ar-SA"/>
        </w:rPr>
        <w:t xml:space="preserve">ذكر الله تعالى في كتابه الكريم عدداً من القصص والأحداث التأريخية حول بني إسرائيل، ومن جملتها قصّة شاب قتل ولم يُعرف قاتله، لذلك أراد سبحانه أن يريهم قدرته المطلقة وإعجازه على صعيد إحياء الموتى، فأمر نبيّهم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يطلب منهم ذبح بقرةٍ ويضربوا القتيل ببعضٍ منها كي يعود إلى الحياة ويخبرهم عمّن قتله؛ فقد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كَذَلِكَ يُحْيِي اللَّهُ الْمَوْتَى وَيُرِيكُمْ آيَاتِهِ لَعَلَّكُمْ تَعْقِلُونَ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5369939_1280447820"/>
      <w:bookmarkStart w:id="491" w:name="_Toc188"/>
      <w:bookmarkEnd w:id="490"/>
      <w:r>
        <w:rPr>
          <w:rtl w:val="true"/>
        </w:rPr>
        <w:t>-</w:t>
      </w:r>
      <w:r>
        <w:rPr>
          <w:rtl w:val="true"/>
        </w:rPr>
        <w:t xml:space="preserve">البراهين التجريبية على إمكانية المعاد </w:t>
      </w:r>
      <w:r>
        <w:rPr>
          <w:rtl w:val="true"/>
        </w:rPr>
        <w:t>:</w:t>
      </w:r>
      <w:bookmarkEnd w:id="491"/>
    </w:p>
    <w:p>
      <w:pPr>
        <w:pStyle w:val="Heading5"/>
        <w:numPr>
          <w:ilvl w:val="4"/>
          <w:numId w:val="1"/>
        </w:numPr>
        <w:rPr/>
      </w:pPr>
      <w:bookmarkStart w:id="492" w:name="__RefHeading___Toc5369941_1280447820"/>
      <w:bookmarkStart w:id="493" w:name="_Toc189"/>
      <w:bookmarkEnd w:id="492"/>
      <w:r>
        <w:rPr>
          <w:rtl w:val="true"/>
        </w:rPr>
        <w:t>إشارة</w:t>
      </w:r>
      <w:bookmarkEnd w:id="4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أثبتت بعض الشواهد التجريبية في علم النفس الغيبي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الباراسيكولوجي</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وجود الظواهر الماورائية وأكّدت على إمكانية الحياة بعد الممات، ونكتفي هنا بذكر الموارد الآتية منها </w:t>
      </w:r>
      <w:r>
        <w:rPr>
          <w:rFonts w:eastAsia="Amiri" w:cs="Amiri" w:ascii="Amiri" w:hAnsi="Amiri"/>
          <w:color w:val="111111"/>
          <w:sz w:val="28"/>
          <w:szCs w:val="28"/>
          <w:rtl w:val="true"/>
          <w:lang w:bidi="ar-SA"/>
        </w:rPr>
        <w:t xml:space="preserve">: </w:t>
      </w:r>
      <w:bookmarkStart w:id="494" w:name="pg16299_219601"/>
    </w:p>
    <w:p>
      <w:pPr>
        <w:pStyle w:val="Heading5"/>
        <w:numPr>
          <w:ilvl w:val="4"/>
          <w:numId w:val="1"/>
        </w:numPr>
        <w:rPr/>
      </w:pPr>
      <w:bookmarkStart w:id="495" w:name="__RefHeading___Toc5369943_1280447820"/>
      <w:bookmarkStart w:id="496" w:name="_Toc190"/>
      <w:bookmarkEnd w:id="494"/>
      <w:bookmarkEnd w:id="495"/>
      <w:r>
        <w:rPr/>
        <w:t>1</w:t>
      </w:r>
      <w:r>
        <w:rPr>
          <w:rtl w:val="true"/>
        </w:rPr>
        <w:t xml:space="preserve">) </w:t>
      </w:r>
      <w:r>
        <w:rPr>
          <w:rtl w:val="true"/>
        </w:rPr>
        <w:t xml:space="preserve">الوسائط الروحانية </w:t>
      </w:r>
      <w:r>
        <w:rPr>
          <w:rtl w:val="true"/>
        </w:rPr>
        <w:t>:</w:t>
      </w:r>
      <w:bookmarkEnd w:id="496"/>
    </w:p>
    <w:p>
      <w:pPr>
        <w:pStyle w:val="BookText"/>
        <w:rPr/>
      </w:pPr>
      <w:r>
        <w:rPr>
          <w:rFonts w:ascii="Amiri" w:hAnsi="Amiri" w:eastAsia="Amiri" w:cs="Amiri"/>
          <w:color w:val="111111"/>
          <w:sz w:val="28"/>
          <w:sz w:val="28"/>
          <w:szCs w:val="28"/>
          <w:rtl w:val="true"/>
          <w:lang w:bidi="ar-SA"/>
        </w:rPr>
        <w:t xml:space="preserve">الوسائط الروحانية </w:t>
      </w:r>
      <w:r>
        <w:rPr>
          <w:rStyle w:val="FootnoteAnchor"/>
          <w:rtl w:val="true"/>
        </w:rPr>
        <w:footnoteReference w:id="548"/>
      </w:r>
      <w:r>
        <w:rPr>
          <w:rFonts w:ascii="Amiri" w:hAnsi="Amiri" w:eastAsia="Amiri" w:cs="Amiri"/>
          <w:color w:val="111111"/>
          <w:sz w:val="28"/>
          <w:sz w:val="28"/>
          <w:szCs w:val="28"/>
          <w:rtl w:val="true"/>
          <w:lang w:bidi="ar-SA"/>
        </w:rPr>
        <w:t xml:space="preserve">هي إحدى الشواهد التجريبية على إمكانية تحقّق الحياة بعد الممات، فهناك أشخاص يدّعون أنّهم قادرون على الارتباط بالأرواح ونقل كلامهم إلى الأحياء؛ وهناك نوعان من هذا الارتباط، أحدهما يتمّ عن طريق القوّة الذهنية والآخر عبر التنصّت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استراق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يعبّر عنه بإحضار الأرواح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الوسيط الذي يقوم بالارتباط الذهني يجلس بسكينة على كرسيٍّ ويغلق عينيه، وبعد مدّةٍ يبدأ بالشخير أو إخراج أصواتٍ غير مفهومة فتكتنفه حالةٌ وكأنّه في نوم عميق لكنّه غير مستقرّ بحيث يتصوّر من يشاهده بأنّه يرى في المنام كابوساً مزعجاً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دقائق عدّة يهدأ مرّةً أخرى ويبدأ بالهمس والتلفّظ بكلماتٍ بصوتٍ منخفضٍ، ثمّ شيئاً فشيئاً ينطلق لسانه ويرتفع صوته بالكلام بحيث تتغيّر حالته ونبرة صوته وتبدو في كلامه أحياناً عبارات غير متعارفةٍ عنه وكأنّ شخصاً آخر قد حلّ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الشخصية الجديدة بإمكانها التحدّث مع من حولها طوال ساعةٍ كاملةٍ أو أكثر، ومن ثمّ تبدأ بالاضمحلال تدريجياً فتطوي المراحل السابقة نفسها ليعود الوسيط إلى وضعه الطبيعي مرّةً أخرى، ولكنّه ينسى كلّ ما جرى عليه ولا يعرف كيف حدث ذلك وكأنّما رأى طيفاً في المنام فحسب ثمّ نسيه بالكامل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وسائط روحانية بإمكانها التنصّت إلى الأرواح مرّاتٍ عدّة، وفي كلّ مرّةٍ تتلبّس بها نفس الشخصيّة الغيبيّة التي سيطرت عليها ، وهذه الشخصيّة تتّصف بذات الصفات من حيث السلوك ونبرة الصوت والاسم المفترض في جميع الأحيان، ويطلق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تسيطر على الوسيط الذي أحضرها، وهذا الوسيط في معظم الأحيان عبارة عن جسرِ رابط بين الحاضرين في المجلس والروح التي يتمّ إحضارها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97" w:name="pg16299_219602"/>
    </w:p>
    <w:p>
      <w:pPr>
        <w:pStyle w:val="BookText"/>
        <w:rPr/>
      </w:pPr>
      <w:bookmarkEnd w:id="497"/>
      <w:r>
        <w:rPr>
          <w:rFonts w:ascii="Amiri" w:hAnsi="Amiri" w:eastAsia="Amiri" w:cs="Amiri"/>
          <w:color w:val="111111"/>
          <w:sz w:val="28"/>
          <w:sz w:val="28"/>
          <w:szCs w:val="28"/>
          <w:rtl w:val="true"/>
          <w:lang w:bidi="ar-SA"/>
        </w:rPr>
        <w:t>إن افترضنا صدق هذه الشواهد التجريبية وأذعنّا بأنّها ليست من أفعال المحتالين والنصّابين، لكن مع ذلك يحتمل أنّها تبدر من أولئك الذين يمتلكون شخصيات مزدوجة، لذا من الطبيعيّ بمكان اعتبار أنّ الشخصية المسيطرة على الوسيط هي شخصيته النفسية الثانية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يمكننا اعتبار بعض هذه التصرفات نمطاً من أنماط تداعي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وهو بمعنى تبادل الأفكار والمشاعر، أو تعرّف شخص إلى آخر من دون استخدام أيٍّ من المدارك التقليديّة المتعارفة كالسمع والبصر والشم والتذوق واللمس ؛ ويسمّى أحياناً قراءة الأذهان أو قراءة الأفكار، وهذا الأمر برأي علماء النفس ممكن حسب القوانين الطبيعية لكونه عملاً غير مرتبط بإحضار الأرواح ولا صلة له بعالم الماورائيات، بل كما قلنا فهو عبارةٌ عن قراءة أفكار الآخرين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5369945_1280447820"/>
      <w:bookmarkStart w:id="499" w:name="_Toc191"/>
      <w:bookmarkEnd w:id="498"/>
      <w:r>
        <w:rPr/>
        <w:t>2</w:t>
      </w:r>
      <w:r>
        <w:rPr>
          <w:rtl w:val="true"/>
        </w:rPr>
        <w:t>)</w:t>
      </w:r>
      <w:r>
        <w:rPr>
          <w:rtl w:val="true"/>
        </w:rPr>
        <w:t xml:space="preserve">تجربة الموت والعودة إلى الحياة </w:t>
      </w:r>
      <w:r>
        <w:rPr>
          <w:rtl w:val="true"/>
        </w:rPr>
        <w:t>:</w:t>
      </w:r>
      <w:bookmarkEnd w:id="499"/>
    </w:p>
    <w:p>
      <w:pPr>
        <w:pStyle w:val="BookText"/>
        <w:rPr/>
      </w:pPr>
      <w:r>
        <w:rPr>
          <w:rFonts w:ascii="Amiri" w:hAnsi="Amiri" w:eastAsia="Amiri" w:cs="Amiri"/>
          <w:color w:val="111111"/>
          <w:sz w:val="28"/>
          <w:sz w:val="28"/>
          <w:szCs w:val="28"/>
          <w:rtl w:val="true"/>
          <w:lang w:bidi="ar-SA"/>
        </w:rPr>
        <w:t xml:space="preserve">هناك كثير من الحالات التي يتجرع الناس فيها الموت مؤقّتاً ثمّ تنبعث في أجسادهم الحياة من جديد، </w:t>
      </w:r>
      <w:r>
        <w:rPr>
          <w:rStyle w:val="FootnoteAnchor"/>
          <w:rtl w:val="true"/>
        </w:rPr>
        <w:footnoteReference w:id="552"/>
      </w:r>
      <w:r>
        <w:rPr>
          <w:rFonts w:ascii="Amiri" w:hAnsi="Amiri" w:eastAsia="Amiri" w:cs="Amiri"/>
          <w:color w:val="111111"/>
          <w:sz w:val="28"/>
          <w:sz w:val="28"/>
          <w:szCs w:val="28"/>
          <w:rtl w:val="true"/>
          <w:lang w:bidi="ar-SA"/>
        </w:rPr>
        <w:t>وهذه الظاهرة هي شاهد آخر من شواهد علم النفس الغيبي على إمكانية الحياة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نسمع أنّ شخصاً حلّ به الموت من الناحية الطبّية، إذ يتوقّف قلبه عن الخفقان ويسكن مخّه عن النشاط الفكري، لكنّه بعد ذلك يسترجع قواه وتسري الحياة في بدنه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الذين خاضوا هذه التجربة الفريدة من نوعها ذكروا حقائق تختلف بالكامل عن الحقائق المادية التي يدركها الأحياء، ويمكن بيانها بشكل إجمالي بغضّ النظر عن التفاصيل كما يأتي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الشعور بخروج الروح من البدن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تحليق الروح في الأفق الذي يعلو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أصواتٍ 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الشعور بقوّة تدفع الروح للدخول في نفقٍ 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الولوج في عالمٍ نورانيٍّ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الأهل والأصدقاء الذين وافتهم المنية سابقاً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كائنٍ نورانيٍّ يدخل السرور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طيّ هذه المراحل، تشعر الروح باقترابها من الحياة الدنيوية مرّةً أخرى، فتعود إلى البدن الذي تتنشّط أعضاؤه المادية من جديد، فيخفق القلب وتجري الدماء في العروق والشرايين ويعود النشاط للمخّ ليستعيد إدراكه ومشاعره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هذه التجربة يطرحون تفسيراً آخر للموت يختلف عمّا يتصوّره من لم يخوضها، كما أنّهم لا يخشونه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الاستدلال على إمكانية الحياة بعد الممات على أساس هذه الظاهرة الفريدة فيمكن تقريره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خاضوا هذه التجربة ذكروا أموراً منطبقةً مع بعضها رغم أنّهم من أماكن شتّى وواجهوا الموت في أزمنة مختلفة، وهذا الانطباق بذاته دليل على حقيقة خروج الروح من البدن وولوجها في عالمٍ آخر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 بعض العلماء على أنّ التجارب الإدراكيّة لهذا الموت المؤقت قد تحصّلت للميّت عن طريقٍ آخر يختلف عن معلوماته التي يحصل عليها بواسطة مدركاته العقليّة والحسّية، وهذه الظاهرة الإدراكيّة تدلّ بوضوح على عدم تدخّل أيّ عضو من أعضاء البدن في تحقّقها، وبما في ذلك العقل؛ ويمكن القول إنّ الروح قد واصلت إدراكها الذاتي بعد انفصالها عن البدن؛ مما يعني بقاءها بعد زوال البدن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500" w:name="pg16299_219604"/>
    </w:p>
    <w:p>
      <w:pPr>
        <w:pStyle w:val="Heading5"/>
        <w:numPr>
          <w:ilvl w:val="4"/>
          <w:numId w:val="1"/>
        </w:numPr>
        <w:rPr/>
      </w:pPr>
      <w:bookmarkStart w:id="501" w:name="__RefHeading___Toc5369947_1280447820"/>
      <w:bookmarkStart w:id="502" w:name="_Toc192"/>
      <w:bookmarkEnd w:id="500"/>
      <w:bookmarkEnd w:id="501"/>
      <w:r>
        <w:rPr/>
        <w:t>3</w:t>
      </w:r>
      <w:r>
        <w:rPr>
          <w:rtl w:val="true"/>
        </w:rPr>
        <w:t xml:space="preserve">) </w:t>
      </w:r>
      <w:r>
        <w:rPr>
          <w:rtl w:val="true"/>
        </w:rPr>
        <w:t xml:space="preserve">التجارب الخارجة عن البدن </w:t>
      </w:r>
      <w:r>
        <w:rPr>
          <w:rtl w:val="true"/>
        </w:rPr>
        <w:t>(</w:t>
      </w:r>
      <w:r>
        <w:rPr>
          <w:rtl w:val="true"/>
        </w:rPr>
        <w:t>الخلع</w:t>
      </w:r>
      <w:r>
        <w:rPr>
          <w:rtl w:val="true"/>
        </w:rPr>
        <w:t>):</w:t>
      </w:r>
      <w:bookmarkEnd w:id="502"/>
    </w:p>
    <w:p>
      <w:pPr>
        <w:pStyle w:val="BookText"/>
        <w:rPr/>
      </w:pPr>
      <w:r>
        <w:rPr>
          <w:rFonts w:ascii="Amiri" w:hAnsi="Amiri" w:eastAsia="Amiri" w:cs="Amiri"/>
          <w:color w:val="111111"/>
          <w:sz w:val="28"/>
          <w:sz w:val="28"/>
          <w:szCs w:val="28"/>
          <w:rtl w:val="true"/>
          <w:lang w:bidi="ar-SA"/>
        </w:rPr>
        <w:t>التجارب الخارجة عن البدن</w:t>
      </w:r>
      <w:r>
        <w:rPr>
          <w:rStyle w:val="FootnoteAnchor"/>
          <w:rtl w:val="true"/>
        </w:rPr>
        <w:footnoteReference w:id="554"/>
      </w:r>
      <w:r>
        <w:rPr>
          <w:rFonts w:ascii="Amiri" w:hAnsi="Amiri" w:eastAsia="Amiri" w:cs="Amiri"/>
          <w:color w:val="111111"/>
          <w:sz w:val="28"/>
          <w:sz w:val="28"/>
          <w:szCs w:val="28"/>
          <w:rtl w:val="true"/>
          <w:lang w:bidi="ar-SA"/>
        </w:rPr>
        <w:t>يعبّر عنها في الفكر الإسلامي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تضرب بجذورها في العهود السالفة حيث طرحت من قبل الفلاسفة والعلماء القدامى ومن جملتهم أفلوطين </w:t>
      </w:r>
      <w:r>
        <w:rPr>
          <w:rStyle w:val="FootnoteAnchor"/>
          <w:rtl w:val="true"/>
        </w:rPr>
        <w:footnoteReference w:id="555"/>
      </w:r>
      <w:r>
        <w:rPr>
          <w:rFonts w:ascii="Amiri" w:hAnsi="Amiri" w:eastAsia="Amiri" w:cs="Amiri"/>
          <w:color w:val="111111"/>
          <w:sz w:val="28"/>
          <w:sz w:val="28"/>
          <w:szCs w:val="28"/>
          <w:rtl w:val="true"/>
          <w:lang w:bidi="ar-SA"/>
        </w:rPr>
        <w:t>وشيخ الإشراق</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علماء الباراسيكولوجيا وبعض العرفاء والفلاسفة يعتقدون بأنّ ما يخرج من البدن عن طريق الخلع ويواصل الحياة، هو أمر ليس مادّياً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الشواهد التجريبية البحتة عاجزةٌ عن إثبات الحياة بعد الموت بالبرهان القاطع نظراً لعدم اكتمال مقوّماتها المعرفية، ولكن يمكن الاعتماد عليها بوصفها قرائن تفيد الظنّ</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5369949_1280447820"/>
      <w:bookmarkStart w:id="504" w:name="_Toc193"/>
      <w:bookmarkEnd w:id="503"/>
      <w:r>
        <w:rPr>
          <w:rtl w:val="true"/>
        </w:rPr>
        <w:t xml:space="preserve">- </w:t>
      </w:r>
      <w:r>
        <w:rPr>
          <w:rtl w:val="true"/>
        </w:rPr>
        <w:t xml:space="preserve">الأدلّة العقليّة لإثبات المعاد </w:t>
      </w:r>
      <w:r>
        <w:rPr>
          <w:rtl w:val="true"/>
        </w:rPr>
        <w:t>:</w:t>
      </w:r>
      <w:bookmarkEnd w:id="504"/>
    </w:p>
    <w:p>
      <w:pPr>
        <w:pStyle w:val="Heading5"/>
        <w:numPr>
          <w:ilvl w:val="4"/>
          <w:numId w:val="1"/>
        </w:numPr>
        <w:rPr/>
      </w:pPr>
      <w:bookmarkStart w:id="505" w:name="__RefHeading___Toc5369951_1280447820"/>
      <w:bookmarkStart w:id="506" w:name="_Toc194"/>
      <w:bookmarkEnd w:id="505"/>
      <w:r>
        <w:rPr>
          <w:rtl w:val="true"/>
        </w:rPr>
        <w:t>إشارة</w:t>
      </w:r>
      <w:bookmarkEnd w:id="506"/>
    </w:p>
    <w:p>
      <w:pPr>
        <w:pStyle w:val="BookText"/>
        <w:rPr/>
      </w:pPr>
      <w:r>
        <w:rPr>
          <w:rFonts w:ascii="Amiri" w:hAnsi="Amiri" w:eastAsia="Amiri" w:cs="Amiri"/>
          <w:color w:val="111111"/>
          <w:sz w:val="28"/>
          <w:sz w:val="28"/>
          <w:szCs w:val="28"/>
          <w:rtl w:val="true"/>
          <w:lang w:bidi="ar-SA"/>
        </w:rPr>
        <w:t xml:space="preserve">كما ذكرنا آنفاً فالقرآن الكريم إضافةً إلى أنّه ساق شواهد تأريخيةً لإثبات المعاد وإمكانية الحياة بعد الموت، فقد استدلّ بأساليب منطقية مبرهنة على هذه الحقيقة، ومن ضمنها برهان بقاء الروح والحكمة والعدل والرحمة، وفيما يأتي نتطرّق إلى بيانها </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5369953_1280447820"/>
      <w:bookmarkStart w:id="508" w:name="_Toc195"/>
      <w:bookmarkEnd w:id="507"/>
      <w:r>
        <w:rPr>
          <w:rtl w:val="true"/>
        </w:rPr>
        <w:t xml:space="preserve">* </w:t>
      </w:r>
      <w:r>
        <w:rPr>
          <w:rtl w:val="true"/>
        </w:rPr>
        <w:t>البرهان الأوّل</w:t>
      </w:r>
      <w:r>
        <w:rPr>
          <w:rtl w:val="true"/>
        </w:rPr>
        <w:t xml:space="preserve">: </w:t>
      </w:r>
      <w:r>
        <w:rPr>
          <w:rtl w:val="true"/>
        </w:rPr>
        <w:t>بقاء الروح وتجرّدها</w:t>
      </w:r>
      <w:r>
        <w:rPr>
          <w:rtl w:val="true"/>
        </w:rPr>
        <w:t>:</w:t>
      </w:r>
      <w:bookmarkEnd w:id="50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الإنسان يمتلك جسماً مادّياً مكوّناً من أنسجة وخلايا لا تنفكّ عن التغيير والتحوّل، فهو يمتلك روحاً مجرّدةً ثابتةً لا يطرأ عليها التغيير والتحوّل، لذا فهي معيار هويته ووحدته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أنّ الروح المجرّدة هي الميزة الأساسية التي يتصف بها كلّ كائن غير مادّيٍّ، لذا يتمّ على أساسها تفسير واقع الحياة بعد الممات بالنسبة إلى البشر، وقد ذكر علماء الفلسفة عدداً من البراهين لإثبات تجرّد الروح وخلودها، وأحد هذه البراهين أنّ الإنسان ذا البدن المادّيّ له حقيقةٌ باطنيةٌ يدركها بنفسه وهي التي تتمثّل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يتحقّق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ويطرأ التغيير الكمّي والنوعي على الأعضاء والجوارح وسائر خلايا البدن المادّي من خلال التجارب الباطنيّة أو الخارجيّة، ولو افترضنا أنّ وجود الإنسان ليس سوى أعضائه المادّية، فلا بدّ من افتراض أنّ وجود زيدٍ قبل سنواتٍ يختلف عن وجوده اليوم، وبالطبع سوف يكون مختلفاً في مستقبل حياته؛ في حين أنّ الواقع غير هذا التصوّر تماماً، فزيد هو هو منذ أن ولدته أمّه حتّى مماته رغم كلّ التغييرات البدنيّة التي طرأت عليه طوال فترة حياته، أي إنّ هويته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هوهويته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بذاتها من دون أن يكتنفها أيّ تغيير، وهو يدرك بالوجدان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هذا الثبوت النفسي الشخصي دليل على وجود حقيقةٍ في ماوراء الوجود المادّي، وهي ليست سوى الروح المجرّدة التي لا يكتنفها التغيير والتحوّل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حسين الطباطبائي على ما ذكر في إطار بحث فلسفيٍّ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النفس مجرّدة عن المادّة؟ ونعني بالنفس ما يحكي عنه كلّ واحد منا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وبتجرّدها عدم كونها أمراً مادياً ذا انقسامٍ و زمانٍ ومكانٍ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لا نشكّ في أنّا نجد من أنفسنا مشاهدة معنى نحكي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نشكّ أنّ كلّ إنسان هو مثلنا في هذه المشاهدة التي لا نغفل عنه حيناً من أحيان حياتنا وشعورنا، وليس هو شيئاً من أعضائنا وأجزاء بدننا التي نشعر بها بالحسّ أو بنحو من الاستدلال كأعضائنا الظاهرة المحسوسة بالحواسّ الظاهرة من البصر واللمس ونحو ذلك؛ وأعضائنا الباطنة التي عرفناها بالحسّ و التجربة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فإنّا ربّما نغفل عن كل واحدٍ منها وعن كل مجموعٍ منها حتى عن مجموعها التامّ الذي نسمّيه بالبدن، ولا نغفل قطّ عن المشهود الذي نعبّر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غير البدن وغير أجزائه وأيضاً لو كان هو البدن أو شيئاً من أعضائه أو أجزائه، أو خاصّةً من الخواصّ الموجود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جميعاً مادّية ومن حكم المادة التغيّر التدريجي وقبول الانقسام والتجزّي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مادّياً متغيّراً وقابلاً للانقسام؛ وليس كذلك، فإنّ كلّ أحدٍ إذا رجع إلى هذه المشاهدة النفسانية اللازمة لنفسه وذكر ما كان يجده من هذه المشاهدة منذ أوّل شعوره بنفسه، وجده معنى مشهوداً واحداً باقياً على حاله من غير أدنى تعدّدٍ وتغيّر، كما يجد بدنه وأجزاء بدنه والخواصّ الموجودة معها متغيّرةً متبدلةً من كلّ جهة في مادّتها وشكلها وسائر أحوالها وصورها، وكذا وجده معنىً بسيطاً غير قابل للانقسام والتجزّي، كما يجد البدن وأجزاءه وخواصه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مادةٍ وأمرٍ مادّي كذلك فليست النفس هي البدن، ولا جزءاً من أجزائه، ولا خاصّةً من خواصّه، سواء أدركناه بشيءٍ من الحواسّ أو بنحو من الاستدلال، أو لم ندرك؛ فإنّها جميعاً مادّية كيفما فرضت ومن حكم المادّة التغيّر وقبول الانقسام، والمفروض أن ليس في مشهودنا المسمّى بالنفس شيء من هذه الأحكام، فليست النفس بمادّيةٍ بوجهٍ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هذا الذي نشاهده نشاهده أمراً واحداً بسيطاً ليس فيه كثرة من الأجزاء ولا خليطٌ من خارج، بل هو واحدٌ صرفٌ، فكلّ إنسان يشاهد ذلك من نفسه ویری أنّه هو وليس بغيره ؛ فهذا المشهود أمرٌ مستقلٌّ في نفسه لا ينطبق عليه حدّ المادة ولا يوجد فيه شيءٌ من أحكامها اللازمة، فهو جوهر مجرّد عن المادة متعلّق بالبدن نحو تعلّقٍ يوجب اتّحاداً ما له بالبدن، وهو التعلّق التدبيري؛ وهو المطلوب</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برهان آخر على تجرّد الروح وعدم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الحالات النفسية التي تكتنف الإنسان، كالعلم والشعور والإرادة، لا تتّصف بميزاتٍ مادّيةٍ كالتقسيم والتوسّع في الحجم؛ وكذا هو الحال بالنسبة إلى الروح التي هي أساس الحالات </w:t>
      </w:r>
    </w:p>
    <w:p>
      <w:pPr>
        <w:pStyle w:val="BookText"/>
        <w:rPr/>
      </w:pPr>
      <w:r>
        <w:rPr>
          <w:rFonts w:ascii="Amiri" w:hAnsi="Amiri" w:eastAsia="Amiri" w:cs="Amiri"/>
          <w:color w:val="111111"/>
          <w:sz w:val="28"/>
          <w:sz w:val="28"/>
          <w:szCs w:val="28"/>
          <w:rtl w:val="true"/>
          <w:lang w:bidi="ar-SA"/>
        </w:rPr>
        <w:t>النفسية، فهي في الحقيقة عاريةٌ عن كلّ ميزةٍ مادّيةٍ؛ لذا يكون وجودها مجرّداً عن المادّة بالكامل</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نذكر برهاناً ثالثاً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نتأمّل في باطننا فنحن نتمعّن في حقيقة الأنا، وإثر ذلك ندرك أنّها أمرٌ بسيطٌ غير قابل للتقسيم لجزئين أو أكثر؛ في حين أنّ أهمّ ميزةٍ تختصّ بها الأجسام هي قابليتها للتقسيم إلى أجزاء، بل وحتّى أجزاؤها يمكن أن تنقسم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،الروح التي هي أخصّ الخصوصيات للبدن لا يمكن تقسيمها بوجه، وعلى هذا الأساس فهي لا بدّ من أن تكون مجرّدةً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نسوق برهاناً رابعاً حول الموضوع وهو ما يعرف ببرهان الهواء الطلق الذي طرحه الحكيم ابن سينا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تواجد شخصٌ في مكانٍ منعزل عن العالم الخارجي بالكامل بحيث ليس هناك ما يجذب انتباهه من الأشياء في الخارج بحيث نتصوّره وهو في وضعٍ خاصٍّ ولا يتأمّل بأيّ عضو من أعضاء بدنه المادّي ولا يكتنفه شعورٌ خاص من قبيل الجوع أو العطش أو الحرّ أو البرد أو الألم، وفي الوقت ذاته يكون الهواء هادئاً تماماً كي لا يثير هواجسه؛ فما يدركه في هذه الحالة 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فيشعر بنفسه من دون أن يلتفت إلى أيّ عضو من أعضائه أو جارحةٍ من جوارحه أي إنّ ما يدركه هنا يختلف عمّا لا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نقول إنّ النفس غير البدن المادّي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ابن سينا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بماذا تدرك حينئذٍ وقبله وبعده ذاتك؟ وما المدرك من ذاتك؟ أترى المدرك منك أحد مشاعرك مشاهدةً أم عقلك وقوّة غير مشاعرك وما يناسبها ؟ فإن كان عقلك وقوّة مشاعرك بها تدرك ، أفبوسطٍ تدرك أم بغير وسط ؟ ما </w:t>
      </w:r>
    </w:p>
    <w:p>
      <w:pPr>
        <w:pStyle w:val="BookText"/>
        <w:rPr/>
      </w:pPr>
      <w:r>
        <w:rPr>
          <w:rFonts w:ascii="Amiri" w:hAnsi="Amiri" w:eastAsia="Amiri" w:cs="Amiri"/>
          <w:color w:val="111111"/>
          <w:sz w:val="28"/>
          <w:sz w:val="28"/>
          <w:szCs w:val="28"/>
          <w:rtl w:val="true"/>
          <w:lang w:bidi="ar-SA"/>
        </w:rPr>
        <w:t>أظنّك تفتقر في ذلك حينئذ إلى وسط، فإنّه لا 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أن تدرك ذاتك من غير افتقار إلى قوّةٍ أخرى وإلى وسط، فبقي أن يكون بمشاعرك أو بباطنك بلا وسط ؛ ثمّ انظر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بدوره أكّد على استقرار الروح وثبوتها، وأشار إلى أنّ البدن مخلوق من تراب بحيث يبلى ويندرس في الحياة الدنيا؛ لذلك اعتبر الموت انتقالاً من عالم إلى آخر وليس فناءً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الإنسان من وجهة نظر الكتاب الحكيم حقيقة باقية بعد فناء البدن المادّي، والآيات الآتية تصرح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509" w:name="pg16299_219609"/>
    </w:p>
    <w:p>
      <w:pPr>
        <w:pStyle w:val="Heading5"/>
        <w:numPr>
          <w:ilvl w:val="4"/>
          <w:numId w:val="1"/>
        </w:numPr>
        <w:rPr/>
      </w:pPr>
      <w:bookmarkStart w:id="510" w:name="__RefHeading___Toc5369955_1280447820"/>
      <w:bookmarkStart w:id="511" w:name="_Toc196"/>
      <w:bookmarkEnd w:id="509"/>
      <w:bookmarkEnd w:id="510"/>
      <w:r>
        <w:rPr>
          <w:rtl w:val="true"/>
        </w:rPr>
        <w:t xml:space="preserve">* </w:t>
      </w:r>
      <w:r>
        <w:rPr>
          <w:rtl w:val="true"/>
        </w:rPr>
        <w:t>البرهان الثاني</w:t>
      </w:r>
      <w:r>
        <w:rPr>
          <w:rtl w:val="true"/>
        </w:rPr>
        <w:t xml:space="preserve">: </w:t>
      </w:r>
      <w:r>
        <w:rPr>
          <w:rtl w:val="true"/>
        </w:rPr>
        <w:t>الحكمة</w:t>
      </w:r>
      <w:r>
        <w:rPr>
          <w:rtl w:val="true"/>
        </w:rPr>
        <w:t>:</w:t>
      </w:r>
      <w:bookmarkEnd w:id="511"/>
    </w:p>
    <w:p>
      <w:pPr>
        <w:pStyle w:val="BookText"/>
        <w:rPr/>
      </w:pPr>
      <w:r>
        <w:rPr>
          <w:rFonts w:ascii="Amiri" w:hAnsi="Amiri" w:eastAsia="Amiri" w:cs="Amiri"/>
          <w:color w:val="111111"/>
          <w:sz w:val="28"/>
          <w:sz w:val="28"/>
          <w:szCs w:val="28"/>
          <w:rtl w:val="true"/>
          <w:lang w:bidi="ar-SA"/>
        </w:rPr>
        <w:t>من المسائل التي تمّ إثباتها في مباحث علم اللاهوت وأفعال الله تعالى، أنّ الخلقة بشكل عام ولا سيّما خلقة الإنسان ذات هدفٍ معيّنٍ؛ ولمّا كانت ذات البارئ سبحانه وتعالى عين الخير والكمال، فعالم الخلقة لابدّ من أن يكون قد أوجد على هذا الأساس بغية بلوغ هاتين الخصلتين الساميتين بصفتها غايةً للخلقة؛ ناهيك عن أنّ مقتضى الحكمة الإلهيّة هو بلوغ الكائنات هذه الغاية كلٌّ حسب شأنه ومنزلته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الإنسان لها الاستعداد لنيل الكمال الأبدي، لكنّ هذه القابلية لا يمكن أن تتجلّى بشكلها الحقيقي في البدن المادّي الكائن في عالم الطبيعة الزاخر بالتعارض والاختلاف؛ وبما أنّ الحكمة الإلهيّة تقتضي بلوغه الكمال، فلا بدّ من تحقّق هذا الكمال في عالمٍ آخر غير عالم المادّة ، ألا وهو عالم الحياة بعد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برهان الحكمة يثبت لنا أنّ العالم المادّي المؤقّت ليس وعاءً لتحقّق الكمال، بل العالم الأخروي المجرّد الأبدي هو الذي يفسح المجال لتحقّق هذه الغاية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هنا أنّ الفعل الحكيم حقاًّ هو ما كانت نتيجته أكثر قيمةً منه، فبناء معملٍ إنتاجيٍّ على سبيل المثال إنّما يتمّ بالاعتماد على رؤوس الأموال والأيدي العاملة وبإشراف مهندسين مختصّين، والهدف منه بطبيعة الحال هو تحقيق نفع مادّيّ، أي إنّ نتيجة هذه الجهود أهمّ وأكثر قيمةً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العائدات التي تكتسب هذا المشروع الصناعي أقلّ نسبةً من رؤوس الأموال التي أُنفقت لبنائه، فمن المؤكّد أنّه عبثيٌّ ولا نفع فيه لكونه إتلافاً للمال والجهود، فهو نظير سائر الأفعال الحمقاء التي يمجّها العقل السليم ولا فرق بينه وبين الخبير الذي يطوّر جهاز الحاسوب ويزوّده بتقنيةٍ تفوق التقنية المعاصرة ومن ثمّ يحرقه ولا يبقي منه شيئاً ؛ فما فائدة اختراعه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بكلّ تأكيد ارتكب عملاً غير عقلاني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الحكيم العليم خلق الكون بحكمته وعلمه وأودع في نفس أفضل خلقه </w:t>
      </w:r>
      <w:bookmarkStart w:id="512" w:name="pg16299_219610"/>
    </w:p>
    <w:p>
      <w:pPr>
        <w:pStyle w:val="BookText"/>
        <w:rPr/>
      </w:pPr>
      <w:bookmarkEnd w:id="512"/>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أسراراً عظيمةً وجعل له غايةً ساميةً، لذا فهو منزّه من العبثية وليس من الصواب بمكان تصوّر أنّه خلق الكائنات كي تفنى وتنعدم، فحكمته على خلاف هذا الزعم الواهي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القرآن الكريم إلى الحكمة من المعاد والحياة الأخروية ،ومن ذلك ما تضمّنته الآيات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لَبِثْنَا يَوْمًا أَوْ بَعْضَ يَوْمٍ فَاسْأَلِ الْعَادِّينَ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لَبِثْتُمْ إِلَّا قَلِيلًا لَوْ أَنَّكُمْ كُنْتُمْ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 w:name="__RefHeading___Toc5369957_1280447820"/>
      <w:bookmarkStart w:id="514" w:name="_Toc197"/>
      <w:bookmarkEnd w:id="513"/>
      <w:r>
        <w:rPr>
          <w:rtl w:val="true"/>
        </w:rPr>
        <w:t xml:space="preserve">* </w:t>
      </w:r>
      <w:r>
        <w:rPr>
          <w:rtl w:val="true"/>
        </w:rPr>
        <w:t xml:space="preserve">البرهان الثالث </w:t>
      </w:r>
      <w:r>
        <w:rPr>
          <w:rtl w:val="true"/>
        </w:rPr>
        <w:t>:</w:t>
      </w:r>
      <w:r>
        <w:rPr>
          <w:rtl w:val="true"/>
        </w:rPr>
        <w:t xml:space="preserve">العدل </w:t>
      </w:r>
      <w:r>
        <w:rPr>
          <w:rtl w:val="true"/>
        </w:rPr>
        <w:t>:</w:t>
      </w:r>
      <w:bookmarkEnd w:id="514"/>
    </w:p>
    <w:p>
      <w:pPr>
        <w:pStyle w:val="BookText"/>
        <w:rPr/>
      </w:pPr>
      <w:r>
        <w:rPr>
          <w:rFonts w:ascii="Amiri" w:hAnsi="Amiri" w:eastAsia="Amiri" w:cs="Amiri"/>
          <w:color w:val="111111"/>
          <w:sz w:val="28"/>
          <w:sz w:val="28"/>
          <w:szCs w:val="28"/>
          <w:rtl w:val="true"/>
          <w:lang w:bidi="ar-SA"/>
        </w:rPr>
        <w:t xml:space="preserve">يمكن تقسيم الناس من حيث الأفعال الإرادية إلى فئتين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الفئة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يسخّرون حياتهم في عبادة الله تعالى وخدمة بني جلدتهم بصدقٍ وإخلاص ويمتثلون لأداء كلّ عمٍل صالحٍ، وفي الحين ذاته يجتنبون ارتكاب المعاصي والأفعال القبيحة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الفئة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يسخّرون حياتهم في الملذّات الدنيوية والأعمال الشيطانية ولا يتورّعون عن فعل أيّ قبيحٍ وعملٍ 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معلومٌ فالحياة الدنيا ليست دار حسابٍ عادلٍ، حيث لا ينال فيها المحسنون ثواب أعمالهم ولا يطال المسيئين جزاء أفعالهم ، فالإنسان في هذه الدنيا غير مستعدٍّ لأن يحاسب بعدلٍ عن جميع حركاته وسكناته، كما أنّ الدنيا نفسها ليست مقرّاً توزن فيه الأعمال؛ لذا فإنّ مقتضى العدل الإلهيّ في حساب الناس على ما بدر منهم لا بدّ وأن يتحقّق في الحياة الآخرة التي هي وعاءٌ مناسبٌ لإقامة العدل عبر إثابة الصالحين ومعاقبة المجرمين في كلّ ما بدر منهم طوال حياتهم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مبدأ العدل الإلهيّ يثبت ضرورة وجود حياةٍ بعد الممات في عالمٍ آخر تتجلّى فيه جميع الحقائق بكلّ صورها، ولا يختلف اثنان في أنّ الله العزيز الحكيم لا يمكن وأن يظلم أحداً بتاتاً، لذا يكون مصير الإنسان في حياته الأخروية منوطاً بأعماله الدنيويّة التي يؤدّيها بمحض اختياره ، فهو لا يفعل الخير ولا يرتكب الشرّ إلّا برغبته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 هو السبب الأساسي الذي يجعل بعض الناس يلهثون وراء الملذّات الفانية والأهواء النفسانيّة، وفي الحين ذاته يكون وازعاً للبعض الآخر في السيطرة على جموح النفس وشهواتها والقيام بالأعمال الصالحة التي يرتضيها الشرع والعقل لكونهم سلكوا سبيل الرحمن بمحض إرادتهم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سلكوا سبيل الشيطان بإرادتهم واختيارهم، لا يتورّعون عن فعل أيّ قبيحٍ ومنكرٍ، بل لا تأبى أنفسهم ظلم الآخرين وسلب حقوقهم، ومعظم هؤلاء عادةً ما يعيشون حياةً مرفّهةً ملؤها الفجور والمجون والقليل النادر منهم يصحو من غفلته ويتوب إلى ربّه؛ لكن أكثرهم لا ينفكّون عن الآثام والمعاصي حتّى يحلّ أجلهم دون أن يطالهم أيّ عقاب دنيويٍّ جرّاء ما ارتكبوا، وحتّى الذين يحاكمون ويعاقبون في الحياة الدنيا فإنّهم لا ينالون جزاءهم العادل مطلقاً، إذ إنّ مجرم الحرب الذي أزهق أرواح </w:t>
      </w:r>
    </w:p>
    <w:p>
      <w:pPr>
        <w:pStyle w:val="BookText"/>
        <w:rPr/>
      </w:pPr>
      <w:r>
        <w:rPr>
          <w:rFonts w:ascii="Amiri" w:hAnsi="Amiri" w:eastAsia="Amiri" w:cs="Amiri"/>
          <w:color w:val="111111"/>
          <w:sz w:val="28"/>
          <w:sz w:val="28"/>
          <w:szCs w:val="28"/>
          <w:rtl w:val="true"/>
          <w:lang w:bidi="ar-SA"/>
        </w:rPr>
        <w:t>آلافٍ مؤلّفةٍ ولربّما فتك بالملايين من البشر وأحرق الحرث والنسل، لا يمكن أن ينال جزاءه العادل بمجرّد سجنه أو إعدامه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ذكر، نقول إنّ العدل الإلهيّ في الثواب والعقاب لا يمكن أن يتحقّق إلّا في رحاب عالم آخر غير العالم الدنيوي المادي، ذلك كي ينال كلّ إنسانٍ جزاء أعماله بالتمام والكمال، وحتى تُعوّض الحقوق الضائعة وتُشفى الصدور الغليلة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يأتي نوضح البرهان بأسلوب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الإنسان له كمالٌ حاله حال سائر الكائنات، وكماله يعني انتقال علمه وعمله من مرحلة الاستعداد إلى الفعلية عبر تبنّيه المعتقدات الحقّة وقيامه بالأعمال الصالحة؛ وهذا الامتثال للخير إنّما يتحقّق في ظلّ الفطرة السليمة التي لم تدنّسها أدران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فالمتّقون هم أصحاب الكمال، بينما المفسدون الذين يعتنقون معتقداتٍ منحرفةً ويرتكبون قبائح الأعمال، لا يتمتّعون بروحٍ إنسانيةٍ كاملةٍ، وهذا النقص هو الذي حرمهم من الكمال المنشود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الكمال المذكور هو أن ينعم الإنسان بحياةٍ طيّبةٍ مطمئنّةٍ ملؤها الراحة والهناء، ومقتضى النقص المشار إليه هو أن يحرم من هذه الحياة المنعمة ويعيش في كنف حياة يشوبها شقاءٌ وعذابٌ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معلوم فالحياة التي تدار شؤونها في ظلّ الأسباب والمؤثّرات المادّية، تعمّ الإنسان الكامل والناقص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سواء، إذ إنّ سمومها تفتك بالاثنين معاً ونارها تحرقهما وخيرها يعمّهما بصفتهما إنسانين؛ لذا فمن تعينه الأسباب المادية سوف ينعم بحياةٍ مرفّهةٍ لا عناء فيها، في حين أنّ نظيره الذي حُرم من القابليات المادّية لأيّ سببٍ كان، تصبح حياته ضنكى ومريرة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حتّى وإن افترضنا 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المحال ليس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حياة ابن آدم </w:t>
      </w:r>
    </w:p>
    <w:p>
      <w:pPr>
        <w:pStyle w:val="BookText"/>
        <w:rPr/>
      </w:pPr>
      <w:r>
        <w:rPr>
          <w:rFonts w:ascii="Amiri" w:hAnsi="Amiri" w:eastAsia="Amiri" w:cs="Amiri"/>
          <w:color w:val="111111"/>
          <w:sz w:val="28"/>
          <w:sz w:val="28"/>
          <w:szCs w:val="28"/>
          <w:rtl w:val="true"/>
          <w:lang w:bidi="ar-SA"/>
        </w:rPr>
        <w:t xml:space="preserve">مقيّدةٌ بعالم المادّة والدنيا فقط، فالعدل الإلهيّ في منح كلّ ذي حقٍّ حقّه لا يمكن أن يتحقّق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أكّد عليه العلّامة محمّد حسين الطباطبائي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المعلوم أنّ هذه الحياة الدنيا التي يشتركان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تحت سيطرة الأسباب والعوامل المادّية ونسبتها إلى الكامل والناقص والمؤمن والكافر على السّواء؛ فمن أجاد العمل ووافقته الأسباب المادّية فاز بطيب العيش ومن كان على خلاف ذلك لزمه الشقاء وضنك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الحياة مقصورةً على هذه الحياة الدنيوية التي نسبتها إلى الفريقين على السواء ولم تكن هناك حياةٌ تختصّ بكلّ منهما وتناسب حاله، كان ذلك منافياً للعناية الإلهيّة بإيصال كلّ ذي حقٍّ حقّه وإعطاء المقتضيات ما تقتضيه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بين الفريقين وإلغاء ما يقتضيه صلاح هذا وفساد ذلك، خلاف عدله تعالى </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آيات في الكتاب الحكيم يمكن اعتبارها من سنخ برهان العدل في إثبات المعاد،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اللَّهُ السَّمَاوَاتِ وَالْأَرْضَ بِالْحَقِّ وَلِتُجْزَى كُلُّ نَفْسٍ بِمَا كَسَبَتْ وَهُمْ لَا يُظْلَمُونَ</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w:t>
      </w:r>
      <w:bookmarkStart w:id="515" w:name="pg16299_219614"/>
    </w:p>
    <w:p>
      <w:pPr>
        <w:pStyle w:val="BookText"/>
        <w:rPr/>
      </w:pPr>
      <w:bookmarkEnd w:id="515"/>
      <w:r>
        <w:rPr>
          <w:rFonts w:ascii="Amiri" w:hAnsi="Amiri" w:eastAsia="Amiri" w:cs="Amiri"/>
          <w:color w:val="111111"/>
          <w:sz w:val="28"/>
          <w:sz w:val="28"/>
          <w:szCs w:val="28"/>
          <w:rtl w:val="true"/>
          <w:lang w:bidi="ar-SA"/>
        </w:rPr>
        <w:t xml:space="preserve">الْأَمْرَ مَا مِنْ شَفِيعٍ إِلَّا مِنْ بَعْدِ إِذْنِهِ ذَلِكُمُ اللَّهُ رَبُّكُمْ فَاعْبُدُوهُ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الْعَذَابُ وَلَعَذَابُ الْآخِرَةِ أَكْبَرُ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5369959_1280447820"/>
      <w:bookmarkStart w:id="517" w:name="_Toc198"/>
      <w:bookmarkEnd w:id="516"/>
      <w:r>
        <w:rPr>
          <w:rtl w:val="true"/>
        </w:rPr>
        <w:t xml:space="preserve">* </w:t>
      </w:r>
      <w:r>
        <w:rPr>
          <w:rtl w:val="true"/>
        </w:rPr>
        <w:t>البرهان الرابع برهان الرحمة</w:t>
      </w:r>
      <w:bookmarkEnd w:id="517"/>
    </w:p>
    <w:p>
      <w:pPr>
        <w:pStyle w:val="BookText"/>
        <w:rPr/>
      </w:pPr>
      <w:r>
        <w:rPr>
          <w:rFonts w:ascii="Amiri" w:hAnsi="Amiri" w:eastAsia="Amiri" w:cs="Amiri"/>
          <w:color w:val="111111"/>
          <w:sz w:val="28"/>
          <w:sz w:val="28"/>
          <w:szCs w:val="28"/>
          <w:rtl w:val="true"/>
          <w:lang w:bidi="ar-SA"/>
        </w:rPr>
        <w:t>الرحمة هي إحدى صفات الله سبحانه وتعالى، وحسب تعاليمنا الدينيّة فالمعاد هو أحد تجلّيات الرحمة الإلهيّة حيث ينال المحسنون فيه نعماً عظيمةً 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الحياة الأخروية لما تمكّن الصالحون من جني ثمار أعمالهم الصالحة التي بدرت منهم في الحياة الدنيا بإرادتهم واختيارهم، لذا إن انتفت الحياة الآخرة سوف يُقدح برحمة الله التي وسعت كلّ شيءٍ والتي هي من الصفات الكمالية؛ لذا يمكن إثبات تحقّق المعاد على أساس مقتضى الرحمة الإلهيّة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برهن العلّامة محمد حسين الطباطبائي على هذه الحقيقة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أشير به إلى حجّتين من الحجج المستعملة في القرآن لإثبات المعاد، 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يَبْدَأُ الْخَلْقَ ثُمَّ يُعِيدُهُ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الجاري من سنّة الله سبحانه أنّه يفيض الوجود على ما يخلقه من شيءٍ ويمدّه من رحمته بما تتمّ له به الخلقة، فيوجد ويعيش ويتنعّم برحمة منه تعالى ما دام موجوداً حتى ينتهي إلى أجلٍ معدودٍ؛ وليس انتهاؤه إلى أجله </w:t>
      </w:r>
    </w:p>
    <w:p>
      <w:pPr>
        <w:pStyle w:val="BookText"/>
        <w:rPr/>
      </w:pPr>
      <w:r>
        <w:rPr>
          <w:rFonts w:ascii="Amiri" w:hAnsi="Amiri" w:eastAsia="Amiri" w:cs="Amiri"/>
          <w:color w:val="111111"/>
          <w:sz w:val="28"/>
          <w:sz w:val="28"/>
          <w:szCs w:val="28"/>
          <w:rtl w:val="true"/>
          <w:lang w:bidi="ar-SA"/>
        </w:rPr>
        <w:t>المعدود المضروب له فناءً منه وبطلاناً للرحمة الإلهيّة التي كان بها وجوده وبقاؤه وسائر ما يلحق بذلك من حياةٍ وقدرةٍ وعلمٍ، ونحو ذلك، بل بقبضه تعالى ما بسطه عليه من الرحمة، فإنّ ما أفاضه الله عليه من عنده هو وجهه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يهلك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فنفاد وجود الأشياء وانتهائها إلى أجلها ليس فناءً منها وبطلاناً لها على ما نتوهّمه، بل رجوعاً وعوداً منها إلى عنده، وقد كانت نزلت من عنده، وما عند الله باقٍ، فلم يكن إلّا بسطاً ثمّ قبضاً ، فالله سبحانه يبدأ الأشياء ببسط الرحمة ويعيدها إليه بقبضها، وهو المعاد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فإنّ الحجّة فيه أنّ العدل والقسط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صفات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أن يستوي عنده من خضع له بالإيمان به وعمل صالحاً ومن استكبر عليه وكفر به وبآياته؛ والطائفتان لا يُحسّ بينهما بفرقٍ في الدنيا، فإنّما السيطرة فيها للأسباب الكونية بحسب ما تنفع و تضرّ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أن يُفرّق الله بينهما بعدله بعد إرجاعها إليه، فيجزي المؤمنين المحسنين جزاءً حسناً والكفّار المسيئين جزاءً سيّئاً من جهة ما يتلذّذون به أو يتألّمون</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والآيتان الآتيتان من جملة الآيات التي تضمّنت برهان الرحمة لإثبات تحقّق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518" w:name="pg16299_219616"/>
    </w:p>
    <w:p>
      <w:pPr>
        <w:pStyle w:val="Heading5"/>
        <w:numPr>
          <w:ilvl w:val="4"/>
          <w:numId w:val="1"/>
        </w:numPr>
        <w:rPr/>
      </w:pPr>
      <w:bookmarkStart w:id="519" w:name="__RefHeading___Toc5369961_1280447820"/>
      <w:bookmarkStart w:id="520" w:name="_Toc199"/>
      <w:bookmarkEnd w:id="518"/>
      <w:bookmarkEnd w:id="519"/>
      <w:r>
        <w:rPr>
          <w:rtl w:val="true"/>
        </w:rPr>
        <w:t xml:space="preserve">* </w:t>
      </w:r>
      <w:r>
        <w:rPr>
          <w:rtl w:val="true"/>
        </w:rPr>
        <w:t>البرهان الخامس</w:t>
      </w:r>
      <w:r>
        <w:rPr>
          <w:rtl w:val="true"/>
        </w:rPr>
        <w:t xml:space="preserve">: </w:t>
      </w:r>
      <w:r>
        <w:rPr>
          <w:rtl w:val="true"/>
        </w:rPr>
        <w:t xml:space="preserve">الأخلاق </w:t>
      </w:r>
      <w:r>
        <w:rPr>
          <w:rtl w:val="true"/>
        </w:rPr>
        <w:t>:</w:t>
      </w:r>
      <w:bookmarkEnd w:id="520"/>
    </w:p>
    <w:p>
      <w:pPr>
        <w:pStyle w:val="BookText"/>
        <w:rPr/>
      </w:pPr>
      <w:r>
        <w:rPr>
          <w:rFonts w:ascii="Amiri" w:hAnsi="Amiri" w:eastAsia="Amiri" w:cs="Amiri"/>
          <w:color w:val="111111"/>
          <w:sz w:val="28"/>
          <w:sz w:val="28"/>
          <w:szCs w:val="28"/>
          <w:rtl w:val="true"/>
          <w:lang w:bidi="ar-SA"/>
        </w:rPr>
        <w:t>طرح الفيلسوف الألماني إيمانوئيل كانط نظرية مثالية الأخلاق على أساس استقلال العقل البشري وتبنّى مبدأي العينية والوظائفية، وقد ذكر أدلّة لإثبات وجود النفس وخلودها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التي ساقها حول مسألة خلود النفس متفرّعةٌ على الأدلّة التي اعتمد عليها لإثبات وجود الله عزّ وجلّ والأدلّة التي تثبت كون الإنسان مخيّراً في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يعتقد هذا الفيلسوف بأنّ إرادة الخير تعدّ شرطاً ضروريّاً وكافياً لتحقّق الأخلاق المثالية، ومن هذا المنطلق فالعمل الأخلاقی هو ما كان منبثقاً من إرادة الخير من دون أن تشوبه أيّة مقاصد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يمكن القول بأنّ إرادة الخير هي الدعامة الأساسية للنظام الأخلاقي الذي طرحه إيمانوئيل كانط، لذا يمكن اعتباره واحداً من المفكرين الذين يتّبعون النزعة البنيوية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المؤكّد أنّ الشعور بالمسؤولية هو الذي يجعلنا نعتقد بوجوب فعل الخير والمعروف ،ولكن كيف يمكننا البتّ بأنّ الفعل الذي يبدر منّا منبثق من شعورنا بالمسؤولية؟ إحدى مزايا العمل الناشئ من هذا الشعور السامي هي أنّه يسفر عن بلوغ السعادة المنشودة، لذا فالعلاقة بين أداء الواجب ونيل السعادة هي من سنخ العلاقات العينية الحقيقية، وهذا الامتثال بطبيعة الحال ناشئ من قانون كلّيٍّ، ومعنى ذلك أنّ الإرادة هي الأخرى لابدّ من أن تكون منبثقةً من قانون كلّيٍّ أيضاً؛ لذا ينبغي للإنسان أن يتصرّف بشكل يجعله يشعر وكأنّه هو الذي وضع القانون الأخلاقي العامّ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الانطباق الكامل بين الإرادة والقانون الأخلاقي إنّما يتحقّق في رحاب العصمة الكمالية التي لا يمكن لأيّ كائنٍ عاقلٍ اكتسابها في عالم المادة ولو للحظةٍ واحدةٍ، فهي من الأمور الضرورية التي لا يمكن أن تتحقّق إلّا بسلوك غير متناهٍ في ظلّ هذا </w:t>
      </w:r>
      <w:bookmarkStart w:id="521" w:name="pg16299_219617"/>
    </w:p>
    <w:p>
      <w:pPr>
        <w:pStyle w:val="BookText"/>
        <w:rPr/>
      </w:pPr>
      <w:bookmarkEnd w:id="521"/>
      <w:r>
        <w:rPr>
          <w:rFonts w:ascii="Amiri" w:hAnsi="Amiri" w:eastAsia="Amiri" w:cs="Amiri"/>
          <w:color w:val="111111"/>
          <w:sz w:val="28"/>
          <w:sz w:val="28"/>
          <w:szCs w:val="28"/>
          <w:rtl w:val="true"/>
          <w:lang w:bidi="ar-SA"/>
        </w:rPr>
        <w:t xml:space="preserve">الانطباق الكامل؛ وبطبيعة الحال لا يمكن تصوّر هكذا سلوك متكامل إلّا في ظلّ شخصيةٍ غير متناهيةٍ للكائن العاقل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المشار إليه يدلّ على أنّنا نمتلك القدرة لفعل أفضل الأعمال وأكثرها خيراً بمحض اختيارنا وإرادتنا، وبالطبع فإنّ تحقّق فعلٍ من هذا القبيل مرهون باتّباعنا للمقرّرات والقوانين الأخلاقية المثالية بحذافيرها؛ وهذا ما يطلق عليه كانط بكونه 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لم تتعلّق إرادتنا الشخصية بالقوانين الأخلاقية، فلا يمكننا نيل العصمة ولا الخير المحض في الحياة الآخرة، لأنّ الخير الأمثل يمكن تحصيله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 فإنّ نفس تكليفنا بالعمل على وفق القوانين والأصول الأخلاقية بحدّ ذاته دليل على إمكانية تحقيق الخير الأمثل والتحلّي بالعصمة، ولكن لا يمكن تحصيل ذلك في الحياة الدنيا، ومن ثَمَّ لابدّ من وجود عالمٍ آخر نتمكّن فيه من تحصيلها، وهذا العالم بكلّ تأكيد لا يمكننا أن نلجه إلّا بعد الموت؛ ولمّا كان الخير الأمثل أمراً غير متناهٍ فنتيجة ذلك أنّ الحياة الأخروية خالدةٌ والإنسان فيها سينعم بالخلود أيضاً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5369963_1280447820"/>
      <w:bookmarkStart w:id="523" w:name="_Toc200"/>
      <w:bookmarkEnd w:id="522"/>
      <w:r>
        <w:rPr>
          <w:rtl w:val="true"/>
        </w:rPr>
        <w:t>*</w:t>
      </w:r>
      <w:r>
        <w:rPr>
          <w:rtl w:val="true"/>
        </w:rPr>
        <w:t xml:space="preserve">البرهان السادس </w:t>
      </w:r>
      <w:r>
        <w:rPr>
          <w:rtl w:val="true"/>
        </w:rPr>
        <w:t xml:space="preserve">: </w:t>
      </w:r>
      <w:r>
        <w:rPr>
          <w:rtl w:val="true"/>
        </w:rPr>
        <w:t xml:space="preserve">الفطرة </w:t>
      </w:r>
      <w:r>
        <w:rPr>
          <w:rtl w:val="true"/>
        </w:rPr>
        <w:t>(</w:t>
      </w:r>
      <w:r>
        <w:rPr>
          <w:rtl w:val="true"/>
        </w:rPr>
        <w:t>المحبّة الفطرية للحياة</w:t>
      </w:r>
      <w:r>
        <w:rPr>
          <w:rtl w:val="true"/>
        </w:rPr>
        <w:t>):</w:t>
      </w:r>
      <w:bookmarkEnd w:id="523"/>
    </w:p>
    <w:p>
      <w:pPr>
        <w:pStyle w:val="BookText"/>
        <w:rPr/>
      </w:pPr>
      <w:r>
        <w:rPr>
          <w:rFonts w:ascii="Amiri" w:hAnsi="Amiri" w:eastAsia="Amiri" w:cs="Amiri"/>
          <w:color w:val="111111"/>
          <w:sz w:val="28"/>
          <w:sz w:val="28"/>
          <w:szCs w:val="28"/>
          <w:rtl w:val="true"/>
          <w:lang w:bidi="ar-SA"/>
        </w:rPr>
        <w:t>فحوى هذا البرهان أن النفس الإنسانية تكتنفها رغبةٌ فطريةٌ في الحياة الخالدة ،وهذه الرغبة بذاتها تعدّ دليلاً على وجود حياةٍ 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البرهان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تنتابه محبّةٌ فطريةٌ عارمةٌ للحياة الخالدة حيث يشعر برسوخ هذه الرغبة الشديدة في باطنه، وفي الحين ذاته يشعر بالأسى عند التفكير بالزوال والانعدام، لذلك ينأى عن التفكير بهما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الذي يبادر إلى الانتحار هو في الواقع يروم الخلاص من معاناته وآلامه </w:t>
      </w:r>
    </w:p>
    <w:p>
      <w:pPr>
        <w:pStyle w:val="BookText"/>
        <w:rPr/>
      </w:pPr>
      <w:r>
        <w:rPr>
          <w:rFonts w:ascii="Amiri" w:hAnsi="Amiri" w:eastAsia="Amiri" w:cs="Amiri"/>
          <w:color w:val="111111"/>
          <w:sz w:val="28"/>
          <w:sz w:val="28"/>
          <w:szCs w:val="28"/>
          <w:rtl w:val="true"/>
          <w:lang w:bidi="ar-SA"/>
        </w:rPr>
        <w:t>في الحياة الدنيا بهدف الولوج في عالمٍ يصونه من جميع أشكال المعاناة والآلام، وليس هناك فرقٌ بين علمه ببقاء روحه حيّةً بعد الموت أو عدم علمه بذلك، فلربما يتصوّر بأنّه سيتحوّل إلى كائن جامد عديم الشعور ومن ثمّ ينجو من مآسيه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الشخص ليس مستاءً من الوجود بذاته بل يشعر بالضجر من مصاعب الحياة ومشاكلها المحتدمة التي أصبحت عقبةً في طريقه ومعضلةً ليس بإمكانه تخليص وجوده منها؛ وعلى هذا الأساس يمكن القول إنّ محبّة الحياة الخالدة راسخةٌ في نفسه وكأنّها هدفٌ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المحبّة لا تقتصر على عصر من العصور، وإنّما تراود الذهن البشري منذ عهده الأوّل وستظلّ راسخةً فيه حتّى آخر لحظة من الحياة الدنيا، وكلّنا يعلم بأنّ الحياة الدنيوية الفانية ليست وعاءً يتحقّق الخلود فيه، لذا لابدّ من أن يوجد مكان آخر يتحقّق فيه، أي إنّه مكانٌ لا معنى للزوال فيه ولا وجود للموت بين أطرافه، وهو بكلّ تأكيد عالم البعث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عالم الآخرة مفعماً بالحياة كما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فإِنّ محبّة الحياة الخالدة يعدّ أمراً وجودياً رابطاً بين المحبّ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البديهي أنّ هذه المحبّة لا يمكن أن تترسّخ في باطن الإنسان بتاتاً ما لم تكن أمراً واقعياً، ولو لم تكن موجودةً حقاً لما عُدّت واحدةً من النزعات الفطرية لدى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ويمكننا القول بأنّ رسوخ هكذا محبّة في النفس الإنسانية قد نشأ على أساس غايةٍ ساميةٍ، وهذه الغاية بطبيعة الحال لا بدّ وأن تكون موجودةً حقاً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استناداً إلى ما ذكر، فالقياس المنطقي للبرهان المذكور يتمحور حول أنّ محبّة الحياة </w:t>
      </w:r>
      <w:bookmarkStart w:id="524" w:name="pg16299_219619"/>
    </w:p>
    <w:p>
      <w:pPr>
        <w:pStyle w:val="BookText"/>
        <w:rPr/>
      </w:pPr>
      <w:bookmarkEnd w:id="524"/>
      <w:r>
        <w:rPr>
          <w:rFonts w:ascii="Amiri" w:hAnsi="Amiri" w:eastAsia="Amiri" w:cs="Amiri"/>
          <w:color w:val="111111"/>
          <w:sz w:val="28"/>
          <w:sz w:val="28"/>
          <w:szCs w:val="28"/>
          <w:rtl w:val="true"/>
          <w:lang w:bidi="ar-SA"/>
        </w:rPr>
        <w:t>الخالدة عبارةٌ عن أمرٍ فطريٍّ متأصّلٍ في النفس الإنسانية، لذا ليس من الممكن أن يزول إثر فناء الحياة الدنيوية؛ ومن الثابت أنّ كلّ أمرٍ فطريٍّ لابدّ من أن يكون منطبقاً مع واقعٍ خارجيٍّ لكون الفطرة أثرٌ من آثار الحكيم المتعال بحيث لا يشوبها اللغو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غريزة الأكل والشرب تتعلّق في تناول ما له صلاحية أن يكون مأكولاً ومشروباً، فالمحبة الفطرية تشهد أيضاً بوجود عالم آخر له صلاحية البقاء والخلود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5369965_1280447820"/>
      <w:bookmarkStart w:id="526" w:name="_Toc201"/>
      <w:bookmarkEnd w:id="525"/>
      <w:r>
        <w:rPr>
          <w:rtl w:val="true"/>
        </w:rPr>
        <w:t xml:space="preserve">* </w:t>
      </w:r>
      <w:r>
        <w:rPr>
          <w:rtl w:val="true"/>
        </w:rPr>
        <w:t>البرهان السابع</w:t>
      </w:r>
      <w:r>
        <w:rPr>
          <w:rtl w:val="true"/>
        </w:rPr>
        <w:t xml:space="preserve">: </w:t>
      </w:r>
      <w:r>
        <w:rPr>
          <w:rtl w:val="true"/>
        </w:rPr>
        <w:t xml:space="preserve">الوفاء بالوعد </w:t>
      </w:r>
      <w:r>
        <w:rPr>
          <w:rtl w:val="true"/>
        </w:rPr>
        <w:t>:</w:t>
      </w:r>
      <w:bookmarkEnd w:id="526"/>
    </w:p>
    <w:p>
      <w:pPr>
        <w:pStyle w:val="BookText"/>
        <w:rPr/>
      </w:pPr>
      <w:r>
        <w:rPr>
          <w:rFonts w:ascii="Amiri" w:hAnsi="Amiri" w:eastAsia="Amiri" w:cs="Amiri"/>
          <w:color w:val="111111"/>
          <w:sz w:val="28"/>
          <w:sz w:val="28"/>
          <w:szCs w:val="28"/>
          <w:rtl w:val="true"/>
          <w:lang w:bidi="ar-SA"/>
        </w:rPr>
        <w:t>الوفاء بالوعد هو أحد البراهين التي تثبت تحقّق المعاد بعد الممات، وله مقدّمتان إحداهما قرآنية والأخرى عقليّة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تضمّن عدّة آياتٍ وعد الله تعالى فيها عباده الصالحين بحسن العاقبة وتوعّد المسيئين بسوء العاقبة، ومنها الآيتان التاليتان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لَهُ مُلْكُ السَّمَاوَاتِ وَالْأَرْضِ وَاللَّهُ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فَتَنُوا الْمُؤْمِنِينَ وَالْمُؤْمِنَاتِ ثُمَّ لَمْ يَتُوبُوا فَلَهُمْ عَذَابُ جَهَنَّمَ وَلَهُمْ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لا يمكن أن يخلف وعده أبداً، لأنّه ليس بحاجةٍ إلى ذلك، </w:t>
      </w:r>
    </w:p>
    <w:p>
      <w:pPr>
        <w:pStyle w:val="BookText"/>
        <w:rPr/>
      </w:pPr>
      <w:r>
        <w:rPr>
          <w:rFonts w:ascii="Amiri" w:hAnsi="Amiri" w:eastAsia="Amiri" w:cs="Amiri"/>
          <w:color w:val="111111"/>
          <w:sz w:val="28"/>
          <w:sz w:val="28"/>
          <w:szCs w:val="28"/>
          <w:rtl w:val="true"/>
          <w:lang w:bidi="ar-SA"/>
        </w:rPr>
        <w:t xml:space="preserve">فهذا الأمر لا يحدث إلّا إثر وجود نقص فيمن يخلفه أو وجود أمر يضطرّه لذلك؛ ومن البديهي أنّه تبارك شأنه لا يكتنفه النقص ولا يمكن أن يضطرّ لفعل شيء يرغمه على مخالفة وعده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نستنتج من هاتين المقدمتين أنّ الله عزّ وجلّ وعد المؤمنين بالثواب والكافرين بالعقاب في الحياة الآخرة، وكلّ وعدٍ يصدر منه فهو متحقّق قطعاً؛ لذا فإنّ الثواب والعقاب والجنّة والنار هي أمورٌ حتمية التحقّق في عالم الآخرة، أي إنّ المعاد متحقّق لا محالة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bookmarkStart w:id="527" w:name="pg16299_219621"/>
    </w:p>
    <w:p>
      <w:pPr>
        <w:pStyle w:val="Heading3"/>
        <w:numPr>
          <w:ilvl w:val="2"/>
          <w:numId w:val="1"/>
        </w:numPr>
        <w:rPr/>
      </w:pPr>
      <w:bookmarkStart w:id="528" w:name="__RefHeading___Toc5369967_1280447820"/>
      <w:bookmarkStart w:id="529" w:name="_Toc202"/>
      <w:bookmarkEnd w:id="527"/>
      <w:bookmarkEnd w:id="528"/>
      <w:r>
        <w:rPr/>
        <w:t>38</w:t>
      </w:r>
      <w:r>
        <w:rPr>
          <w:rtl w:val="true"/>
        </w:rPr>
        <w:t>.</w:t>
      </w:r>
      <w:r>
        <w:rPr>
          <w:rtl w:val="true"/>
        </w:rPr>
        <w:t>منكرو المعاد في مواجهة تحدّيات تفنّد آراءهم</w:t>
      </w:r>
      <w:bookmarkEnd w:id="529"/>
    </w:p>
    <w:p>
      <w:pPr>
        <w:pStyle w:val="Heading4"/>
        <w:numPr>
          <w:ilvl w:val="3"/>
          <w:numId w:val="1"/>
        </w:numPr>
        <w:rPr/>
      </w:pPr>
      <w:bookmarkStart w:id="530" w:name="__RefHeading___Toc5369969_1280447820"/>
      <w:bookmarkStart w:id="531" w:name="_Toc203"/>
      <w:bookmarkEnd w:id="530"/>
      <w:r>
        <w:rPr>
          <w:rtl w:val="true"/>
        </w:rPr>
        <w:t>إشارة</w:t>
      </w:r>
      <w:bookmarkEnd w:id="531"/>
    </w:p>
    <w:p>
      <w:pPr>
        <w:pStyle w:val="BookText"/>
        <w:rPr/>
      </w:pPr>
      <w:r>
        <w:rPr>
          <w:rFonts w:ascii="Amiri" w:hAnsi="Amiri" w:eastAsia="Amiri" w:cs="Amiri"/>
          <w:color w:val="111111"/>
          <w:sz w:val="28"/>
          <w:sz w:val="28"/>
          <w:szCs w:val="28"/>
          <w:rtl w:val="true"/>
          <w:lang w:bidi="ar-SA"/>
        </w:rPr>
        <w:t>شهدت المجتمعات البشرية على مرّ العصور ظهور مرجفين وعصاة يناهضون الأنبياء والأولياء الصالحين من دون أن يتوانوا عن أيّة ذريعةٍ لمواجهتهم والتشكيك بتعاليم السماء التي جاؤوا بها لأسباب ودواعي عديدة، إذ اتّبعوا أساليب ملتويةً وطرحوا شبهاتٍ بأنماط مختلفة، ومن جملة ذلك إنكار المعاد والحياة الأخرويّة من الأساس أو تصوير هذه الحقيقة بشكلٍ يختلف عمّا جاءت به الأديان السماوية الأصيلة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بدوره تصدّى لهؤلاء ودحض شبهاتهم كما أشار إلى دوافعهم وأهدافهم من وراء عنادهم ومعارضتهم حقيقة المصير المحتوم بعد مفارقة الروح للجسد الأمر الذي جعلهم أمام تحدٍّ جادٍّ لا محيص لهم منه، وفيما يأتي نذكر بعض آرائهم وشبهاتهم في رحاب آي الذكر الحكيم</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5369971_1280447820"/>
      <w:bookmarkStart w:id="533" w:name="_Toc204"/>
      <w:bookmarkEnd w:id="532"/>
      <w:r>
        <w:rPr>
          <w:rtl w:val="true"/>
        </w:rPr>
        <w:t xml:space="preserve">* </w:t>
      </w:r>
      <w:r>
        <w:rPr>
          <w:rtl w:val="true"/>
        </w:rPr>
        <w:t xml:space="preserve">الشبهة الأولى </w:t>
      </w:r>
      <w:r>
        <w:rPr>
          <w:rtl w:val="true"/>
        </w:rPr>
        <w:t xml:space="preserve">: </w:t>
      </w:r>
      <w:r>
        <w:rPr>
          <w:rtl w:val="true"/>
        </w:rPr>
        <w:t xml:space="preserve">استحالة إحياء العظام وهي رميم </w:t>
      </w:r>
      <w:r>
        <w:rPr>
          <w:rtl w:val="true"/>
        </w:rPr>
        <w:t>:</w:t>
      </w:r>
      <w:bookmarkEnd w:id="533"/>
    </w:p>
    <w:p>
      <w:pPr>
        <w:pStyle w:val="BookText"/>
        <w:rPr/>
      </w:pPr>
      <w:r>
        <w:rPr>
          <w:rFonts w:ascii="Amiri" w:hAnsi="Amiri" w:eastAsia="Amiri" w:cs="Amiri"/>
          <w:color w:val="111111"/>
          <w:sz w:val="28"/>
          <w:sz w:val="28"/>
          <w:szCs w:val="28"/>
          <w:rtl w:val="true"/>
          <w:lang w:bidi="ar-SA"/>
        </w:rPr>
        <w:t>تصوّر بعض المعاندين من منكري المعاد والحياة بعد الممات استحالة جمع العظام وإعادتها إلى حالتها الأولى بعد أن تتلاشى في الأرض وتصبح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الشبهة ونقضها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فنّد القرآن الكريم هذه الشبهة مؤكّداً على القدرة المطلقة للبارئ سبحانه الذي أنشأها النشأة الأولى، فهو الذي أوجدها من العدم؛ لذا كيف لا يمكنه أن يعيدها سيرتها الأولى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البديهي أنّ الخلقة أصعب مرتبةً من إعادة تركيب الأجزاء بعد تلاشيها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يأتي نذكر الشواهد القرآنية على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نَسْلَهُ مِنْ سُلَالَةٍ مِنْ مَاءٍ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سَوَّاهُ وَنَفَخَ فِيهِ مِنْ رُوحِهِ وَجَعَلَ لَكُمُ السَّمْعَ وَالْأَبْصَارَ وَالْأَفْئِدَةَ قَلِيلًا مَا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أَإِذَا ضَلَلْنَا فِي الْأَرْضِ أَإِنَّا لَفِي خَلْقٍ جَدِيدٍ بَلْ هُمْ بِلِقَاءِ رَبِّهِمْ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كَيْفَ يُبْدِئُ اللَّهُ الْخَلْقَ ثُمَّ يُعِيدُهُ إِنَّ 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نُحْيِي وَنُمِيتُ وَإِلَيْنَا الْمَصِيرُ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زَعَمَ الَّذِينَ كَفَرُوا أَنْ لَنْ يُبْعَثُوا قُلْ بَلَى وَرَبِّي لَتُبْعَثُنَّ ثُمَّ لَتُنَبَّؤُنَّ بِمَا عَمِلْتُمْ وَذَلِكَ عَلَى اللَّهِ يَسِيرٌ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وَرَسُولِهِ وَالنُّورِ الَّذِي أَنْزَلْنَا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يَجْمَعُكُمْ لِيَوْمِ الْجَمْعِ ذَلِكَ يَوْمُ التَّغَابُنِ وَمَنْ يُؤْمِنْ بِاللَّهِ وَيَعْمَلْ صَالِحًا يُكَفِّرْ عَنْهُ سَيِّئَاتِهِ وَيُدْخِلْهُ جَنَّاتٍ تَجْرِي مِنْ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غَيْبُ السَّمَاوَاتِ وَالْأَرْضِ وَمَا أَمْرُ السَّاعَةِ إِلَّا كَلَمْحِ الْبَصَرِ أَوْ هُوَ أَقْرَبُ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534" w:name="pg16299_219623"/>
    </w:p>
    <w:p>
      <w:pPr>
        <w:pStyle w:val="BookText"/>
        <w:rPr/>
      </w:pPr>
      <w:bookmarkEnd w:id="534"/>
      <w:r>
        <w:rPr>
          <w:rFonts w:ascii="Amiri" w:hAnsi="Amiri" w:eastAsia="Amiri" w:cs="Amiri"/>
          <w:color w:val="111111"/>
          <w:sz w:val="28"/>
          <w:sz w:val="28"/>
          <w:szCs w:val="28"/>
          <w:rtl w:val="true"/>
          <w:lang w:bidi="ar-SA"/>
        </w:rPr>
        <w:t>منكرو المعاد في مواجهة تحديات تفند آراءهم</w:t>
      </w:r>
    </w:p>
    <w:p>
      <w:pPr>
        <w:pStyle w:val="Heading4"/>
        <w:numPr>
          <w:ilvl w:val="3"/>
          <w:numId w:val="1"/>
        </w:numPr>
        <w:rPr/>
      </w:pPr>
      <w:bookmarkStart w:id="535" w:name="__RefHeading___Toc5369973_1280447820"/>
      <w:bookmarkStart w:id="536" w:name="_Toc205"/>
      <w:bookmarkEnd w:id="535"/>
      <w:r>
        <w:rPr>
          <w:rtl w:val="true"/>
        </w:rPr>
        <w:t>*</w:t>
      </w:r>
      <w:r>
        <w:rPr>
          <w:rtl w:val="true"/>
        </w:rPr>
        <w:t>الشبهة الثانية</w:t>
      </w:r>
      <w:r>
        <w:rPr>
          <w:rtl w:val="true"/>
        </w:rPr>
        <w:t xml:space="preserve">: </w:t>
      </w:r>
      <w:r>
        <w:rPr>
          <w:rtl w:val="true"/>
        </w:rPr>
        <w:t xml:space="preserve">إنكار المعاد من منطلق اتِّباع الهوى وحبّ الدنيا </w:t>
      </w:r>
      <w:r>
        <w:rPr>
          <w:rtl w:val="true"/>
        </w:rPr>
        <w:t>:</w:t>
      </w:r>
      <w:bookmarkEnd w:id="536"/>
    </w:p>
    <w:p>
      <w:pPr>
        <w:pStyle w:val="BookText"/>
        <w:rPr/>
      </w:pPr>
      <w:r>
        <w:rPr>
          <w:rFonts w:ascii="Amiri" w:hAnsi="Amiri" w:eastAsia="Amiri" w:cs="Amiri"/>
          <w:color w:val="111111"/>
          <w:sz w:val="28"/>
          <w:sz w:val="28"/>
          <w:szCs w:val="28"/>
          <w:rtl w:val="true"/>
          <w:lang w:bidi="ar-SA"/>
        </w:rPr>
        <w:t xml:space="preserve">هناك من أنكر المعاد والحياة بعد الممات من منطلق تعلّقه بالدنيا واتّباع هوى النفس وفقاً لما تمليه عليه غرائزه الحيوانية الزائلة زاعماً أنّ الملذّات ينعم بها الإنسان في الحياة الدنيا فقط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ذمّ الله تعالى هذا التوجّه المنحرف في كتابه الكريم وفضح مآربهم النفسية من وراء طغيانهم في غيّهم وضلالهم،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أَيَّانَ يَوْمُ الْقِيَامَةِ</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5369975_1280447820"/>
      <w:bookmarkStart w:id="538" w:name="_Toc206"/>
      <w:bookmarkEnd w:id="537"/>
      <w:r>
        <w:rPr>
          <w:rtl w:val="true"/>
        </w:rPr>
        <w:t>*</w:t>
      </w:r>
      <w:r>
        <w:rPr>
          <w:rtl w:val="true"/>
        </w:rPr>
        <w:t>الشبهة الثالثة</w:t>
      </w:r>
      <w:r>
        <w:rPr>
          <w:rtl w:val="true"/>
        </w:rPr>
        <w:t xml:space="preserve">: </w:t>
      </w:r>
      <w:r>
        <w:rPr>
          <w:rtl w:val="true"/>
        </w:rPr>
        <w:t>إنكار المعاد من منطلق اللّهث وراء المال والشهوة والمقام</w:t>
      </w:r>
      <w:r>
        <w:rPr>
          <w:rtl w:val="true"/>
        </w:rPr>
        <w:t>:</w:t>
      </w:r>
      <w:bookmarkEnd w:id="538"/>
    </w:p>
    <w:p>
      <w:pPr>
        <w:pStyle w:val="BookText"/>
        <w:rPr/>
      </w:pPr>
      <w:r>
        <w:rPr>
          <w:rFonts w:ascii="Amiri" w:hAnsi="Amiri" w:eastAsia="Amiri" w:cs="Amiri"/>
          <w:color w:val="111111"/>
          <w:sz w:val="28"/>
          <w:sz w:val="28"/>
          <w:szCs w:val="28"/>
          <w:rtl w:val="true"/>
          <w:lang w:bidi="ar-SA"/>
        </w:rPr>
        <w:t>لم ينفكّ بنو آدم عن السعي وراء مغريات الدنيا وملذّاتها على مرّ العصور، ذلك لأهداف ودواعي نفسانية طغت عليهم، حيث تعلّقت قلوبهم بحبّ الثروات والشهوات والمناصب السلطوية مما حجب عقولهم عن رؤية الحقيقة وجعلهم ينكرون الحياة بعد الممات زاعمين أنّ الدنيا هي المقصد والمآل للحياة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الكريم بدوره وبّخ هؤلاء وفنّد استدلالاتهم الواهية، من ذلك ما جاء في الآيات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الْمَلَأُ مِنْ قَوْمِهِ الَّذِينَ كَفَرُوا وَكَذَّبُوا بِلِقَاءِ الْآخِرَةِ وَأَتْرَفْنَاهُمْ فِي الْحَيَاةِ الدُّنْيَا مَا هَذَا إِلَّا بَشَرٌ مِثْلُكُمْ يَأْكُلُ مِمَّا تَأْكُلُونَ مِنْهُ وَيَشْرَبُ مِمَّا تَشْرَبُونَ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أَطَعْتُمْ بَشَرًا مِثْلَكُمْ إِنَّكُمْ إِذًا 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أَيَعِدُكُمْ أَنَّكُمْ إِذَا مِتُّمْ وَكُنْتُمْ تُرَابًا وَعِظَامًا أَنَّكُمْ مُخْرَجُونَ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هَيْهَاتَ هَيْهَاتَ لِمَا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رَجُلٌ افْتَرَى عَلَى اللَّهِ كَذِبًا وَمَا نَحْنُ لَهُ بِمُؤْمِنِينَ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539" w:name="pg16299_219624"/>
    </w:p>
    <w:p>
      <w:pPr>
        <w:pStyle w:val="Heading4"/>
        <w:numPr>
          <w:ilvl w:val="3"/>
          <w:numId w:val="1"/>
        </w:numPr>
        <w:rPr/>
      </w:pPr>
      <w:bookmarkStart w:id="540" w:name="__RefHeading___Toc5369977_1280447820"/>
      <w:bookmarkStart w:id="541" w:name="_Toc207"/>
      <w:bookmarkEnd w:id="539"/>
      <w:bookmarkEnd w:id="540"/>
      <w:r>
        <w:rPr>
          <w:rtl w:val="true"/>
        </w:rPr>
        <w:t>*</w:t>
      </w:r>
      <w:r>
        <w:rPr>
          <w:rtl w:val="true"/>
        </w:rPr>
        <w:t>الشبهة الرابعة</w:t>
      </w:r>
      <w:r>
        <w:rPr>
          <w:rtl w:val="true"/>
        </w:rPr>
        <w:t xml:space="preserve">: </w:t>
      </w:r>
      <w:r>
        <w:rPr>
          <w:rtl w:val="true"/>
        </w:rPr>
        <w:t xml:space="preserve">عدم حتمية المعاد </w:t>
      </w:r>
      <w:r>
        <w:rPr>
          <w:rtl w:val="true"/>
        </w:rPr>
        <w:t>:</w:t>
      </w:r>
      <w:bookmarkEnd w:id="541"/>
    </w:p>
    <w:p>
      <w:pPr>
        <w:pStyle w:val="BookText"/>
        <w:rPr/>
      </w:pPr>
      <w:r>
        <w:rPr>
          <w:rFonts w:ascii="Amiri" w:hAnsi="Amiri" w:eastAsia="Amiri" w:cs="Amiri"/>
          <w:color w:val="111111"/>
          <w:sz w:val="28"/>
          <w:sz w:val="28"/>
          <w:szCs w:val="28"/>
          <w:rtl w:val="true"/>
          <w:lang w:bidi="ar-SA"/>
        </w:rPr>
        <w:t>من الشبهات التي طرحها معارضو الأديان السماوية أنّ المعاد مجرد أمرٍ ظنّيٍّ وليس هناك برهان قاطع يثبت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الشبهة في الواقع عاريةٌ عن الصواب لسببين،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نفي أمرٍ من أساسه وإنكاره من داعي عدم الاعتقاد به فقط ،فعندما لا يؤمن شخص بإحدى القضايا لا يمكنه ادّعاء عدم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عدد من البراهين الدامغة التي تثبت تحقّق المعاد والحياة بعد الممات، بما فيها تلك التي ذكرناها في المباحث الآنفة كبرهان الحكمة والعدل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دحض الكتاب الحكيم هذه الشبهة في عدة آياتٍ، 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إِنْ نَظُنُّ إِلَّا ظَنًّا وَمَا نَحْنُ بِمُسْتَيْقِنِينَ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وَبَدَا لَهُمْ سَيِّئَاتُ مَا عَمِلُوا وَحَاقَ بِهِمْ مَا كَانُوا بِهِ يَسْتَهْزِئُونَ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الْيَوْمَ نَنْسَاكُمْ كَمَا نَسِيتُمْ لِقَاءَ يَوْمِكُمْ هَذَا وَمَأْوَاكُمُ النَّارُ وَمَا لَكُمْ مِنْ نَاصِرِينَ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5369979_1280447820"/>
      <w:bookmarkStart w:id="543" w:name="_Toc208"/>
      <w:bookmarkEnd w:id="542"/>
      <w:r>
        <w:rPr>
          <w:rtl w:val="true"/>
        </w:rPr>
        <w:t xml:space="preserve">* </w:t>
      </w:r>
      <w:r>
        <w:rPr>
          <w:rtl w:val="true"/>
        </w:rPr>
        <w:t xml:space="preserve">الشبهة الخامسة </w:t>
      </w:r>
      <w:r>
        <w:rPr>
          <w:rtl w:val="true"/>
        </w:rPr>
        <w:t xml:space="preserve">: </w:t>
      </w:r>
      <w:r>
        <w:rPr>
          <w:rtl w:val="true"/>
        </w:rPr>
        <w:t>اشتراط الإقرار بالمعاد بتلبية طلباتٍ غير معقولةٍ</w:t>
      </w:r>
      <w:r>
        <w:rPr>
          <w:rtl w:val="true"/>
        </w:rPr>
        <w:t>:</w:t>
      </w:r>
      <w:bookmarkEnd w:id="543"/>
    </w:p>
    <w:p>
      <w:pPr>
        <w:pStyle w:val="BookText"/>
        <w:rPr/>
      </w:pPr>
      <w:r>
        <w:rPr>
          <w:rFonts w:ascii="Amiri" w:hAnsi="Amiri" w:eastAsia="Amiri" w:cs="Amiri"/>
          <w:color w:val="111111"/>
          <w:sz w:val="28"/>
          <w:sz w:val="28"/>
          <w:szCs w:val="28"/>
          <w:rtl w:val="true"/>
          <w:lang w:bidi="ar-SA"/>
        </w:rPr>
        <w:t>بعض المعاندين الذين أنكروا المعاد وإحياء الموتى، تشبّثوا بطلباتٍ لا مسوّغ لها كي يقرّوا بهذه العقيدة، من ذلك طلب إحياء آبائهم الموتى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 الكتاب الحكيم إلى هذه الظاهرة مؤكّداً على أنّ آياته براهين ساطعة تدلّ على حتمية البعث والحساب بعد الممات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تُتْلَى عَلَيْهِمْ </w:t>
      </w:r>
      <w:bookmarkStart w:id="544" w:name="pg16299_219625"/>
    </w:p>
    <w:p>
      <w:pPr>
        <w:pStyle w:val="BookText"/>
        <w:rPr/>
      </w:pPr>
      <w:bookmarkEnd w:id="544"/>
      <w:r>
        <w:rPr>
          <w:rFonts w:ascii="Amiri" w:hAnsi="Amiri" w:eastAsia="Amiri" w:cs="Amiri"/>
          <w:color w:val="111111"/>
          <w:sz w:val="28"/>
          <w:sz w:val="28"/>
          <w:szCs w:val="28"/>
          <w:rtl w:val="true"/>
          <w:lang w:bidi="ar-SA"/>
        </w:rPr>
        <w:t xml:space="preserve">آيَاتُنَا بَيِّنَاتٍ مَا كَانَ حُجَّتَهُمْ إِلَّا أَنْ قَالُوا ائْتُوا بِآبَائِنَا إِنْ كُنْتُمْ صَادِقِينَ </w:t>
      </w:r>
      <w:r>
        <w:rPr>
          <w:rFonts w:ascii="Amiri" w:hAnsi="Amiri" w:eastAsia="Amiri" w:cs="Amiri"/>
          <w:i/>
          <w:i/>
          <w:iCs/>
          <w:color w:val="111111"/>
          <w:sz w:val="28"/>
          <w:sz w:val="28"/>
          <w:szCs w:val="28"/>
          <w:rtl w:val="true"/>
          <w:lang w:bidi="ar-SA"/>
        </w:rPr>
        <w:t>قُلِ اللَّهُ يُحْيِيكُمْ ثُمَّ يُمِيتُكُمْ ثُمَّ يَجْمَعُكُمْ إِلَى يَوْمِ الْقِيَامَةِ لَا رَيْبَ فِيهِ وَلَكِنَّ أَكْثَرَ النَّاسِ لَا يَعْلَمُونَ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5369981_1280447820"/>
      <w:bookmarkStart w:id="546" w:name="_Toc209"/>
      <w:bookmarkEnd w:id="545"/>
      <w:r>
        <w:rPr>
          <w:rtl w:val="true"/>
        </w:rPr>
        <w:t>*</w:t>
      </w:r>
      <w:r>
        <w:rPr>
          <w:rtl w:val="true"/>
        </w:rPr>
        <w:t xml:space="preserve">الشبهة السادسة </w:t>
      </w:r>
      <w:r>
        <w:rPr>
          <w:rtl w:val="true"/>
        </w:rPr>
        <w:t xml:space="preserve">: </w:t>
      </w:r>
      <w:r>
        <w:rPr>
          <w:rtl w:val="true"/>
        </w:rPr>
        <w:t xml:space="preserve">إحياء الموتى ضربٌ من السحر </w:t>
      </w:r>
      <w:r>
        <w:rPr>
          <w:rtl w:val="true"/>
        </w:rPr>
        <w:t>:</w:t>
      </w:r>
      <w:bookmarkEnd w:id="546"/>
    </w:p>
    <w:p>
      <w:pPr>
        <w:pStyle w:val="BookText"/>
        <w:rPr/>
      </w:pPr>
      <w:r>
        <w:rPr>
          <w:rFonts w:ascii="Amiri" w:hAnsi="Amiri" w:eastAsia="Amiri" w:cs="Amiri"/>
          <w:color w:val="111111"/>
          <w:sz w:val="28"/>
          <w:sz w:val="28"/>
          <w:szCs w:val="28"/>
          <w:rtl w:val="true"/>
          <w:lang w:bidi="ar-SA"/>
        </w:rPr>
        <w:t>بعد أن دحضت استدلالات منكري المعاد والحياة بعد الممات، لم يجدوا بدّاً من تبرير هذا الأمر الواقع إلّا بزعم أنّه ضرب من السحر والشعوذة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p>
    <w:p>
      <w:pPr>
        <w:pStyle w:val="BookText"/>
        <w:rPr/>
      </w:pPr>
      <w:r>
        <w:rPr>
          <w:rFonts w:ascii="Amiri" w:hAnsi="Amiri" w:eastAsia="Amiri" w:cs="Amiri"/>
          <w:color w:val="111111"/>
          <w:sz w:val="28"/>
          <w:sz w:val="28"/>
          <w:szCs w:val="28"/>
          <w:rtl w:val="true"/>
          <w:lang w:bidi="ar-SA"/>
        </w:rPr>
        <w:t>هذه الشبهة أشار إليها القرآن الكريم وفنّدها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5369983_1280447820"/>
      <w:bookmarkStart w:id="548" w:name="_Toc210"/>
      <w:bookmarkEnd w:id="547"/>
      <w:r>
        <w:rPr>
          <w:rtl w:val="true"/>
        </w:rPr>
        <w:t>*</w:t>
      </w:r>
      <w:r>
        <w:rPr>
          <w:rtl w:val="true"/>
        </w:rPr>
        <w:t>الشبهة السابعة</w:t>
      </w:r>
      <w:r>
        <w:rPr>
          <w:rtl w:val="true"/>
        </w:rPr>
        <w:t xml:space="preserve">: </w:t>
      </w:r>
      <w:r>
        <w:rPr>
          <w:rtl w:val="true"/>
        </w:rPr>
        <w:t xml:space="preserve">استحالة جمع أعضاء البدن ومكوناته المتناثرة </w:t>
      </w:r>
      <w:r>
        <w:rPr>
          <w:rtl w:val="true"/>
        </w:rPr>
        <w:t>:</w:t>
      </w:r>
      <w:bookmarkEnd w:id="548"/>
    </w:p>
    <w:p>
      <w:pPr>
        <w:pStyle w:val="BookText"/>
        <w:rPr/>
      </w:pPr>
      <w:r>
        <w:rPr>
          <w:rFonts w:ascii="Amiri" w:hAnsi="Amiri" w:eastAsia="Amiri" w:cs="Amiri"/>
          <w:color w:val="111111"/>
          <w:sz w:val="28"/>
          <w:sz w:val="28"/>
          <w:szCs w:val="28"/>
          <w:rtl w:val="true"/>
          <w:lang w:bidi="ar-SA"/>
        </w:rPr>
        <w:t>قصور عقل الإنسان يقيّده بالفكر المادّي البحت ويحجبه عن تلك القدرة الماورائية التي لا حدّ لها ولا نطاق، لذلك عجز بعض منكري المعاد عن تصوّر وجود هكذا قدرة عظيمة زاعمين استحالة جمع أعضاء بدن الإنسان ومكوّناته الدقيقة بعد تناثرها وتلاشيها في التراب ولا سيّما بعد أن تمضي قرون طويلة بحيث لا يبقى منها شيءٌ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العزيز القدير تحدّى هؤلاء وأكّد لهم في كتابه الكريم بأنّه على كلّ شيءٍ قديرٍ ولا تعزب عنه ذرّةٌ إلّا أحصاها، فهو الذي أوجدها من العدم في خلقتها الأولى، إذ قال</w:t>
      </w:r>
      <w:r>
        <w:rPr>
          <w:rFonts w:eastAsia="Amiri" w:cs="Amiri" w:ascii="Amiri" w:hAnsi="Amiri"/>
          <w:color w:val="111111"/>
          <w:sz w:val="28"/>
          <w:szCs w:val="28"/>
          <w:rtl w:val="true"/>
          <w:lang w:bidi="ar-SA"/>
        </w:rPr>
        <w:t xml:space="preserve">: </w:t>
      </w:r>
      <w:bookmarkStart w:id="549" w:name="pg16299_219626"/>
    </w:p>
    <w:p>
      <w:pPr>
        <w:pStyle w:val="BookText"/>
        <w:rPr/>
      </w:pPr>
      <w:bookmarkEnd w:id="5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الَّذِينَ كَفَرُوا لَا تَأْتِينَا السَّاعَةُ 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لِيَجْزِيَ الَّذِينَ آمَنُوا وَعَمِلُوا الصَّالِحَاتِ أُولَئِكَ لَهُمْ مَغْفِرَةٌ وَرِزْقٌ كَرِيمٌ </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5369985_1280447820"/>
      <w:bookmarkStart w:id="551" w:name="_Toc211"/>
      <w:bookmarkEnd w:id="550"/>
      <w:r>
        <w:rPr>
          <w:rtl w:val="true"/>
        </w:rPr>
        <w:t>*</w:t>
      </w:r>
      <w:r>
        <w:rPr>
          <w:rtl w:val="true"/>
        </w:rPr>
        <w:t xml:space="preserve">الشبهة الثامنة </w:t>
      </w:r>
      <w:r>
        <w:rPr>
          <w:rtl w:val="true"/>
        </w:rPr>
        <w:t xml:space="preserve">: </w:t>
      </w:r>
      <w:r>
        <w:rPr>
          <w:rtl w:val="true"/>
        </w:rPr>
        <w:t xml:space="preserve">امتزاج خلايا البدن بعد موته مع أبدان حيّة أخرى </w:t>
      </w:r>
      <w:r>
        <w:rPr>
          <w:rtl w:val="true"/>
        </w:rPr>
        <w:t>(</w:t>
      </w:r>
      <w:r>
        <w:rPr>
          <w:rtl w:val="true"/>
        </w:rPr>
        <w:t xml:space="preserve">شبهة الآكل والمأكول </w:t>
      </w:r>
      <w:r>
        <w:rPr>
          <w:rtl w:val="true"/>
        </w:rPr>
        <w:t>):</w:t>
      </w:r>
      <w:bookmarkEnd w:id="551"/>
    </w:p>
    <w:p>
      <w:pPr>
        <w:pStyle w:val="BookText"/>
        <w:rPr/>
      </w:pPr>
      <w:r>
        <w:rPr>
          <w:rFonts w:ascii="Amiri" w:hAnsi="Amiri" w:eastAsia="Amiri" w:cs="Amiri"/>
          <w:color w:val="111111"/>
          <w:sz w:val="28"/>
          <w:sz w:val="28"/>
          <w:szCs w:val="28"/>
          <w:rtl w:val="true"/>
          <w:lang w:bidi="ar-SA"/>
        </w:rPr>
        <w:t xml:space="preserve">إحدى الشبهات الشائعة والمعقدة التي تشبّث بها منكرو المعاد هي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الآكل والمأكول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فحواها تداخل وامتزاج خلايا الكائن الحيّ بعد موته مع خلايا ومكوّنات كائن حىّ 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وتقريرها بالتفصيل 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شواهد تأريخية تدلّ على وجود أكلة لحوم البشر فضلاً عن أنّ بعض الناس حين الجفاف والجدب المدقع قد يبادرون إلى أكل لحوم بني جلدتهم ممّا يترتّب عليه حدوث تداخل وامتزاج مباشر في الخلايا المكوّنة لأبدانهم، ومن الممكن أن يحدث هذا الأمر بشكل غير مباشر كما لو تلاشى بدن المتوفى في التراب وامتصّته جذور النباتات التي يتغذى منها الإنسان أو الحيوان مأكول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كلتا الحالتين المذكوريتين تنتقل خلايا بدن الميّت إلى بدن الحيّ وتختلط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أساس ما ذكر، تساءل بعضهم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ستحشر الخلايا التي انتقلت من بدن الميّت إلى بدن الحيّ في يوم القيامة؟ فهل ستحشر في إطار بدن الآكل أو المأكول؟ وبما أنّ بني آدم سيحشرون من دون أيّ نقصٍ في هيئتهم البنيوية، فكيف يتمّ تعويض هذا النقص في الخلايا المشتركة بين البدنين، إذ لو حشرت في البدن الأوّل كيف يتمّ تعويضها في البدن الثاني، والعكس صحيح؟</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للاطلاع أكثر،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تجريد الاعتقاد، 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الشبهة ونقضها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الكلام فنّدوا هذه الشبهة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الإنسان مكوّنٌ من أجزاء أصلية وأخرى فرعية، أمّا الأصلية فهي مصونة من أيّ زيادة أو نقصانٍ ولا يمكن أن يطرأ عليها التغيير والتحوّل، في حين الفرعية من شأنها أن تتغيّر وتنتقل من بدنٍ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الفلسفة بدورهم تطرّقوا إلى نقض هذه الشبهة في ضمن بيانهم لحقيقة الوجود الإنساني،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الإنسان متقوّمة على الروح التي هي عبارةٌ عن حقيقةٍ تتعلّق بالبدن المادّي فتدبّر شؤونه ومن ثمّ تجعله تابعاً لها، لذا ليس من الممكن أن تتغيّر أو تنتقل إلى بدنٍ آخر إثر التغييرات التي تطرأ على البدن الذي تحلّ فيه، فهي واقع شخصية الإنسان الثابتة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أكّد الفلاسفة على أنّ الإنسان طوال حياته المادية يواجه تغييراتٍ جذريةً في بدنه من الناحيتين الكمّية والنوعية، لكنّ روحه تبقى على حالها من دون أن يطالها أيّ تغيير ذاتيٍّ، فهي واحدة غير قابلةٍ للتقسيم ولا الزوال، وتبعاً لذلك يظلّ الإنسان بما هو إنسان، واحداً لا ثاني له</w:t>
      </w:r>
      <w:r>
        <w:rPr>
          <w:rFonts w:eastAsia="Amiri" w:cs="Amiri" w:ascii="Amiri" w:hAnsi="Amiri"/>
          <w:color w:val="111111"/>
          <w:sz w:val="28"/>
          <w:szCs w:val="28"/>
          <w:rtl w:val="true"/>
          <w:lang w:bidi="ar-SA"/>
        </w:rPr>
        <w:t xml:space="preserve">. </w:t>
      </w:r>
      <w:bookmarkStart w:id="552" w:name="pg16299_219628"/>
    </w:p>
    <w:p>
      <w:pPr>
        <w:pStyle w:val="BookText"/>
        <w:rPr/>
      </w:pPr>
      <w:bookmarkEnd w:id="552"/>
      <w:r>
        <w:rPr>
          <w:rFonts w:ascii="Amiri" w:hAnsi="Amiri" w:eastAsia="Amiri" w:cs="Amiri"/>
          <w:color w:val="111111"/>
          <w:sz w:val="28"/>
          <w:sz w:val="28"/>
          <w:szCs w:val="28"/>
          <w:rtl w:val="true"/>
          <w:lang w:bidi="ar-SA"/>
        </w:rPr>
        <w:t xml:space="preserve">من البديهي أنّ هذه التغييرات دنيويّة مادّية تحدث في عالم الطبيعة، لكن من الممكن أن تسري إلى عالم الآخرة بنحوٍ آخر ، فقد ذكر الكتاب الحكيم أنّ الكفّار المعذّبين في جهنّم تصطلي جلودهم بالنار وإثر ذلك يبدلهم الله العزيز القهّار جلوداً أخرى، كما في الآية المباركة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استناداً إلى ما ذكر في النقاط الثمانية نستنتج أنّ المشكّكين بالحياة الأخروية لم يطرحوا أية شبهةٍ حقةٍّ مدعومةٍ ببرهانٍ جليّ يمكن الاعتماد عليه لإنكار البعث بعد الممات، وإنّما ذكروا مزاعم وتخمينات منبثقة من نزعات نفسية وتصوّرات عارية عن الصحة، وكلّ ما جاؤوا به قد تمّ تفنيده في كتاب الله العزيز الذي أكّد على قدرة البارئ اللامتناهية وحقيقة الروح الإنسانية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كلّ ما ذكر، فهؤلاء حتّى وإن لجؤوا إلى بعض العلوم الإنسانية لإنكار حقيقة المعاد، إلّا أنّ أطروحاتهم لا تسمن ولا تغني من جوع، إذ لا يمكن لعلم النفس أو الاجتماع أو أيّ علم تجريبي آخر نفي حقيقة البعث والحياة بعد الممات والأكثر وهناً من ذلك ما يدّعيه أصحاب النزعات المادية البحتة من المتعطّشين لملذّات الدنيا والثروات والمناصب السياسية، إذ يرفضون مبدأ المعاد من منطلق أهواء نفسية وبالاستناد إلى شبهاتٍ عقيمةٍ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369987_1280447820"/>
      <w:bookmarkStart w:id="554" w:name="_Toc212"/>
      <w:bookmarkEnd w:id="553"/>
      <w:r>
        <w:rPr>
          <w:rtl w:val="true"/>
        </w:rPr>
        <w:t xml:space="preserve">* </w:t>
      </w:r>
      <w:r>
        <w:rPr>
          <w:rtl w:val="true"/>
        </w:rPr>
        <w:t xml:space="preserve">الشبهة التاسعة التناسخ </w:t>
      </w:r>
      <w:r>
        <w:rPr>
          <w:rtl w:val="true"/>
        </w:rPr>
        <w:t>:</w:t>
      </w:r>
      <w:bookmarkEnd w:id="554"/>
    </w:p>
    <w:p>
      <w:pPr>
        <w:pStyle w:val="BookText"/>
        <w:rPr/>
      </w:pPr>
      <w:r>
        <w:rPr>
          <w:rFonts w:ascii="Amiri" w:hAnsi="Amiri" w:eastAsia="Amiri" w:cs="Amiri"/>
          <w:color w:val="111111"/>
          <w:sz w:val="28"/>
          <w:sz w:val="28"/>
          <w:szCs w:val="28"/>
          <w:rtl w:val="true"/>
          <w:lang w:bidi="ar-SA"/>
        </w:rPr>
        <w:t xml:space="preserve">التناسخ هو اعتقاد مشتركٌ بين أتباع المذهب العرفاني الشرقي وعلماء الباراسيكولوجيا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شاعت فيه ظاهرة التنويم المغناطيسي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 الموضوع الذي يدور حوله البحث في هذه العقيدة يمكن تلخيصه في السؤالين الآتيين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 الروح الإنسانية أو الحيوانية تتعلّق ببدنٍ واحدٍ وبعد الموت تلج في عالمٍ آخر غير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تحلّ الروح الإنسانية أو الحيوانية بعد الموت في بدن آخر لتواصل حياتها الدنيوية؟</w:t>
      </w:r>
    </w:p>
    <w:p>
      <w:pPr>
        <w:pStyle w:val="BookText"/>
        <w:rPr/>
      </w:pPr>
      <w:r>
        <w:rPr>
          <w:rFonts w:ascii="Amiri" w:hAnsi="Amiri" w:eastAsia="Amiri" w:cs="Amiri"/>
          <w:color w:val="111111"/>
          <w:sz w:val="28"/>
          <w:sz w:val="28"/>
          <w:szCs w:val="28"/>
          <w:rtl w:val="true"/>
          <w:lang w:bidi="ar-SA"/>
        </w:rPr>
        <w:t>المعتقدون بالتناسخ يذهبون إلى أنّ الروح تحلّ في بدن آخر بعد موت البدن الأوّل،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تفارق الروح جسد الكائن الحيّ إثر الموت، تنتقل إلى جسد آخر إنسانيٍّ أو حيوانيٍّ أو نباتيٍّ، بل من الممكن أن تتلبّس في أحد الجمادات؛ حيث تتوالى هذه العملية فتسري من جسدٍ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الشبهة ونقضها</w:t>
      </w:r>
    </w:p>
    <w:p>
      <w:pPr>
        <w:pStyle w:val="BookText"/>
        <w:rPr/>
      </w:pPr>
      <w:r>
        <w:rPr>
          <w:rFonts w:ascii="Amiri" w:hAnsi="Amiri" w:eastAsia="Amiri" w:cs="Amiri"/>
          <w:color w:val="111111"/>
          <w:sz w:val="28"/>
          <w:sz w:val="28"/>
          <w:szCs w:val="28"/>
          <w:rtl w:val="true"/>
          <w:lang w:bidi="ar-SA"/>
        </w:rPr>
        <w:t xml:space="preserve">من البديهي أنّ هذه العقيدة تتعارض بالكامل مع حكم العقل ودلالات القرآن الكريم، فقد قال العزيز العليم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في القرآن الكريم تدلّ على عودة الروح إلى الله عزّ وجلّ بعد موت البدن المادّي،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العقيدة باطلة أيضاً من الناحية العقلية، إذ يتّرتب عليها اجتماع روحين في بدنٍ واحدٍ، إحداهما تحلّ في البدن بعد أن يصبح وعاءً مستعدّاً لتلقّي الفيض الإلهيّ ولائقاً للاتّصاف بالحياة، والأخرى هي التي تنتقل إليه من بدنٍ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العقل يدرك بالبداهة استحالة حلول روحين في بدنٍ واحدٍ من منطلق مبدأ الوحدة الشخصية، وهذا الأمر مدعوم بمبدأ الحركة الجوهرية، لأنّ البدن يطوي مسيرته التكاملية على أساس هذه الحركة فيصل إلى مرحلة تجعله متصفاً بقابلية ولوج الروح فيه، ولو تعلّقت فيه روح أخرى في هذه الحالة فهذا يعني اجتماع روحين في بدنِ واحدٍ ؛ وهو محالٌ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ولصاحب تفسير الميزان العلّامة محمد حسين الطباطبائي استدلال مبسوط حول تفنيد عقيدة التناسخ،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المحصّل من الحسّ والبرهان أنّ الجوهر النباتي المادّي إذا وقعت في صراط الاستكمال الحيواني، فإنّه يتحرّك إلى الحيوانية، فيتصوّر بالصورة الحيوانية، وهي صورةً مجرّدة بالتجرّد البرزخي ،وحقيقتها إدراك الشيء نفسه بإدراك جزئيٍّ خياليٍّ؛ وهذه الصورة وجود كامل للجوهر النباتي وفعلية لهذه القوّة تلبّس بها </w:t>
      </w:r>
      <w:r>
        <w:rPr>
          <w:rStyle w:val="FootnoteAnchor"/>
          <w:rtl w:val="true"/>
        </w:rPr>
        <w:footnoteReference w:id="599"/>
      </w:r>
      <w:r>
        <w:rPr>
          <w:rFonts w:ascii="Amiri" w:hAnsi="Amiri" w:eastAsia="Amiri" w:cs="Amiri"/>
          <w:color w:val="111111"/>
          <w:sz w:val="28"/>
          <w:sz w:val="28"/>
          <w:szCs w:val="28"/>
          <w:rtl w:val="true"/>
          <w:lang w:bidi="ar-SA"/>
        </w:rPr>
        <w:t>بالحركة الجوهرية، ومن المحال أن ترجع يوماً إلى الجوهر المادّي فتصير إيَّاه إلّا أن تفارق مادّتها فتبقى المادّة مع صورة مادّية كالحيوان تموت فيصير جسداً لا حراك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الصورة الحيوانية مبدأ لأفعال إدراكية تصدر عنها وأحوال علمية تترتب عليها، تنتقش النفس بكلّ واحدٍ من تلك الأحوال بصدورها منها، ولا يزال نقشٌ عن نقشٍ، وإذا تراكمت من هذه النقوش ما هي متشاكلةٌ متشابهةٌ، تحصّل نقشٌ واحدٌ وصار صورةً ثابتةً غير قابلةٍ للزوال وملكةً راسخةً؛ وهذه صورة نفسانية جديدة يمكن أن يتنوّع بها نفسٌ حيوانيٌّ فتصير حيواناً خاصّاً ذا صورةٍ خاصةٍ منوّعةٍ كصورة المكر والحقد والشهوة والوفاء والافتراس، وغير ذلك؛ وإذا لم تحصل ملكةٌ بقي النفس على مرتبتها الساذجة السابقة، كالنبات إذا وقفت عن حركتها الجوهرية بقي نباتاً ولم يخرج إلى الفعلية الحيوانية، ولو أنّ النفس البرزخية تتكامل من جهة أحوالها وأفعالها بحصول الصورة دفعةً، لانقطعت علقتها مع البدن في أوّل وجودها، لكنّها تتكامل بواسطة أفعالها الإدراكية </w:t>
      </w:r>
    </w:p>
    <w:p>
      <w:pPr>
        <w:pStyle w:val="BookText"/>
        <w:rPr/>
      </w:pPr>
      <w:r>
        <w:rPr>
          <w:rFonts w:ascii="Amiri" w:hAnsi="Amiri" w:eastAsia="Amiri" w:cs="Amiri"/>
          <w:color w:val="111111"/>
          <w:sz w:val="28"/>
          <w:sz w:val="28"/>
          <w:szCs w:val="28"/>
          <w:rtl w:val="true"/>
          <w:lang w:bidi="ar-SA"/>
        </w:rPr>
        <w:t xml:space="preserve">المتعلقة بالمادّة شيئاً فشيئاً حتى تصير حيواناً خاصّاً إن عمّر العمر الطبيعي أو قدراً معتدّاً به، وإن حال بينه وبين استتمام العمر الطبيعي أو القدر المعتدّ به مانعٌ كالموت الاخترامي، بقي على ما كان عليه من سذاجة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الحيوان إذا وقعت في صراط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الوجود الذي يعقل ذاته تعقلاً كلياً مجرّداً عن المادّة ولوازمها من المقادير والألوان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بالحركة الجوهرية من فعلية المثال التي هي قوة العقل إلى فعلية التجرّد العقلي، وتحقّقت له صورة الإنسان بالفعل ، ومن المحال أن تعود هذه الفعلية إلى قوّتها التي هي التجرّد المثالي على حدّ ما ذكر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لهذه الصورة أيضاً أفعالاً وأحوالاً تحصل بتراكمها التدريجي صورةٌ خاصّةٌ جديدةٌ توجب تنوّع النوعية الإنسانية على حدّ ما ذكر نظيره في النوعية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ذكرناه ظهر لك أنّا لو فرضنا إنساناً رجع بعد موته إلى الدنيا وتجدّد لنفسه التعلّق بالمادة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المادّة التي كانت متعلّقة نفسه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يبطل بذلك أصل تجرّد نفسه، فقد كانت مجرّدةً قبل انقطاع العلقة ومعها أيضاً، وهي مع التعلّق ثانياً حافظةٌ لتجرّدها، والذي كان لها بالموت أنّ الأداة التي كانت رابطة فعلها بالمادة صارت مفقودةً لها، فلا تقدر على فعل مادّي كالصانع إذا فقد آلات صنعته والأدوات اللازمة لها، فإذا عادت النفس إلى تعلّقها الفعلي بالمادة أخذت في استعمال قواها وأدواتها البدنية ووضعت ما اكتسبتها من الأحوال والملكات بواسطة الأفعال فوق ما كانت حاضرةً وحاصلةً لها من قبل واستكملت بها استكمالاً جديداً من غير أن يكون ذلك منه رجوعاً قهقرى وسيراً نزولياً من الكمال إلى النقص ومن الفعل إلى القوّة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يوجب القول بالقسر الدائم مع ضرورة بطلانه، فإنّ النفس المجرّدة المنقطعة عن البدن لو بقي في طباعها إمكان الاستكمال من جهة الأفعال المادية بالتعلّق بالمادّة ثانياً، كان بقاؤها على الحرمان من الكمال إلى الأبد حرماناً عمّا تستدعيه بطباعها، فما كلّ نفسٍ براجعةٍ إلى الدنيا بإعجازٍ أو خرق عادةٍ، والحرمان المستمرّ قسرٌ دائمٌ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النفوس التي خرجت من القوّة إلى الفعل في الدنيا واتصلت إلى حدّ وماتت عندها ،لا تبقى على إمكان الاستكمال اللاحق دائماً، بل يستقرّ على فعليّتها الحاضرة بعد حينٍ أو تخرج إلى الصورة العقليّة المناسبة لذلك وتبقى على ذلك وتزول الإمكان المذكور بعد ذلك، فالإنسان الذي مات وله نفس ساذجةً غير أنّه فعل أفعالاً وخلط عملاً صالحاً وآخر سيّئاً ، لو عاش حيناً أمكن أن يكتسب على نفسه الساذجة صورةً سعيدةً أو شقيةً؛ وكذا لو عاد بعد الموت إلى الدنيا وعاش، أمكن أن يكتسب على صورته السابقة صورةً خاصةً جديدةً، وإذا لم يعد فهو في البرزخ مثابٌ أو معذّبٌ بما كسبته من الأفعال حتى يتصوّر بصورةٍ عقليّةٍ مناسبةٍ لصورته السابقة المثالية، وعند ذلك يبطل الإمكان المذكور ويبقى إمكانات الاستكمالات العقلية، فإن عاد إلى الدنيا كالأنبياء والأولياء لو عادوا إلى الدنيا بعد موتهم، أمكن أن يحصل صورةً أخرى عقليّة من ناحية المادّة والأفعال المتعلّقة بها، ولو لم يعد فليس له إلّا ما كسب من الكمال والصعود في مدارجه والسير في صراطه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ليس قسراً دائماً، ولو كان مجرد حرمانٍ موجودٍ عن كماله الممكن له بواسطة عمل عواملٍ وتأثير عللٍ مؤثّرةٍ قسراً دائماً، لكان أكثر حوادث هذا العالم الذي هو دار التزاحم وموطن التضادّ أو جميعها قسراً دائماً، فجميع أجزاء هذا العالم الطبيعي مؤثرةٌ في الجميع، وإنّما القسر الدائم أن يجعل في غريزة نوع من الأنواع اقتضاء كمالٍ من الكمالات أو استعداد، ثمّ لا يظهر أثر ذلك دائماً إمّا لأمر في داخل ذاته أو لأمر من خارج ذاته متوجّه إلى إبطاله بحسب الغريزة، فيكون تغريز النوع المقتضي أو المستعدّ للكمال تغريزاً باطلاً وتجبيلاً هباءً لغواً؛ فافهم ذلك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فرضنا إنساناً تغيرت صورته إلى صورة نوعٍ آخر من أنواع الحيوان كالقرد والخنزير، فإنّما هي صورةٌ على صورةٍ، فهو إنسانٌ خنزيرٌ أو إنسانٌ قردةٌ، لا إنسان بطلت إنسانيته وحلّت الصورة الخنزيرية أو القردية محلّها، فالإنسان إذا كسب صورةً من صور الملكات تصوّرت نفسه بها؛ ولا دليل على استحالة خروجها في هذه الدنيا </w:t>
      </w:r>
    </w:p>
    <w:p>
      <w:pPr>
        <w:pStyle w:val="BookText"/>
        <w:rPr/>
      </w:pPr>
      <w:r>
        <w:rPr>
          <w:rFonts w:ascii="Amiri" w:hAnsi="Amiri" w:eastAsia="Amiri" w:cs="Amiri"/>
          <w:color w:val="111111"/>
          <w:sz w:val="28"/>
          <w:sz w:val="28"/>
          <w:szCs w:val="28"/>
          <w:rtl w:val="true"/>
          <w:lang w:bidi="ar-SA"/>
        </w:rPr>
        <w:t>من الكمون إلى البروز على حدّ ما ستظهر في الآخرة بعد الموت، وقد مرّ أنّ النفس الإنسانيّة في أوّل حدوثها على السذاجة يمكن أن تتنوّع بصورة خاصّة تخصّصها بعد الإبهام و تقيّدها بعد الإطلاق والقبول، فالممسوخ من الإنسان إنسانٌ ممسوخٌ لا أنّه ممسوخ فاقد للإنسانية هذا ، ونحن نقرأ في المنشورات اليومية من أخبار المجامع العلمية بأوربا وأمريكا ما يؤخذ جواز الحياة بعد الموت وتبدّل صورة الإنسان بصورة المسخ، وإن لم نتكل في هذه المباحث على أمثال هذه الأخبار، لكن من الواجب على الباحثين من المحصّلين أن لا ينسوا اليوم ما يتلونه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هذا فلا مانع من القول بالتناسخ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كلا فإنّ التناسخ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النفس المستكملة بنوع كمالها بعد مفارقتها البدن ببدن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فإنّ هذا البدن إن كان ذا نفس استلزم التناسخ تعلّق نفسين ببدنٍ واحد، وهو وحدة الكثير وكثرة الواحد؛ وإن لم تكن ذا نفس، استلزم رجوع ما بالفعل إلى القوّة، كرجوع الشيخ إلى الصبا، وكذلك يستحيل تعلّق نفس إنساني مستكملة مفارقة ببدن نباتي أو حيواني بما مرّ من البيان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555" w:name="pg16299_219634"/>
    </w:p>
    <w:p>
      <w:pPr>
        <w:pStyle w:val="Heading3"/>
        <w:numPr>
          <w:ilvl w:val="2"/>
          <w:numId w:val="1"/>
        </w:numPr>
        <w:rPr/>
      </w:pPr>
      <w:bookmarkStart w:id="556" w:name="__RefHeading___Toc5369989_1280447820"/>
      <w:bookmarkStart w:id="557" w:name="_Toc213"/>
      <w:bookmarkEnd w:id="555"/>
      <w:bookmarkEnd w:id="556"/>
      <w:r>
        <w:rPr/>
        <w:t>39</w:t>
      </w:r>
      <w:r>
        <w:rPr>
          <w:rtl w:val="true"/>
        </w:rPr>
        <w:t xml:space="preserve">. </w:t>
      </w:r>
      <w:r>
        <w:rPr>
          <w:rtl w:val="true"/>
        </w:rPr>
        <w:t>منازل الآخرة</w:t>
      </w:r>
      <w:bookmarkEnd w:id="557"/>
    </w:p>
    <w:p>
      <w:pPr>
        <w:pStyle w:val="Heading4"/>
        <w:numPr>
          <w:ilvl w:val="3"/>
          <w:numId w:val="1"/>
        </w:numPr>
        <w:rPr/>
      </w:pPr>
      <w:bookmarkStart w:id="558" w:name="__RefHeading___Toc5369991_1280447820"/>
      <w:bookmarkStart w:id="559" w:name="_Toc214"/>
      <w:bookmarkEnd w:id="558"/>
      <w:r>
        <w:rPr>
          <w:rtl w:val="true"/>
        </w:rPr>
        <w:t>إشارة</w:t>
      </w:r>
      <w:bookmarkEnd w:id="559"/>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واحداً من المباحث الهامة المطروحة في مجال المعاد والحياة بعد الممات والمراد منه تلك المواقف التي يمرّ بها الإنسان بعد أن يفارق الحياة الدنيا حتى يلاقي مصيره المحتوم في جنة النعيم أو عذاب السعير، ولا تتسنّى لنا معرفتها إلّا في رحاب النصوص القرآنية والروائية؛ لذا يمكن تصنيفها بالترتيب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القبر والبرزخ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والنار والأعراف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نتطرّق إلى شرحها وتفصيلها من زاويةٍ قرآنيةٍ حسب الترتيب أعلاه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369993_1280447820"/>
      <w:bookmarkStart w:id="561" w:name="_Toc215"/>
      <w:bookmarkEnd w:id="560"/>
      <w:r>
        <w:rPr>
          <w:rtl w:val="true"/>
        </w:rPr>
        <w:t>المنزل الأوّل</w:t>
      </w:r>
      <w:r>
        <w:rPr>
          <w:rtl w:val="true"/>
        </w:rPr>
        <w:t xml:space="preserve">: </w:t>
      </w:r>
      <w:r>
        <w:rPr>
          <w:rtl w:val="true"/>
        </w:rPr>
        <w:t xml:space="preserve">الموت </w:t>
      </w:r>
      <w:r>
        <w:rPr>
          <w:rtl w:val="true"/>
        </w:rPr>
        <w:t>:</w:t>
      </w:r>
      <w:bookmarkEnd w:id="56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تفارق الروحُ الجسدَ لحظة الموت فهي تلج في عالمٍ جديدٍ، لذا يمكن اعتبار هذه اللحظة نهايةً للحياة الأولى وبدايةً لحياةٍ أخرى، حيث قال خاتم الأنبياء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الموت أوّل منزلٍ من منازل الآخرة، وآخر منزلٍ من منازل الدنيا، فطوبى لمن أكرم عند النزول بأوّلها، وطوبى لمن أحسن مشايعته في آخرها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من الآيات القرآنية تحدّثت عن الموت،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وَكُنْتُمْ أَمْوَاتًا فَأَحْيَاكُمْ ثُمَّ يُمِيتُكُمْ ثُمَّ يُحْيِيكُمْ ثُمَّ إِلَيْهِ تُرْجَعُونَ </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نستلهم من هذه الآيات أنّ الموت لا يعني فناء الإنسان، فقد عبّر الله تعالى عنه في بالوفاة التي تعني قبض الروح واستلالها من البدن بواسطة الله تعالى أو ملائكته، ومن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 قَضَى عَلَيْهَا الْمَوْتَ وَيُرْسِلُ الْأُخْرَى إِلَى أَجَلٍ مُسَمًّى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واضحٌ في الآية المباركة، فإنّ قبض روح الإنسان لا يقتصر على الموت فحسب، فالمنام أيضاً يعدّ ضرباً من ضروب الموت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بأنّه انتقال من دارٍ إلى أخرى وعدّه بقاءً وليس فناء،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بالله ما تنالون من الدنيا نعمةً تفرحون بها إلّا بفراق أُخرى تكرمونها، أيها الناس إنّا خلقنا وإياكم للبقاء لا للفناء، لكنّكم من دارٍ إلى دارٍ تُنقلون؛ فتزوّدوا لما أنتم صائرون إليه وخالدون فيه</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الجدير بالذكر هنا أنّ الموت سنةٌ شموليةٌ بحيث يطرأ على كلّ كائنٍ حيٍّ في حياته الدنيوية، فهذه المرحلة من الحياة فانية وتبعاً لذلك سيفني كلّ ما فيها، إذ أكّد الخالق البارئ تبارك شأنه على هذه الحقيقة في آياتٍ عدة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وَإِنَّهُمْ مَيِّتُونَ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لِبَشَرٍ مِنْ قَبْلِكَ الْخُلْدَ أَفَإِنْ مِتَّ فَهُمُ الْخَالِدُونَ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حقٌّ وهو حتمٌ محتومٌ، ولكن من ذا الذي يقبض الأرواح؟ أشار القرآن الكريم إلى أنّ الله تعالى وملك الموت وسائر الملائكة يقومون بقبض الأرواح، وذلك في الآيات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الآيات في الحقيقة ليست متناقضةً في دلالاتها من حيث المتولّي المباشر لقبض الأرواح، إذ قد يقوم الله العزيز القدير بهذا الأمر مباشرةً بحقّ بعض عباده، ويوكل بعضهم الآخر إلى ملك الموت وسائر الملائكة، ومن البديهي أنّ قبض الروح في جميع الأحوال إنّما يتمّ بأمرٍ منه تبارك شأنه؛ لذا يستند إليه هذا الفعل من منطلق مبدأ التوحيد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ملك الموت لا يقبض جميع الأرواح بنمطٍ واحدٍ، فهو يستلّ روح المؤمن براحةٍ وطمأنينةٍ في حين يزهق روح الكافر بمشقّةٍ وعذابٍ، فقد قال تعالى في كتابه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كلنا يعلم بأنّ غالبية الناس يخشون من الموت ولا يرغبون بالتخلّي عن الحياة الدنيوية، ذلك لأسباب عديدة، منها عدم فهمهم لحقيقة الموت وتصوّر كونه فناءً وعدماً، أو بسبب الخوف من سوء العاقبة إثر أعمالهم السيّئة وتنصّلهم عن أحكام الشريعة، أو أنّ الدافع لذلك حبّ الدنيا وملذّاتها الفانية؛ والآيات الآتية تطرّقت إلى ذكر جملة من هذه الأسباب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للحسن ابن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صديقٌ، وكان ماجناً فتباطأ عليه أياماً؛ فجاءه يوماً 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أصبحت؟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أصبحت بخلاف ما أُحبّ ويحبّ الله ويحب الشيطان فضحك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وجلّ يحبّ أن أُطيعه ولا أعصيه، ولست كذلك؛ والشيطان يحبّ أن أعصي الله ولا أُطيعه ولست كذلك؛ وأنا أحبّ أن لا أموت ولست كذلك،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بالنا نكره الموت ولا نحبّه؟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أخربتم آخرتكم وعمرتم دنياكم فأنتم تكرهون النقلة من العمران إلى الخراب</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في أنّ غاية الله تعالى من وراء خلقة الإنسان في الحياة الدنيا ثمّ قبض روحه كي ينتقل إلى عالمٍ آخر، هي ابتلاؤه واختباره كي يميز الخبيث من الطيّب؛ لذلك وفّر له كلّ سبل الهداية والصلاح في الحياة الدنيا صيانةً له من الانجرار وراء وساوس الشيطان، فقد قال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شرّع الله عزّ وجلّ التوبة لعباده المذنبين بغية تمكينهم من الرجوع إلى فطرتهم السليمة وتشويقهم على الإعراض عن كلّ ما يبعدهم عن الحقّ والحقيقة، ولكنّ هذا الندم يجب أن يتمّ أثناء الحياة التي يتمكّن الإنسان فيها من ارتكاب المعاصي، لذلك فهو غير ناجعٍ في لحظة نزع الروح، حيث قال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وَكَانَ اللَّهُ عَلِيمًا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وَجَاوَزْنَا بِبَنِي إِسْرَائِيلَ الْبَحْرَ فَأَتْبَعَهُمْ فِرْعَوْنُ وَجُنُودُهُ بَغْيًا وَعَدْوًا حَتَّى إِذَا أَدْرَكَهُ الْغَرَقُ قَالَ آمَنْتُ أَنَّهُ لَا إِلَهَ إِلَّا الَّذِي آمَنَتْ بِهِ بَنُو إِسْرَائِيلَ وَأَنَا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لحظة مفارقة الروح للبدن تبدأ عندما تنتاب الإنسان سكرات الموت، ففي هذه اللحظة يستعدّ للانتقال إلى مرحلةٍ جديدةٍ من حياته ويغادر الدنيا إلى الأبد رغماً عنه، حيث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ذَلِكَ مَا كُنْتَ مِنْهُ تَحِيدُ</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ناحيةٍ أخرى، هناك نمط آخر من الموت، ألا وهو الموت الاجتماعي الذي يعني فناء الحضارات والأقوام واضمحلالها، إذ أكّد القرآن الكريم على هذه الحقيقة في آياتٍ عديدةٍ،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الموت حقاً وفرضاً مفروضاً لا محيص منه، يجب على الإنسان أن يكتب وصيّته عند شعوره باقتراب أجله، وهو ما أكّد عليه القرآن الكريم في الآيتين الآتيتين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562" w:name="pg16299_219640"/>
    </w:p>
    <w:p>
      <w:pPr>
        <w:pStyle w:val="BookText"/>
        <w:rPr/>
      </w:pPr>
      <w:bookmarkEnd w:id="56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5369995_1280447820"/>
      <w:bookmarkStart w:id="564" w:name="_Toc216"/>
      <w:bookmarkEnd w:id="563"/>
      <w:r>
        <w:rPr>
          <w:rtl w:val="true"/>
        </w:rPr>
        <w:t>المنزل الثاني</w:t>
      </w:r>
      <w:r>
        <w:rPr>
          <w:rtl w:val="true"/>
        </w:rPr>
        <w:t xml:space="preserve">: </w:t>
      </w:r>
      <w:r>
        <w:rPr>
          <w:rtl w:val="true"/>
        </w:rPr>
        <w:t xml:space="preserve">القبر والبرزخ </w:t>
      </w:r>
      <w:r>
        <w:rPr>
          <w:rtl w:val="true"/>
        </w:rPr>
        <w:t>:</w:t>
      </w:r>
      <w:bookmarkEnd w:id="564"/>
    </w:p>
    <w:p>
      <w:pPr>
        <w:pStyle w:val="BookText"/>
        <w:rPr/>
      </w:pPr>
      <w:r>
        <w:rPr>
          <w:rFonts w:ascii="Amiri" w:hAnsi="Amiri" w:eastAsia="Amiri" w:cs="Amiri"/>
          <w:color w:val="111111"/>
          <w:sz w:val="28"/>
          <w:sz w:val="28"/>
          <w:szCs w:val="28"/>
          <w:rtl w:val="true"/>
          <w:lang w:bidi="ar-SA"/>
        </w:rPr>
        <w:t>بعد أن تفارق روح الإنسان جسده المادي، تأتي مرحلة الدفن وعالم البرزخ الذي هو عبارة عن حياةٍ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الجسد يدفن تحت التراب في قبر يكون مثواه الأخير في الحياة الدنيا، لكنّ المقصود من عالم البرزخ والحياة في القبر غير هذا الاستقرار البدني، فهو عالم متوسط بين الحياة الدنيا وقيام الساعة، لذا حتّى وإن تلاشت أجساد بعض الناس لأيّ سبب كان ولم تدفن في قبرٍ من ترابٍ فهي في الواقع تستقرّ في قبرٍ برزخيٍّ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الحكيم من ناحيته تطرّق إلى الحديث عن القبرين المادّي والبرزخي، والفقهاء بدورهم ساقوا أبحاثهم الفقهية على صعيد أحكام القبر المادّي، في حين أنّ علماء الفلسفة والكلام انصرفوا إلى بيان حقيقة القبر البرزخي وما تواجهه الروح فيه من شقاءٍ أو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الآيات التي تضمّنت مفاهيم حول القبر المادّي،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أَمَاتَهُ فَأَقْبَرَهُ ثُمَّ إِذَا شَاءَ أَنْشَرَهُ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جملة الآيات التي أشارت إلى عالم البرزخ الذي يتلو الحياة الدنيا ويسبق الحياة الآخرة،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 القرآن الكريم على أنّ المؤمنين في حياتهم البرزخية يكرمون بشتّى أنواع النعم والملذّات التي تشتهيها الأنفس،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يَسْتَبْشِرُونَ بِنِعْمَةٍ مِنَ اللَّهِ وَفَضْلٍ وَأَنَّ اللَّهَ لَا يُضِيعُ أَجْرَ الْمُؤْمِنِينَ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الحقائق التي جاء بها الكتاب الحكيم أنّ الإنسان يموت مرّتين ويحيا مرّتين،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بعد خلقته في الدنيا يطرق بابه الموت، وهذه هي الميتة الأولى، وأمّا الميتة الثانية فتتحقّق في نهاية الحياة البرزخية بعد النفخ في الصور نفخة الموت التي يُصعق إثرها كلّ من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الحياتين اللتين أشار إليهما القرآن الكريم ،فهما الحياة البرزخية والحياة الأخروية التي تبدأ بعد نفخة الحياة النفخة الثانية لإحياء من صُعق في النفخة الأولى؛ فقد قال العليّ القدير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وَأَشْرَقَتِ الْأَرْضُ بِنُورِ رَبِّهَا وَوُضِعَ الْكِتَابُ وَجِيءَ بِالنَّبِيِّينَ وَالشُّهَدَاءِ وَقُضِيَ بَيْنَهُمْ بِالْحَقِّ وَهُمْ لَا يُظْلَمُونَ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البرزخ له مواقف وأوصاف خاصّة تميّزه عن عالمي الدنيا والقيامة، ومن </w:t>
      </w:r>
    </w:p>
    <w:p>
      <w:pPr>
        <w:pStyle w:val="BookText"/>
        <w:rPr/>
      </w:pPr>
      <w:r>
        <w:rPr>
          <w:rFonts w:ascii="IRNazanin" w:hAnsi="IRNazanin" w:eastAsia="IRNazanin"/>
          <w:color w:val="111111"/>
          <w:sz w:val="28"/>
          <w:sz w:val="28"/>
          <w:szCs w:val="28"/>
          <w:rtl w:val="true"/>
          <w:lang w:bidi="fa-IR"/>
        </w:rPr>
        <w:t xml:space="preserve">جملتها سؤال القبر الذي تم التأكيد عليه في عددٍ من الروايات، فقد روي عن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طويل جاء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أيها الناس اتقوا الله واعلموا أنّكم إليه ترجعون فتجد كلّ نفس ما عملت في هذه الدنيا من خيرٍ محضراً وما عملت من سوءٍ تودّ لو أنّ بينها وبينه أمداً بعيداً، ويحذّركم الله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ابن آدم الغافل وليس بمغفولٍ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آدم، إنّ أجلك أسرع شيء إليك، قد أقبل نحوك حثيثاً يطلبك ويوشك أن يدركك وكأن قد أُوفيت أجلك وقبض الملك روحك وصرت إلى منزل وحيداً فردّ إليك فيه روحك واقتحم عليك فيه ملكاك منكر ونكير لمساءلتك وشديد امتحانك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أوّل ما يسألانك عن ربّك الذي كنت تعبده، وعن نبيّك الذي أرسل إليك، وعن دينك الذي كنت تدين به وعن كتابك الذي كنت تتلوه، وعن إمامك الذي كنت تتولّاه؛ ثمّ عن عمرك فيما أفنيته ومالك من أين اكتسبته وفيما أتلفته، فخذ حذرك وانظر لنفسك وأعدّ للجواب قبل الامتحان والمسألة والاختبار، فإن تكُ مؤمناً تقيّاً عارفاً بدينك متّبعاً للصادقين موالياً لأولياء الله ؛ لقّاك الله حجّتك </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أشارت بعض الروايات إلى أنّ سؤال القبر يواجهه صنفان من الناس، وهما المؤمنون حقاً والمعاندون غاية العناد، فقد روى أبوبكر الحضرمي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يُسأل في القبر إلّا من مُحضّ الإيمان محضاً، أو مُحضّ الكفر محضاً، فقال الحضرمي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فسائر الناس؟ أجاب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يُلهى عنهم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ضغطة القبر هي من مختصات عالم البرزخ الأخرى، وهناك عدد من الأحاديث التي تؤكّد على هذه الحقيقة وفيها ما أشار إلى أنّها تعمّ بعض المؤمنين أيضاً، وقد تمّ تبريرها بأنّها كفّارة لما أضاعوه من نعم الله تعالى في الحياة الدنيا، ونوّه بعضها على عدم </w:t>
      </w:r>
      <w:bookmarkStart w:id="565" w:name="pg16299_219643"/>
    </w:p>
    <w:p>
      <w:pPr>
        <w:pStyle w:val="BookText"/>
        <w:rPr/>
      </w:pPr>
      <w:bookmarkEnd w:id="565"/>
      <w:r>
        <w:rPr>
          <w:rFonts w:ascii="Amiri" w:hAnsi="Amiri" w:eastAsia="Amiri" w:cs="Amiri"/>
          <w:color w:val="111111"/>
          <w:sz w:val="28"/>
          <w:sz w:val="28"/>
          <w:szCs w:val="28"/>
          <w:rtl w:val="true"/>
          <w:lang w:bidi="ar-SA"/>
        </w:rPr>
        <w:t>شمولها للمؤمنين الخلّص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5369997_1280447820"/>
      <w:bookmarkStart w:id="567" w:name="_Toc217"/>
      <w:bookmarkEnd w:id="566"/>
      <w:r>
        <w:rPr>
          <w:rtl w:val="true"/>
        </w:rPr>
        <w:t>المنزل الثالث</w:t>
      </w:r>
      <w:r>
        <w:rPr>
          <w:rtl w:val="true"/>
        </w:rPr>
        <w:t xml:space="preserve">: </w:t>
      </w:r>
      <w:r>
        <w:rPr>
          <w:rtl w:val="true"/>
        </w:rPr>
        <w:t xml:space="preserve">القيامة </w:t>
      </w:r>
      <w:r>
        <w:rPr>
          <w:rtl w:val="true"/>
        </w:rPr>
        <w:t>:</w:t>
      </w:r>
      <w:bookmarkEnd w:id="567"/>
    </w:p>
    <w:p>
      <w:pPr>
        <w:pStyle w:val="BookText"/>
        <w:rPr/>
      </w:pPr>
      <w:r>
        <w:rPr>
          <w:rFonts w:ascii="Amiri" w:hAnsi="Amiri" w:eastAsia="Amiri" w:cs="Amiri"/>
          <w:color w:val="111111"/>
          <w:sz w:val="28"/>
          <w:sz w:val="28"/>
          <w:szCs w:val="28"/>
          <w:rtl w:val="true"/>
          <w:lang w:bidi="ar-SA"/>
        </w:rPr>
        <w:t>حينما تحلّ ساعة الحساب في يوم القيامة ينتقل الخلق من عالم البرزخ إلى عالم جديد له خصوصياته الفريدة التي تميّزه عن سائر العوالم فقد قال العزيز الحكيم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ذلك اليوم المصيري تحدث وقائع مدوّية في الكون، كزلزلة الأرض زلزلةً عظيمةً وانشقاق السماء وانفطار القمر، فيتغيّر إثر ذلك النظام الحاكم حيث تخرج الأرض أثقالها وتتلاشى جبالها لتصبح كثيباً مهيلاً ويندرس كلّ ما فيها ويكون كالسراب، وتسجّر البحار ولا يبقى فيها كائن حي، فيتناثر كلّ ما في هذه الأرض في الفضاء وكأنّه عهنٌ منفوشٌ؛ ويختلّ نظم المجرّات الكونية فينطفئ نور نجوم السماء وشموشها التي يفوق حجمها كواكب المنظومة الشمسية أضعافاً مضاعفةً وتتصادم مع بعضها وكأنّ عاصفةً هوجاء أزاحتها عن مداراتها الثابتة طوال ملايين السنين؛ ويجمع الله تعالى الشمس والقمر مع بعضهما، فالسماء التي جعلها في الحياة الدنيا كالسقف الشديد تتزعزع أركانها ويختل نظمها الدقيق فتنشق وتطوى كطيّ السجل وقبل ذلك تأتي بدخان مبين بعد انصهار أجرامها وتحوّلها إلى حممٍ ملتهبةٍ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الأوضاع المزلزلة ينفخ في الصور النفخة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الرعب والندم في النفوس ومن ثمّ لا يبقى كائن حيّ في الوجود ولا يبقى أثر للحياة في عالم الطبيعة إلّا من خلصت أعماله وتنزّهت روحه ممّن عرف الله حقّ معرفته </w:t>
      </w:r>
    </w:p>
    <w:p>
      <w:pPr>
        <w:pStyle w:val="BookText"/>
        <w:rPr/>
      </w:pPr>
      <w:r>
        <w:rPr>
          <w:rFonts w:ascii="Amiri" w:hAnsi="Amiri" w:eastAsia="Amiri" w:cs="Amiri"/>
          <w:color w:val="111111"/>
          <w:sz w:val="28"/>
          <w:sz w:val="28"/>
          <w:szCs w:val="28"/>
          <w:rtl w:val="true"/>
          <w:lang w:bidi="ar-SA"/>
        </w:rPr>
        <w:t xml:space="preserve">وأدرك أسرار الوجود واستحوذت على نفسه محبّة الربّ القدير بكلّ ما للكلمة من معنى؛ وبعد ذلك تبدأ مرحلة جديدة ويلج الخلق في عالم لم تطؤه أقدامهم من قبل وهو عالم البقاء الأبدي الذي يشرق فيه النور الإلهيّ العميم بعد أن ينفخ في الصور النفخة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فيكتنفهم ذهولٌ شديدٌ ويحشرون إلى بارئهم كأنّهم جرادٌ منتشرٌ ويتصوّرون أنّهم لم يلبثوا في عالم البرزخ إلّا ساعة أو يوماً أو بضعة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العالم الجديد تنكشف الحقائق وتتجلّى الحكومة الإلهيّة الشاملة لكلّ من أنكرها في الحياة الدنيا ويسود الصمت والاضطراب وكأنّ القلوب قد بلغت الحناجر ولا يفكّر أيّ مخلوق إلّا بنفسه وبما قدّمه في حياته الأرضية بحيث يفرّ من أقرب مقربيه وأحبّ الخلق لديه، فهو لا يطيق ولداً ولا أمّاً ولا أباً ولا عشيرةً، إذ لكلّ واحدٍ منهم حينئذ ما يغنيه؛ فتنقطع سلسلة الأنساب والأرحام والعلاقات التي ارتكزت على المصالح والنزوات الشيطانية لتتحوّل إلى عداء شديد وحسرة وندم مؤرّق يكدّر النفس أيما تكديرٍ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القرآنية كثيرة على هذا الصعيد، ونذكر منها ما يأتي على سبيل المثال لا الحصر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النُّجُومُ انْكَدَرَتْ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الْجِبَالُ سُيِّرَتْ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السَّمَاءُ كُشِطَتْ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الْجَحِيمُ سُعِّرَتْ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568" w:name="pg16299_219645"/>
    </w:p>
    <w:p>
      <w:pPr>
        <w:pStyle w:val="Heading4"/>
        <w:numPr>
          <w:ilvl w:val="3"/>
          <w:numId w:val="1"/>
        </w:numPr>
        <w:rPr/>
      </w:pPr>
      <w:bookmarkStart w:id="569" w:name="__RefHeading___Toc5369999_1280447820"/>
      <w:bookmarkStart w:id="570" w:name="_Toc218"/>
      <w:bookmarkEnd w:id="568"/>
      <w:bookmarkEnd w:id="569"/>
      <w:r>
        <w:rPr>
          <w:rtl w:val="true"/>
        </w:rPr>
        <w:t>المنزل الرابع</w:t>
      </w:r>
      <w:r>
        <w:rPr>
          <w:rtl w:val="true"/>
        </w:rPr>
        <w:t xml:space="preserve">: </w:t>
      </w:r>
      <w:r>
        <w:rPr>
          <w:rtl w:val="true"/>
        </w:rPr>
        <w:t>النَّفخ في الصور</w:t>
      </w:r>
      <w:r>
        <w:rPr>
          <w:rtl w:val="true"/>
        </w:rPr>
        <w:t>:</w:t>
      </w:r>
      <w:bookmarkEnd w:id="570"/>
    </w:p>
    <w:p>
      <w:pPr>
        <w:pStyle w:val="BookText"/>
        <w:rPr/>
      </w:pPr>
      <w:r>
        <w:rPr>
          <w:rFonts w:ascii="Amiri" w:hAnsi="Amiri" w:eastAsia="Amiri" w:cs="Amiri"/>
          <w:color w:val="111111"/>
          <w:sz w:val="28"/>
          <w:sz w:val="28"/>
          <w:szCs w:val="28"/>
          <w:rtl w:val="true"/>
          <w:lang w:bidi="ar-SA"/>
        </w:rPr>
        <w:t xml:space="preserve">النَّفخ في الصور هو أحد المنازل الأخرى في الحياة بعد الممات، وهناك مرحلتان له الأولى قبل البعث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عند حدوث وقائع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النفخ في اللغة بمعنى إخراج الهواء من الفم، ونفخ النافخ في المزمار أو القصب ونحوهما ليخرج صوتاً؛ والصور هو قرن الحيوان أو ما يسمّى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المراد من النفخ المشار إليه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الصوت الرهيب الذي يصدر قبل قيام الساعة والحساب فيُصعق على إثره الأحياء، ومن ثمّ يصدر مرّةً أخرى لتبعث فيهم الحياة ليحشروا في عالم القيامة والحساب؛ لذلك هناك تعابير قرآنية عديدة أشارت إليه منها الصيحة، الصاخّة، الناقور، الزجرة، الراجفة ، الرادفة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الآتية تطرّقت إلى وصف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571" w:name="pg16299_219646"/>
    </w:p>
    <w:p>
      <w:pPr>
        <w:pStyle w:val="BookText"/>
        <w:rPr/>
      </w:pPr>
      <w:bookmarkEnd w:id="5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أَإِنَّا لَمَرْدُودُونَ فِي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 غَيْرُ يَسِيرٍ</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5370001_1280447820"/>
      <w:bookmarkStart w:id="573" w:name="_Toc219"/>
      <w:bookmarkEnd w:id="572"/>
      <w:r>
        <w:rPr>
          <w:rtl w:val="true"/>
        </w:rPr>
        <w:t xml:space="preserve">المنزل الخامس </w:t>
      </w:r>
      <w:r>
        <w:rPr>
          <w:rtl w:val="true"/>
        </w:rPr>
        <w:t>:</w:t>
      </w:r>
      <w:r>
        <w:rPr>
          <w:rtl w:val="true"/>
        </w:rPr>
        <w:t xml:space="preserve">الحساب </w:t>
      </w:r>
      <w:r>
        <w:rPr>
          <w:rtl w:val="true"/>
        </w:rPr>
        <w:t>:</w:t>
      </w:r>
      <w:bookmarkEnd w:id="573"/>
    </w:p>
    <w:p>
      <w:pPr>
        <w:pStyle w:val="Heading5"/>
        <w:numPr>
          <w:ilvl w:val="4"/>
          <w:numId w:val="1"/>
        </w:numPr>
        <w:rPr/>
      </w:pPr>
      <w:bookmarkStart w:id="574" w:name="__RefHeading___Toc5370003_1280447820"/>
      <w:bookmarkStart w:id="575" w:name="_Toc220"/>
      <w:bookmarkEnd w:id="574"/>
      <w:r>
        <w:rPr>
          <w:rtl w:val="true"/>
        </w:rPr>
        <w:t>إشارة</w:t>
      </w:r>
      <w:bookmarkEnd w:id="575"/>
    </w:p>
    <w:p>
      <w:pPr>
        <w:pStyle w:val="BookText"/>
        <w:rPr/>
      </w:pPr>
      <w:r>
        <w:rPr>
          <w:rFonts w:ascii="Amiri" w:hAnsi="Amiri" w:eastAsia="Amiri" w:cs="Amiri"/>
          <w:color w:val="111111"/>
          <w:sz w:val="28"/>
          <w:sz w:val="28"/>
          <w:szCs w:val="28"/>
          <w:rtl w:val="true"/>
          <w:lang w:bidi="ar-SA"/>
        </w:rPr>
        <w:t xml:space="preserve">الموقف الآخر من منازل الآخرة حساب الناس على أعمالهم، لذلك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إِنَّ الَّذِينَ يَضِلُّونَ عَنْ سَبِيلِ اللَّهِ لَهُمْ عَذَابٌ شَدِيدٌ بِمَا نَسُوا يَوْمَ الْحِسَابِ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أكّد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الإنسان في ذلك اليوم منقطع الأعمال ولا يواجه إلّا ما فعل في حياته الدنيا،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الآخرة قد أقبلت، ولكلِّ منهما بنون، فكونوا من أبناء الآخرة ولا تكونوا أبناء الدنيا، فإنّ كلّ ولدٍ سيلحق بأمّه يوم القيامة، وإنّ اليوم عملٌ ولا حسابَ، وغداً حسابٌ ولا عملَ</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الحساب هو في الحقيقة محكمةٌ تتمّ فيها متابعة أعمال العباد بكلّ تفاصيلها وجزئياتها تحت إشراف مليكٍ عادلٍ مقتدرٍ، ففي ذلك اليوم تقام محكمة العدل الإلهيّ التي لا يُظلم فيها أحدٌ مثقال ذرّةٍ بحيث لا تبقى للإنسان أيّة ذريعةٍ للاعتراض على الحكم الصادر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 الله سبحانه عالمٌ بجميع أعمال عباده وبمصيرهم، لكنّه يجمعهم في يوم الفصل ويحاسبهم بنفسه كي ينالوا جزاءهم العادل فيثيب المحسنين إكراماً لإحسانهم ويعاقب المسيئين جزاءً لعصيانهم ، فقد قال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 نُرِيَنَّكَ بَعْضَ الَّذِي نَعِدُهُمْ أَوْ نَتَوَفَّيَنَّكَ فَإِنَّمَا عَلَيْكَ الْبَلَاغُ وَعَلَيْنَا الْحِسَابُ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حِسَابُهُمْ إِلَّا عَلَى رَبِّي لَوْ تَشْعُرُونَ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أكّد سبحانه على أنّ الحقائق في ذلك اليوم ستنكشف للخلق ولا يمكن لأحدٍ أن يشكّك بالحقّ أو أن يدّعي الباطل لدرجة أنّ نفس الإنسان تذعن بما اقترفت وكفى بها حسيباً حينما تنظر إلى صحيفة أعمالها، فقد جاء في الكتاب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هكذا يتمّ الحساب وكلّ إنسانٍ يشاهد سجلّ أعماله بصغيره وكبيره محضراً أمامه وقبل أن يصدر الحكم الإلهيّ بشأنه فإنّ نفسه تحاسبه ولا يبقى له أيّ مجال للاعتراض على حكم الله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التي أشارت إلى كيفية الحساب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أشارت إلى أنّ الإنسان سيحاسب على جميع أعماله بجميع جزئياتها، ومنها ما يأتي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لَجَعَلَكُمْ أُمَّةً وَاحِدَةً وَلَكِنْ يُضِلُّ مَنْ يَشَاءُ وَيَهْدِي مَنْ يَشَاءُ وَلَتُسْأَلُنَّ عَمَّا كُنْتُمْ تَعْمَلُونَ</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 وَلَا يَرْضَى لِعِبَادِهِ الْكُفْرَ وَإِنْ تَشْكُرُوا يَرْضَهُ لَكُمْ وَلَا تَزِرُ وَازِرَةٌ وِزْرَ أُخْرَى ثُمَّ إِلَى رَبِّكُمْ مَرْجِعُكُمْ فَيُنَبِّئُكُمْ بِمَا كُنْتُمْ تَعْمَلُونَ إِنَّهُ عَلِيمٌ بِذَاتِ الصُّدُورِ</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الصنف الثاني آياتٌ أشارت إلى أنّ الإنسان سيحاسب على بعض أعماله،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وَيُسْأَلُونَ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وَيَجْعَلُونَ لِمَا لَا يَعْلَمُونَ نَصِيبًا مِمَّا رَزَقْنَاهُمْ تَاللَّهِ لَتُسْأَلُنَّ عَمَّا كُنْتُمْ تَفْتَرُونَ</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كثير من الروايات التي أكّدت على أنّ الإنسان في يوم الحساب سيُسأل عن عمره فيما أفناه وعن رزقه كيف اكتسبه وأين أنفقه، كما يسأل عن القرآن والعترة والصلاة، وما إلى ذلك؛ ومنها الرواية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رقية بنت إسحاق بن موسى بن جعفر ، 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فيما أفناه وشبابه فيما أبلاه، وعن ماله من أين كسبه وفيما أنفقه، وعن حبّنا أهل البيت</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سؤال يطرح على هذا الصعيد،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الله تعالى يحاسب جميع بني آدم من دون استثناء، أو أنّ هناك من يثاب خير الثواب دونما مساءلةٍ وحسابٍ؟ </w:t>
      </w:r>
      <w:bookmarkStart w:id="576" w:name="pg16299_219649"/>
    </w:p>
    <w:p>
      <w:pPr>
        <w:pStyle w:val="BookText"/>
        <w:rPr/>
      </w:pPr>
      <w:bookmarkEnd w:id="576"/>
      <w:r>
        <w:rPr>
          <w:rFonts w:ascii="Amiri" w:hAnsi="Amiri" w:eastAsia="Amiri" w:cs="Amiri"/>
          <w:color w:val="111111"/>
          <w:sz w:val="28"/>
          <w:sz w:val="28"/>
          <w:szCs w:val="28"/>
          <w:rtl w:val="true"/>
          <w:lang w:bidi="ar-SA"/>
        </w:rPr>
        <w:t>الآيات المباركة على ثلاثة أقسام ودلالاتها على هذا الموضوع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الناس الذين أرسل إليهم الأنبياء يحاسبون من دون استثناءٍ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الَّذِينَ أُرْسِلَ إِلَيْهِمْ وَلَنَسْأَلَنَّ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 والظالمون يُسألون عمّا اقترفوا في الحياة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يَا وَيْلَنَا هَذَا يَوْمُ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الْفَصْلِ الَّذِي كُنْتُمْ بِهِ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الَّذِينَ ظَلَمُوا وَأَزْوَاجَهُمْ وَمَا كَانُوا 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فَاهْدُوهُمْ إِلَى صِرَاطِ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الصابرون ينالون ثواب إيمانهم وصبرهم من دون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هُوَ قَانِتٌ آنَاءَ اللَّيْلِ سَاجِدًا وَقَائِمًا يَحْذَرُ الْآخِرَةَ وَيَرْجُو رَحْمَةَ رَبِّهِ قُلْ هَلْ يَسْتَوِي الَّذِينَ يَعْلَمُونَ وَالَّذِينَ لَا يَعْلَمُونَ إِنَّمَا يَتَذَكَّرُ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5370005_1280447820"/>
      <w:bookmarkStart w:id="578" w:name="_Toc221"/>
      <w:bookmarkEnd w:id="577"/>
      <w:r>
        <w:rPr>
          <w:rtl w:val="true"/>
        </w:rPr>
        <w:t xml:space="preserve">- </w:t>
      </w:r>
      <w:r>
        <w:rPr>
          <w:rtl w:val="true"/>
        </w:rPr>
        <w:t>الأسس الأربعة في محكمة العدل الإلهيّ</w:t>
      </w:r>
      <w:r>
        <w:rPr>
          <w:rtl w:val="true"/>
        </w:rPr>
        <w:t>:</w:t>
      </w:r>
      <w:bookmarkEnd w:id="578"/>
    </w:p>
    <w:p>
      <w:pPr>
        <w:pStyle w:val="Heading6"/>
        <w:numPr>
          <w:ilvl w:val="5"/>
          <w:numId w:val="1"/>
        </w:numPr>
        <w:rPr/>
      </w:pPr>
      <w:bookmarkStart w:id="579" w:name="__RefHeading___Toc5370007_1280447820"/>
      <w:bookmarkStart w:id="580" w:name="_Toc222"/>
      <w:bookmarkEnd w:id="579"/>
      <w:r>
        <w:rPr>
          <w:rtl w:val="true"/>
        </w:rPr>
        <w:t>إشارة</w:t>
      </w:r>
      <w:bookmarkEnd w:id="5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أربعة مقوّمات أساسية يرتكز عليها الحساب عند حشر الناس في يوم القيامة و شروع محكمة العدل الإلهيّ لمجازاة الناس على ما فعلوا من خير وسوء، وهي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والشهود وتجسّم الأعمال</w:t>
      </w:r>
      <w:r>
        <w:rPr>
          <w:rFonts w:eastAsia="Amiri" w:cs="Amiri" w:ascii="Amiri" w:hAnsi="Amiri"/>
          <w:color w:val="111111"/>
          <w:sz w:val="28"/>
          <w:szCs w:val="28"/>
          <w:rtl w:val="true"/>
          <w:lang w:bidi="ar-SA"/>
        </w:rPr>
        <w:t xml:space="preserve">. </w:t>
      </w:r>
      <w:bookmarkStart w:id="581" w:name="pg16299_219650"/>
    </w:p>
    <w:p>
      <w:pPr>
        <w:pStyle w:val="Heading6"/>
        <w:numPr>
          <w:ilvl w:val="5"/>
          <w:numId w:val="1"/>
        </w:numPr>
        <w:rPr/>
      </w:pPr>
      <w:bookmarkStart w:id="582" w:name="__RefHeading___Toc5370009_1280447820"/>
      <w:bookmarkStart w:id="583" w:name="_Toc223"/>
      <w:bookmarkEnd w:id="581"/>
      <w:bookmarkEnd w:id="582"/>
      <w:r>
        <w:rPr>
          <w:rtl w:val="true"/>
        </w:rPr>
        <w:t>أوّلاً</w:t>
      </w:r>
      <w:r>
        <w:rPr>
          <w:rtl w:val="true"/>
        </w:rPr>
        <w:t xml:space="preserve">: </w:t>
      </w:r>
      <w:r>
        <w:rPr>
          <w:rtl w:val="true"/>
        </w:rPr>
        <w:t>الكتاب</w:t>
      </w:r>
      <w:bookmarkEnd w:id="583"/>
    </w:p>
    <w:p>
      <w:pPr>
        <w:pStyle w:val="BookText"/>
        <w:rPr/>
      </w:pPr>
      <w:r>
        <w:rPr>
          <w:rFonts w:ascii="Amiri" w:hAnsi="Amiri" w:eastAsia="Amiri" w:cs="Amiri"/>
          <w:color w:val="111111"/>
          <w:sz w:val="28"/>
          <w:sz w:val="28"/>
          <w:szCs w:val="28"/>
          <w:rtl w:val="true"/>
          <w:lang w:bidi="ar-SA"/>
        </w:rPr>
        <w:t xml:space="preserve">أكّد القرآن الكريم في مواطن عديدة على تخصيص صحيفة أعمالٍ لكلّ إنسانٍ، إذ تكتب فيها أعماله بحذافيرها صغيرةً كانت أو كبيرةً، لذلك سمّيت هذه الصحيفة كتاباً؛ وهناك آياتٌ صرّحت بأنّ المؤمن يحمل كتابه بيمينه والكافر يحمله بشماله أو يؤتاه وراء ظهره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يأتي نذكر مضامين ودلالات الآيات المباركة ودلالاتها على هذا الصعيد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تدوّن في الكتاب كلّ أعمال الإنسان التي بدرت منه طوال حياته الدنيوية وكأنّه ملفٌّ أدرجت فيه معلوماتٌ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نُحْيِي الْمَوْتَى وَنَكْتُبُ مَا قَدَّمُوا وَآثَارَهُمْ 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في يوم القيامة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مُلْكُ السَّمَاوَاتِ وَالْأَرْضِ وَيَوْمَ تَقُومُ السَّاعَةُ يَوْمَئِذٍ يَخْسَرُ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 إِنَّا كُنَّا نَسْتَنْسِخُ مَا كُنْتُمْ تَعْمَلُونَ</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شامل لجميع أعمال الإنسان بصغيرها وكبيرها من دون أن يستثني شيئاً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كتاب كاتبان مكلّفان بمراقبة الإنسان طوال حياته وتدوين كلّ ما يبدر منه</w:t>
      </w:r>
      <w:r>
        <w:rPr>
          <w:rFonts w:eastAsia="Amiri" w:cs="Amiri" w:ascii="Amiri" w:hAnsi="Amiri"/>
          <w:color w:val="111111"/>
          <w:sz w:val="28"/>
          <w:szCs w:val="28"/>
          <w:rtl w:val="true"/>
          <w:lang w:bidi="ar-SA"/>
        </w:rPr>
        <w:t xml:space="preserve">. </w:t>
      </w:r>
      <w:bookmarkStart w:id="584" w:name="pg16299_219651"/>
    </w:p>
    <w:p>
      <w:pPr>
        <w:pStyle w:val="BookText"/>
        <w:rPr/>
      </w:pPr>
      <w:bookmarkEnd w:id="584"/>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إنسانٍ كتاب مختصٌّ بأعماله وفي يوم القيامة إمّا أن يحمله بيمينه أو بشماله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فَيَقُولُ هَاؤُمُ اقْرَءُوا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كتابهم بيمينهم يكون حسابهم هيّناً يسيراً، في حين الذين يؤتونه من وراء ظهورهم فيحاسبون حساباً صعباً عسيراً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وَيَنْقَلِبُ إِلَى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أُوتِيَ كِتَابَهُ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فَسَوْفَ يَدْعُو ثُبُورًا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5370011_1280447820"/>
      <w:bookmarkStart w:id="586" w:name="_Toc224"/>
      <w:bookmarkEnd w:id="585"/>
      <w:r>
        <w:rPr>
          <w:rtl w:val="true"/>
        </w:rPr>
        <w:t>ثانياً</w:t>
      </w:r>
      <w:r>
        <w:rPr>
          <w:rtl w:val="true"/>
        </w:rPr>
        <w:t xml:space="preserve">: </w:t>
      </w:r>
      <w:r>
        <w:rPr>
          <w:rtl w:val="true"/>
        </w:rPr>
        <w:t xml:space="preserve">الميزان </w:t>
      </w:r>
      <w:r>
        <w:rPr>
          <w:rtl w:val="true"/>
        </w:rPr>
        <w:t>:</w:t>
      </w:r>
      <w:bookmarkEnd w:id="58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العادل المقسط لا يظلم مثقال ذرّةٍ، لذلك وضع الميزان في يوم الحساب بالعدل والقسط ليوفّى المحسنين ثواب إحسانهم ويطال المسيئين عقاب إساءتهم، فالقيامة محكمة العدل الإلهيّ التي ينال بنو آدم فيها جزاءهم العادل، ومن ومن البديهي أنّ كفّة أعمال المؤمنين ترجح على الكفّة الأخرى بعد امتلائها بالأعمال الحسنة، في حين أنّ كفّة أعمال المعاندين ليست كذلك وهي خفيفة لا ترجح وكأن لم يوضع فيها شيءٌ</w:t>
      </w:r>
      <w:r>
        <w:rPr>
          <w:rFonts w:eastAsia="Amiri" w:cs="Amiri" w:ascii="Amiri" w:hAnsi="Amiri"/>
          <w:color w:val="111111"/>
          <w:sz w:val="28"/>
          <w:szCs w:val="28"/>
          <w:rtl w:val="true"/>
          <w:lang w:bidi="ar-SA"/>
        </w:rPr>
        <w:t xml:space="preserve">. </w:t>
      </w:r>
      <w:bookmarkStart w:id="587" w:name="pg16299_219652"/>
    </w:p>
    <w:p>
      <w:pPr>
        <w:pStyle w:val="BookText"/>
        <w:rPr/>
      </w:pPr>
      <w:bookmarkEnd w:id="587"/>
      <w:r>
        <w:rPr>
          <w:rFonts w:ascii="Amiri" w:hAnsi="Amiri" w:eastAsia="Amiri" w:cs="Amiri"/>
          <w:color w:val="111111"/>
          <w:sz w:val="28"/>
          <w:sz w:val="28"/>
          <w:szCs w:val="28"/>
          <w:rtl w:val="true"/>
          <w:lang w:bidi="ar-SA"/>
        </w:rPr>
        <w:t xml:space="preserve">ومن الآيات المباركة التي تطرّقت إلى 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 فَلَا تُظْلَمُ نَفْسٌ شَيْئًا وَإِنْ كَانَ مِثْقَالَ حَبَّةٍ مِنْ خَرْدَلٍ أَتَيْنَا بِهَا وَكَفَى بِنَا حَاسِبِينَ</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خَفَّتْ مَوَازِينُهُ فَأُولَئِكَ الَّذِينَ خَسِرُوا أَنْفُسَهُمْ فِي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تَلْفَحُ وُجُوهَهُمُ النَّارُ وَهُمْ فِيهَا كَالِحُونَ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فَأُولَئِكَ الَّذِينَ خَسِرُوا أَنْفُسَهُمْ بِمَا كَانُوا بِآيَاتِنَا يَظْلِمُونَ</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8" w:name="__RefHeading___Toc5370013_1280447820"/>
      <w:bookmarkStart w:id="589" w:name="_Toc225"/>
      <w:bookmarkEnd w:id="588"/>
      <w:r>
        <w:rPr>
          <w:rtl w:val="true"/>
        </w:rPr>
        <w:t>ثالثاً</w:t>
      </w:r>
      <w:r>
        <w:rPr>
          <w:rtl w:val="true"/>
        </w:rPr>
        <w:t xml:space="preserve">: </w:t>
      </w:r>
      <w:r>
        <w:rPr>
          <w:rtl w:val="true"/>
        </w:rPr>
        <w:t xml:space="preserve">الشهود </w:t>
      </w:r>
      <w:r>
        <w:rPr>
          <w:rtl w:val="true"/>
        </w:rPr>
        <w:t>:</w:t>
      </w:r>
      <w:bookmarkEnd w:id="589"/>
    </w:p>
    <w:p>
      <w:pPr>
        <w:pStyle w:val="Heading6"/>
        <w:numPr>
          <w:ilvl w:val="5"/>
          <w:numId w:val="1"/>
        </w:numPr>
        <w:rPr/>
      </w:pPr>
      <w:bookmarkStart w:id="590" w:name="__RefHeading___Toc5370015_1280447820"/>
      <w:bookmarkStart w:id="591" w:name="_Toc226"/>
      <w:bookmarkEnd w:id="590"/>
      <w:r>
        <w:rPr>
          <w:rtl w:val="true"/>
        </w:rPr>
        <w:t>إشارة</w:t>
      </w:r>
      <w:bookmarkEnd w:id="591"/>
    </w:p>
    <w:p>
      <w:pPr>
        <w:pStyle w:val="BookText"/>
        <w:rPr/>
      </w:pPr>
      <w:r>
        <w:rPr>
          <w:rFonts w:ascii="Amiri" w:hAnsi="Amiri" w:eastAsia="Amiri" w:cs="Amiri"/>
          <w:color w:val="111111"/>
          <w:sz w:val="28"/>
          <w:sz w:val="28"/>
          <w:szCs w:val="28"/>
          <w:rtl w:val="true"/>
          <w:lang w:bidi="ar-SA"/>
        </w:rPr>
        <w:t>لا ريب في أنّ محكمة العدل الإلهيّ تمتلك مقوّمات المحاكمة العأدلة جميعها، ومن جملة ذلك حضور شهود يشهدون على أعمال الإنسان، لذلك وصف الكتاب الحكيم يوم القيامة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الْأَشْهَادُ</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من القرآن الكريم أنّ الشهود في يوم القيامة على صنفين، هما</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5370017_1280447820"/>
      <w:bookmarkStart w:id="593" w:name="_Toc227"/>
      <w:bookmarkEnd w:id="592"/>
      <w:r>
        <w:rPr>
          <w:rtl w:val="true"/>
        </w:rPr>
        <w:t>(</w:t>
      </w:r>
      <w:r>
        <w:rPr/>
        <w:t>1</w:t>
      </w:r>
      <w:r>
        <w:rPr>
          <w:rtl w:val="true"/>
        </w:rPr>
        <w:t>شهودٌ محيطون بأعمال الناس</w:t>
      </w:r>
      <w:r>
        <w:rPr>
          <w:rtl w:val="true"/>
        </w:rPr>
        <w:t>.</w:t>
      </w:r>
      <w:bookmarkEnd w:id="59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يشهد على الإنسان في يوم القيامة كلّ من أحاط بأعماله، لذا سوف يشهد عليه الله تعالى والأنبياء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والأمة التي وصفها القرآن الكريم بأنّها أمّةٌ وسطٌ والملائكة والأرض التي حدث عليها العمل، كما ستشهد عليه صحيفة أعماله أيضاً </w:t>
      </w:r>
      <w:r>
        <w:rPr>
          <w:rFonts w:eastAsia="IRNazanin" w:cs="IRNazanin"/>
          <w:color w:val="111111"/>
          <w:sz w:val="28"/>
          <w:szCs w:val="28"/>
          <w:rtl w:val="true"/>
          <w:lang w:bidi="fa-IR"/>
        </w:rPr>
        <w:t xml:space="preserve">. </w:t>
      </w:r>
      <w:bookmarkStart w:id="594" w:name="pg16299_219653"/>
    </w:p>
    <w:p>
      <w:pPr>
        <w:pStyle w:val="BookText"/>
        <w:rPr/>
      </w:pPr>
      <w:bookmarkEnd w:id="594"/>
      <w:r>
        <w:rPr>
          <w:rFonts w:ascii="Amiri" w:hAnsi="Amiri" w:eastAsia="Amiri" w:cs="Amiri"/>
          <w:color w:val="111111"/>
          <w:sz w:val="28"/>
          <w:sz w:val="28"/>
          <w:szCs w:val="28"/>
          <w:rtl w:val="true"/>
          <w:lang w:bidi="ar-SA"/>
        </w:rPr>
        <w:t>ومن الآيات التي تدلّ على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الأرض و کلّ ما فیها سينطق في يوم القيامة ويشهد على ما ارتكبه البشر من أعمال، لذلك فمن يشكّ في هذه الحقيقة نقول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5" w:name="__RefHeading___Toc5370019_1280447820"/>
      <w:bookmarkStart w:id="596" w:name="_Toc228"/>
      <w:bookmarkEnd w:id="595"/>
      <w:r>
        <w:rPr/>
        <w:t>2</w:t>
      </w:r>
      <w:r>
        <w:rPr>
          <w:rtl w:val="true"/>
        </w:rPr>
        <w:t xml:space="preserve">) </w:t>
      </w:r>
      <w:r>
        <w:rPr>
          <w:rtl w:val="true"/>
        </w:rPr>
        <w:t>أعضاء بدن الإنسان وجوارحه</w:t>
      </w:r>
      <w:r>
        <w:rPr>
          <w:rtl w:val="true"/>
        </w:rPr>
        <w:t>.</w:t>
      </w:r>
      <w:bookmarkEnd w:id="59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أعضاء بدن الإنسان سوف تشهد عليه في يوم الحساب وتقرّ بما بدر منه حتى جلده سينطقه العزيز القدير فيعترف بما اقترف صاحبه، ذلك كي لا تبقى له أية ذريعةٍ لإنكار أعماله السيئة؛ والآيات المباركة خير دليل على هذه الحقيقة</w:t>
      </w:r>
      <w:r>
        <w:rPr>
          <w:rFonts w:eastAsia="Amiri" w:cs="Amiri" w:ascii="Amiri" w:hAnsi="Amiri"/>
          <w:color w:val="111111"/>
          <w:sz w:val="28"/>
          <w:szCs w:val="28"/>
          <w:rtl w:val="true"/>
          <w:lang w:bidi="ar-SA"/>
        </w:rPr>
        <w:t xml:space="preserve">: </w:t>
      </w:r>
      <w:bookmarkStart w:id="597" w:name="pg16299_219654"/>
    </w:p>
    <w:p>
      <w:pPr>
        <w:pStyle w:val="BookText"/>
        <w:rPr/>
      </w:pPr>
      <w:bookmarkEnd w:id="5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عَلَيْهِمْ أَلْسِنَتُهُمْ وَأَيْدِيهِمْ وَأَرْجُلُهُمْ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 أَعْدَاءُ اللَّهِ إِلَى النَّارِ فَهُمْ يُوزَعُونَ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مَا جَاءُوهَا شَهِدَ عَلَيْهِمْ سَمْعُهُمْ وَأَبْصَارُهُمْ وَجُلُودُهُمْ بِمَا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8" w:name="__RefHeading___Toc5370021_1280447820"/>
      <w:bookmarkStart w:id="599" w:name="_Toc229"/>
      <w:bookmarkEnd w:id="598"/>
      <w:r>
        <w:rPr>
          <w:rtl w:val="true"/>
        </w:rPr>
        <w:t>رابعاً</w:t>
      </w:r>
      <w:r>
        <w:rPr>
          <w:rtl w:val="true"/>
        </w:rPr>
        <w:t xml:space="preserve">: </w:t>
      </w:r>
      <w:r>
        <w:rPr>
          <w:rtl w:val="true"/>
        </w:rPr>
        <w:t>تجسّم الأعمال</w:t>
      </w:r>
      <w:r>
        <w:rPr>
          <w:rtl w:val="true"/>
        </w:rPr>
        <w:t>:</w:t>
      </w:r>
      <w:bookmarkEnd w:id="599"/>
    </w:p>
    <w:p>
      <w:pPr>
        <w:pStyle w:val="BookText"/>
        <w:rPr/>
      </w:pPr>
      <w:r>
        <w:rPr>
          <w:rFonts w:ascii="Amiri" w:hAnsi="Amiri" w:eastAsia="Amiri" w:cs="Amiri"/>
          <w:color w:val="111111"/>
          <w:sz w:val="28"/>
          <w:sz w:val="28"/>
          <w:szCs w:val="28"/>
          <w:rtl w:val="true"/>
          <w:lang w:bidi="ar-SA"/>
        </w:rPr>
        <w:t>لقد أكّدت التعاليم الدينيّة على أنّ أعمال الإنسان سوف تتجسّم أمامه في يوم القيامة فتبدو ظاهرةً له بحذافيرها كما فعلها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الثواب والعقاب في يوم الحساب منوطان بما فعله الإنسان إبّان حياته الدنيوية، أي إنّهما نتيجة لهذه الأعمال، لذلك حينما يريد الله تعالى مجازاة الإنسان فهو يجسّم له كلّ ما بدر منه ويظهره أمام عينيه كما صدر في الدنيا فيكرمه على كل عمل حسن ويعاقبه على كل فعلٍ مشينٍ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في أنّ النيّة أساسٌ لكل عمل يقوم به الإنسان، وقد تؤدّي إلى ترسيخ بعض الأعمال الحسنة أو القبيحة في النفس فتأنس بها لتصبح فيما بعد ملكةً ثابتةً تسوق الإنسان نحو النعيم أو الجحيم؛ وهذه الملكات سوف تظهر على حقيقتها في يوم الحساب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هنا إلى أنّ بعض الآيات القرآنية عدّت الثواب والعقاب بأنّهما عين أعمال الإنسان التي بدرت منه في الدنيا، في حين أنّ آياتٍ أخرى عدّتهما نتيجةً لأعماله </w:t>
      </w:r>
    </w:p>
    <w:p>
      <w:pPr>
        <w:pStyle w:val="BookText"/>
        <w:rPr/>
      </w:pPr>
      <w:r>
        <w:rPr>
          <w:rFonts w:ascii="Amiri" w:hAnsi="Amiri" w:eastAsia="Amiri" w:cs="Amiri"/>
          <w:color w:val="111111"/>
          <w:sz w:val="28"/>
          <w:sz w:val="28"/>
          <w:szCs w:val="28"/>
          <w:rtl w:val="true"/>
          <w:lang w:bidi="ar-SA"/>
        </w:rPr>
        <w:t xml:space="preserve">الدنيوية؛ وهذا الاختلاف في الوصف ربّما يكون ناشئاً من أنّ العمل تارةً يصدر إثر ملكةٍ نفسانيةٍ، وفي هذه الحالة سيكون ثوابه أو عقابه مطابقاً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أخرى لا يصدر من منطلق كونه ملكةً نفسانيةً، لذلك يصبح الثواب أو العقاب نتيجةً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الْكِتَابُ فَتَرَى الْمُجْرِمِينَ مُشْفِقِينَ مِمَّا فِيهِ وَيَقُولُونَ يَا وَيْلَتَنَا مَالِ هَذَا الْكِتَابِ لَا يُغَادِرُ صَغِيرَةً وَلَا كَبِيرَةً إِلَّا أَحْصَاهَا وَوَجَدُوا مَا عَمِلُوا حَاضِرًا وَلَا يَظْلِمُ رَبُّكَ أَحَدًا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اصْلَوْهَا فَاصْبِرُوا أَوْ لَا تَصْبِرُوا سَوَاءٌ عَلَيْكُمْ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يدلّ بوضوح على تجسّم الأعمال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بن مالك بن النعمان الأنصاري،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حارثة بن مالك النعماني؟</w:t>
      </w:r>
    </w:p>
    <w:p>
      <w:pPr>
        <w:pStyle w:val="BookText"/>
        <w:rPr/>
      </w:pPr>
      <w:r>
        <w:rPr>
          <w:rFonts w:ascii="Amiri" w:hAnsi="Amiri" w:eastAsia="Amiri" w:cs="Amiri"/>
          <w:color w:val="111111"/>
          <w:sz w:val="28"/>
          <w:sz w:val="28"/>
          <w:szCs w:val="28"/>
          <w:rtl w:val="true"/>
          <w:lang w:bidi="ar-SA"/>
        </w:rPr>
        <w:t>فقال يا رسول الله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حقيقةٌ، فما حقيقة قولك؟</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عزّفَتْ نفسي عن الدنيا، فأسهرتُ ليلي وأظمأتُ هواجري وكأنّي أنظر إلى عرش ربّي وقد وضع للحساب، وكأنّي أنظر إلى أهل الجنّة يتزاورون في الجنّة، وكأنّي أسمع عٍواء أهل النار في النار</w:t>
      </w:r>
      <w:r>
        <w:rPr>
          <w:rFonts w:eastAsia="Amiri" w:cs="Amiri" w:ascii="Amiri" w:hAnsi="Amiri"/>
          <w:color w:val="111111"/>
          <w:sz w:val="28"/>
          <w:szCs w:val="28"/>
          <w:rtl w:val="true"/>
          <w:lang w:bidi="ar-SA"/>
        </w:rPr>
        <w:t xml:space="preserve">. </w:t>
      </w:r>
      <w:bookmarkStart w:id="600" w:name="pg16299_219656"/>
    </w:p>
    <w:p>
      <w:pPr>
        <w:pStyle w:val="BookText"/>
        <w:rPr/>
      </w:pPr>
      <w:bookmarkEnd w:id="600"/>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نوّر الله قلبه؛ أبصرتَ فاثبتَّ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لي أن يرزقني الشهادة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حارثة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إلّا أياماً حتى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فبعثه فيها فقاتل فقتل تسعةً أو ثمانية، ثمّ قتل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خرج من قبره صُوّر له عمله في صورةٍ حسنةٍ، فيقول له 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لأراك امرئ الصدق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نورٌ أو قائدٌ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الكافر إذا خرج من قبره صُوّر له عمله في صورةٍ سيّئةٍ وبشارةٍ سيّئةٍ،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لأراك امرئ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فينطلق به حتى يدخل النار</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5370023_1280447820"/>
      <w:bookmarkStart w:id="602" w:name="_Toc230"/>
      <w:bookmarkEnd w:id="601"/>
      <w:r>
        <w:rPr>
          <w:rtl w:val="true"/>
        </w:rPr>
        <w:t>المنزل السادس</w:t>
      </w:r>
      <w:r>
        <w:rPr>
          <w:rtl w:val="true"/>
        </w:rPr>
        <w:t xml:space="preserve">: </w:t>
      </w:r>
      <w:r>
        <w:rPr>
          <w:rtl w:val="true"/>
        </w:rPr>
        <w:t>الصّراط</w:t>
      </w:r>
      <w:r>
        <w:rPr>
          <w:rtl w:val="true"/>
        </w:rPr>
        <w:t>:</w:t>
      </w:r>
      <w:bookmarkEnd w:id="602"/>
    </w:p>
    <w:p>
      <w:pPr>
        <w:pStyle w:val="BookText"/>
        <w:rPr/>
      </w:pPr>
      <w:r>
        <w:rPr>
          <w:rFonts w:ascii="Amiri" w:hAnsi="Amiri" w:eastAsia="Amiri" w:cs="Amiri"/>
          <w:color w:val="111111"/>
          <w:sz w:val="28"/>
          <w:sz w:val="28"/>
          <w:szCs w:val="28"/>
          <w:rtl w:val="true"/>
          <w:lang w:bidi="ar-SA"/>
        </w:rPr>
        <w:t>الصّراط هو أحد المزايا التي يختصّ بها عالم القيامة، ويوصف بأنّه جسرٌ فوق جهنّم يمرّ عليه جميع الناس،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مِنْكُمْ إِلَّا وَارِدُهَا كَانَ عَلَى رَبِّكَ حَتْمًا مَقْضِيًّا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وَنَذَرُ الظَّالِمِينَ فِيهَا جِثِيًّا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المباركة بدورها تطرّقت إلى الحديث عن هذه الحقيقة الثابتة وأشير فيها إلى أنّ بني آدم ليسوا سواءً في عبوره، فالمؤمنون حقاً لا يواجهون أيّة صعوبةٍ في ذلك </w:t>
      </w:r>
      <w:bookmarkStart w:id="603" w:name="pg16299_219657"/>
    </w:p>
    <w:p>
      <w:pPr>
        <w:pStyle w:val="BookText"/>
        <w:rPr/>
      </w:pPr>
      <w:bookmarkEnd w:id="603"/>
      <w:r>
        <w:rPr>
          <w:rFonts w:ascii="Amiri" w:hAnsi="Amiri" w:eastAsia="Amiri" w:cs="Amiri"/>
          <w:color w:val="111111"/>
          <w:sz w:val="28"/>
          <w:sz w:val="28"/>
          <w:szCs w:val="28"/>
          <w:rtl w:val="true"/>
          <w:lang w:bidi="ar-SA"/>
        </w:rPr>
        <w:t>في حين المعاندون سيعانون الأمرين عليه ومنهم من لا يعبره مطلقاً فيسقط في قعر جهنّم، ونكتفي هنا بذكر الروايتين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أثبتكم قدماً على الصراط ، أشدّكم حبّاً لأهل بيتي </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يمرّون على الصراط طبقاتٍ، والصراط أدقّ من الشعر ومن حدّ السيف فمنهم من يمرّ مثل البرق، ومنهم من يمرّ مثل عدو الفرس، ومنهم من يمرّ حبواً، ومنهم من يمرّ مشياً، ومنهم من يمرّ متعلّقاً قد تأخذ النار منه شيئاً وتترك شيئاً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5370025_1280447820"/>
      <w:bookmarkStart w:id="605" w:name="_Toc231"/>
      <w:bookmarkEnd w:id="604"/>
      <w:r>
        <w:rPr>
          <w:rtl w:val="true"/>
        </w:rPr>
        <w:t>المنزل السابع</w:t>
      </w:r>
      <w:r>
        <w:rPr>
          <w:rtl w:val="true"/>
        </w:rPr>
        <w:t xml:space="preserve">: </w:t>
      </w:r>
      <w:r>
        <w:rPr>
          <w:rtl w:val="true"/>
        </w:rPr>
        <w:t xml:space="preserve">الجنّة وجهنّم والأعراف </w:t>
      </w:r>
      <w:r>
        <w:rPr>
          <w:rtl w:val="true"/>
        </w:rPr>
        <w:t>:</w:t>
      </w:r>
      <w:bookmarkEnd w:id="605"/>
    </w:p>
    <w:p>
      <w:pPr>
        <w:pStyle w:val="Heading5"/>
        <w:numPr>
          <w:ilvl w:val="4"/>
          <w:numId w:val="1"/>
        </w:numPr>
        <w:rPr/>
      </w:pPr>
      <w:bookmarkStart w:id="606" w:name="__RefHeading___Toc5370027_1280447820"/>
      <w:bookmarkStart w:id="607" w:name="_Toc232"/>
      <w:bookmarkEnd w:id="606"/>
      <w:r>
        <w:rPr>
          <w:rtl w:val="true"/>
        </w:rPr>
        <w:t>إشارة</w:t>
      </w:r>
      <w:bookmarkEnd w:id="607"/>
    </w:p>
    <w:p>
      <w:pPr>
        <w:pStyle w:val="BookText"/>
        <w:rPr/>
      </w:pPr>
      <w:r>
        <w:rPr>
          <w:rFonts w:ascii="Amiri" w:hAnsi="Amiri" w:eastAsia="Amiri" w:cs="Amiri"/>
          <w:color w:val="111111"/>
          <w:sz w:val="28"/>
          <w:sz w:val="28"/>
          <w:szCs w:val="28"/>
          <w:rtl w:val="true"/>
          <w:lang w:bidi="ar-SA"/>
        </w:rPr>
        <w:t>آخر موقفٍ من مواقف الآخرة هو تقسيم الناس بين الجنة والنار بصفتهما منزلين أبديين فالجنّة هي دار النّعيم الإلهيّ التي يحظى السعداء فيها بشتّى المكارم المادّية والمعنوية، وجهنّم هي دار السعير التي يعذب فيها المعاندون عذاباً أليماً ولا يرون فيها برداً ولا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نستشفّ من بعض الروايات أنّ الجنّة وجهنّم موجودتان الآن، وهذا الأمر مدعومٌ بمسألة تجسّم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أشار إلى وجود جنّتين ونارين حيث يُسعد المؤمنون في الجنّة البرزخية قبل أن يكرمهم الله تعالى بالجنّة الأخروية بعد يوم الحساب، كما هناك نارٌ برزخيةٌ يعذّب فيها المجرومون قبل دعهم في نار جهنّم بعد يوم الحساب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عدد من الآيات في الكتاب الحكيم أشارت إلى الجنّة والنار في يوم القيامة، ومن جملتها 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يس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غافر 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w:t>
      </w:r>
      <w:bookmarkStart w:id="608" w:name="pg16299_219658"/>
    </w:p>
    <w:p>
      <w:pPr>
        <w:pStyle w:val="BookText"/>
        <w:rPr/>
      </w:pPr>
      <w:bookmarkEnd w:id="608"/>
      <w:r>
        <w:rPr>
          <w:rFonts w:ascii="Amiri" w:hAnsi="Amiri" w:eastAsia="Amiri" w:cs="Amiri"/>
          <w:color w:val="111111"/>
          <w:sz w:val="28"/>
          <w:sz w:val="28"/>
          <w:szCs w:val="28"/>
          <w:rtl w:val="true"/>
          <w:lang w:bidi="ar-SA"/>
        </w:rPr>
        <w:t xml:space="preserve">عمران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الحديد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في حين سائر الآيات التي تطرّقت إلى النعيم والعذاب بعد الممات قد أشارت إلى الجنة والنار في عالم البرزخ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نسلّط الضوء على مضامين الآيات التي تحدثت عن الجنة والنار الأبديتين</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5370029_1280447820"/>
      <w:bookmarkStart w:id="610" w:name="_Toc233"/>
      <w:bookmarkEnd w:id="609"/>
      <w:r>
        <w:rPr>
          <w:rtl w:val="true"/>
        </w:rPr>
        <w:t>أوّلاً</w:t>
      </w:r>
      <w:r>
        <w:rPr>
          <w:rtl w:val="true"/>
        </w:rPr>
        <w:t xml:space="preserve">: </w:t>
      </w:r>
      <w:r>
        <w:rPr>
          <w:rtl w:val="true"/>
        </w:rPr>
        <w:t>الآيات التي تحدثت عن جهنّم الأبدية</w:t>
      </w:r>
      <w:bookmarkEnd w:id="610"/>
    </w:p>
    <w:p>
      <w:pPr>
        <w:pStyle w:val="BookText"/>
        <w:rPr/>
      </w:pPr>
      <w:r>
        <w:rPr>
          <w:rFonts w:ascii="Amiri" w:hAnsi="Amiri" w:eastAsia="Amiri" w:cs="Amiri"/>
          <w:color w:val="111111"/>
          <w:sz w:val="28"/>
          <w:sz w:val="28"/>
          <w:szCs w:val="28"/>
          <w:rtl w:val="true"/>
          <w:lang w:bidi="ar-SA"/>
        </w:rPr>
        <w:t>هناك كثير من الآيات التي تضمّنت كلاماً حول جهنّم وصفاتها وما سيجري على المعذّبين فيها، فبعض هذه الآيات وصف جهنّم وتحدّث عن طبيعتها وهيئتها من قبيل أبوابها وطبقاتها، وبعضها الآخر تحدّث عن نوع العذاب الجسماني والنفسي الذي يطال أهلها، في حين هناك آياتٌ تطرّقت إلى بيان صفات المعذّبين فيها والذين سيخلّدون بين أطباقها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فيما يأتي آياتٍ ومباحث مقتضبةً حول التصينف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طبيعتها وهيئتها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عِبَادِي لَيْسَ لَكَ عَلَيْهِمْ سُلْطَانٌ إِلَّا مَنِ اتَّبَعَكَ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جَهَنَّمَ لَمَوْعِدُهُمْ أَجْمَعِينَ </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العذاب البدني الذي سيواجهه المعذبون في جهنّم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 الْحَمِيمِ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النفسي الذي سيواجهه المعذبون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وَكَذَّبُوا بِآيَاتِنَا فَأُولَئِكَ لَهُمْ عَذَابٌ مُهِينٌ</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وَرَسُولَهُ كُبِتُوا كَمَا كُبِتَ الَّذِينَ مِنْ قَبْلِهِمْ وَقَدْ أَنْزَلْنَا آيَاتٍ بَيِّنَاتٍ وَلِلْكَافِرِينَ عَذَابٌ مُهِينٌ</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رَأَتْهُمْ مِنْ مَكَانٍ بَعِيدٍ سَمِعُوا لَهَا تَغَيُّظًا وَزَفِيرًا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أُلْقُوا مِنْهَا مَكَانًا ضَيِّقًا مُقَرَّنِينَ دَعَوْا هُنَالِكَ ثُبُورًا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المعذّبون في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الخلود في الحياة الآخرة هي إحدى المواضيع المطروحة للبحث في ضمن المباحث المتعلّقة بالجنّة وجهنّم، ونستلهم من تعاليمنا الدينيّة أنّ أهل الجنة مخلّدون فيها أبد الآبدين، في حين الأمر ليس كذلك بالنسبة إلى جهنّم، إذ لا يخلّد فيها كل من وردها، بل هناك من يُخرج منها بعد حين ويبقى الآخرون مخلّدين بين أطباقها إلى الأبد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المسألة أثارت كثيراً من النقاشات بين علماء الكلام والعقائد، وكلّ فرقةٍ دينيّة اتخذت موقفاً تجاهها، وفيما يأتي نذكر بعض تلك المواقف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الخوارج كانوا يعتقدون بأنّ مرتكب الكبائر من الذنوب كافرٌ ومن ثَمَّ سوف يخلّد في جهنم إلى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طائفةٌ من المعتزلة عدّوا مرتكب الكبائر فاسقاً ومع ذلك فقد ذهبوا إلى القول بأنّه خالدٌ في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علماء الشيعة من أمثال الشيخ المفيد </w:t>
      </w:r>
      <w:r>
        <w:rPr>
          <w:rStyle w:val="FootnoteAnchor"/>
          <w:rtl w:val="true"/>
        </w:rPr>
        <w:footnoteReference w:id="684"/>
      </w:r>
      <w:r>
        <w:rPr>
          <w:rFonts w:ascii="Amiri" w:hAnsi="Amiri" w:eastAsia="Amiri" w:cs="Amiri"/>
          <w:color w:val="111111"/>
          <w:sz w:val="28"/>
          <w:sz w:val="28"/>
          <w:szCs w:val="28"/>
          <w:rtl w:val="true"/>
          <w:lang w:bidi="ar-SA"/>
        </w:rPr>
        <w:t xml:space="preserve">يرون أنّ الكافر فقط يخلّد في جهنم إلى الأبد، والمراد هنا الكفر العقائدي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الكفر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العمل بالأحكام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المرجئة نحوا منحىً متطرّفاً وقالوا بأنّ المؤمن مهما كان ذنبه كبيراً فهو لا يعاقب بتاتاً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الخالدون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الآيات المباركة ذكرت صفات المعاندين الذين سيخلّدون في نار جهنّم إلى الأبد، ويمكن تصنيفهم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المكذّبون بآيات الله تعالى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المعادون لله ورسوله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الْخِزْيُ الْعَظِيمُ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العصاة والمتمرّدون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رَأَوْا مَا يُوعَدُونَ فَسَيَعْلَمُونَ مَنْ أَضْعَفُ نَاصِرًا وَأَقَلُّ عَدَدًا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والطغاة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الشقاء هنا هو الشرك والكفر كما هو مضمون الآية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 لِيَقْضِ عَلَيْنَا رَبُّكَ قَالَ إِنَّكُمْ مَاكِثُونَ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الغارقون في المعاصي والآثام طوال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لَنْ تَمَسَّنَا النَّارُ إِلَّا أَيَّامًا مَعْدُودَةً قُلْ أَتَّخَذْتُمْ عِنْدَ اللَّهِ عَهْدًا فَلَنْ يُخْلِفَ اللَّهُ عَهْدَهُ أَمْ 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الغارقون في الشرك والقتل وارتكاب الكبائر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العامدون في تجاهل أحكام القرآن الكريم والمعرضون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نَقُصُّ عَلَيْكَ مِنْ أَنْبَاءِ مَا قَدْ سَبَقَ وَقَدْ آتَيْنَاكَ مِنْ لَدُنَّا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أَعْرَضَ عَنْهُ فَإِنَّهُ يَحْمِلُ يَوْمَ الْقِيَامَةِ وِزْرًا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 وَسَاءَ لَهُمْ يَوْمَ الْقِيَامَةِ حِمْلًا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خفّت موازينهم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 فَأُولَئِكَ الَّذِينَ خَسِرُوا أَنْفُسَهُمْ فِي جَهَنَّمَ خَالِدُونَ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الربا ممن يعلمون بحرمة ذلك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وَأَمْرُهُ إِلَى اللَّهِ وَمَنْ عَادَ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النفس المؤمنة عمداً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المباركة تدلّ في ظاهرها على تخليد كلّ من يقتل مؤمناً متعمداً من دون تحديد ما إن كان كافراً أو غير كافر، لكن يمكن تقييد دلالتها بالأحاديث التي أكّدت على أنّ الخلود في جهنّم مختصّ بالكافرين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الآيات المذكورة أعلاه، هناك آيات عديدة أخرى أشارت إلى المعذّبين في نار جهنّم وبئس المصير من دون أن تصرح بخلودهم أو عدم خلودهم فيها، ويمكن تلخيص دلالاتها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الأعراف،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 إلى الظلمة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هود، 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الكهف، 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والإعراض عن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اكتناز الذهب والفضّة وعدم انفاقهما في سبيل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وعدم إطعام المسكين ومجالسة عبيد الدنيا والتكذيب بيوم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المدّثر، الآيات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دفع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فصّلت،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مال اليتيم بغير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النساء،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11" w:name="pg16299_219664"/>
    </w:p>
    <w:p>
      <w:pPr>
        <w:pStyle w:val="BookText"/>
        <w:rPr/>
      </w:pPr>
      <w:bookmarkEnd w:id="6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 بنعمة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إبراهيم، الآيتان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التطفيف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المطفّفين،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والتبذير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غافر ، 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الغيبة والسخرية بالآخرين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الهمزة، 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ارتكاب الجرائم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مريم، الآية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تجاهل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الجاثية، 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أنّ الحكمة من الخلود في جهنّم تتّضح لنا فيما لو تمعنا بالعلاقة التكوينيّة الموجودة بين الذنوب والعقاب الأخروي، فالإنسان الذي أصبح الكفر ملكةً نفسانيةً ملازمةً له سيتحوّل باطنه إلى واقعٍ شيطانيٍّ لا يمكن أن يتبدل أبداً؛ وهذه الحالة سبب لبقائه معذّباً إلى أبد الآبدين لكونه يتجرّع الكأس التي ملأها بالسمّ القاتل بيديه وبمحض اختياره </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5370031_1280447820"/>
      <w:bookmarkStart w:id="613" w:name="_Toc234"/>
      <w:bookmarkEnd w:id="612"/>
      <w:r>
        <w:rPr>
          <w:rtl w:val="true"/>
        </w:rPr>
        <w:t>ثانياً</w:t>
      </w:r>
      <w:r>
        <w:rPr>
          <w:rtl w:val="true"/>
        </w:rPr>
        <w:t xml:space="preserve">: </w:t>
      </w:r>
      <w:r>
        <w:rPr>
          <w:rtl w:val="true"/>
        </w:rPr>
        <w:t>الآيات التي تحدّثت عن الجنّة الأبدية</w:t>
      </w:r>
      <w:r>
        <w:rPr>
          <w:rtl w:val="true"/>
        </w:rPr>
        <w:t>:</w:t>
      </w:r>
      <w:bookmarkEnd w:id="613"/>
    </w:p>
    <w:p>
      <w:pPr>
        <w:pStyle w:val="Heading6"/>
        <w:numPr>
          <w:ilvl w:val="5"/>
          <w:numId w:val="1"/>
        </w:numPr>
        <w:rPr/>
      </w:pPr>
      <w:bookmarkStart w:id="614" w:name="__RefHeading___Toc5370033_1280447820"/>
      <w:bookmarkStart w:id="615" w:name="_Toc235"/>
      <w:bookmarkEnd w:id="614"/>
      <w:r>
        <w:rPr>
          <w:rtl w:val="true"/>
        </w:rPr>
        <w:t>إشارة</w:t>
      </w:r>
      <w:bookmarkEnd w:id="615"/>
    </w:p>
    <w:p>
      <w:pPr>
        <w:pStyle w:val="BookText"/>
        <w:rPr/>
      </w:pPr>
      <w:r>
        <w:rPr>
          <w:rFonts w:ascii="Amiri" w:hAnsi="Amiri" w:eastAsia="Amiri" w:cs="Amiri"/>
          <w:color w:val="111111"/>
          <w:sz w:val="28"/>
          <w:sz w:val="28"/>
          <w:szCs w:val="28"/>
          <w:rtl w:val="true"/>
          <w:lang w:bidi="ar-SA"/>
        </w:rPr>
        <w:t xml:space="preserve">إنّ الجنّة دار القرار والطمأنينة للصالحين والمؤمنين، ويمكن تقسيم الآيات المباركة التي تحدّثت عنها في ضمن ثلاثة أقسام، فهناك آياتٌ وصفتها وذكرت طبيعتها وهيئتها، وهناك آياتٌ أخرى تحدّثت عن مختلف النعم الجسمانية والمعنوية التي سيحظى بها سكانها، في حين أنّ عدداً منها تطرّق إلى العوامل التي تجعل الإنسان مستحقّاًّ لدخولها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نسلّط الضوء على هذه الأقسام بشكل موجزٍ</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6" w:name="__RefHeading___Toc5370035_1280447820"/>
      <w:bookmarkStart w:id="617" w:name="_Toc236"/>
      <w:bookmarkEnd w:id="616"/>
      <w:r>
        <w:rPr/>
        <w:t>1</w:t>
      </w:r>
      <w:r>
        <w:rPr>
          <w:rtl w:val="true"/>
        </w:rPr>
        <w:t xml:space="preserve">) </w:t>
      </w:r>
      <w:r>
        <w:rPr>
          <w:rtl w:val="true"/>
        </w:rPr>
        <w:t xml:space="preserve">وصف الجنة </w:t>
      </w:r>
      <w:r>
        <w:rPr>
          <w:rtl w:val="true"/>
        </w:rPr>
        <w:t>(</w:t>
      </w:r>
      <w:r>
        <w:rPr>
          <w:rtl w:val="true"/>
        </w:rPr>
        <w:t>طبيعتها وهيئتها</w:t>
      </w:r>
      <w:r>
        <w:rPr>
          <w:rtl w:val="true"/>
        </w:rPr>
        <w:t>):</w:t>
      </w:r>
      <w:bookmarkStart w:id="618" w:name="pg16299_219665"/>
      <w:bookmarkEnd w:id="617"/>
    </w:p>
    <w:p>
      <w:pPr>
        <w:pStyle w:val="BookText"/>
        <w:rPr/>
      </w:pPr>
      <w:bookmarkEnd w:id="618"/>
      <w:r>
        <w:rPr>
          <w:rFonts w:ascii="Amiri" w:hAnsi="Amiri" w:eastAsia="Amiri" w:cs="Amiri"/>
          <w:color w:val="111111"/>
          <w:sz w:val="28"/>
          <w:sz w:val="28"/>
          <w:szCs w:val="28"/>
          <w:rtl w:val="true"/>
          <w:lang w:bidi="ar-SA"/>
        </w:rPr>
        <w:t>ذكرت مجموعة من الأوصاف للجنة في القرآن الكريم، ونكتفي هنا بذكر بعض الآيات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وَسِيقَ الَّذِينَ اتَّقَوْا رَبَّهُمْ إِلَى الْجَنَّةِ زُمَرًا حَتَّى إِذَا جَاءُوهَا وَفُتِحَتْ أَبْوَابُهَا وَقَالَ لَهُمْ خَزَنَتُهَا سَلَامٌ عَلَيْكُمْ طِبْتُمْ فَادْخُلُوهَا خَالِدِينَ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ذِكْرٌ وَإِنَّ لِلْمُتَّقِينَ لَحُسْنَ مَآبٍ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مُفَتَّحَةً لَهُمُ الْأَبْوَابُ</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9" w:name="__RefHeading___Toc5370037_1280447820"/>
      <w:bookmarkStart w:id="620" w:name="_Toc237"/>
      <w:bookmarkEnd w:id="619"/>
      <w:r>
        <w:rPr/>
        <w:t>2</w:t>
      </w:r>
      <w:r>
        <w:rPr>
          <w:rtl w:val="true"/>
        </w:rPr>
        <w:t xml:space="preserve">) </w:t>
      </w:r>
      <w:r>
        <w:rPr>
          <w:rtl w:val="true"/>
        </w:rPr>
        <w:t>النّعم الجسمانية والمعنوية التي سينالها المخلّدون في الجنّة</w:t>
      </w:r>
      <w:r>
        <w:rPr>
          <w:rtl w:val="true"/>
        </w:rPr>
        <w:t>:</w:t>
      </w:r>
      <w:bookmarkEnd w:id="620"/>
    </w:p>
    <w:p>
      <w:pPr>
        <w:pStyle w:val="BookText"/>
        <w:rPr/>
      </w:pPr>
      <w:r>
        <w:rPr>
          <w:rFonts w:ascii="Amiri" w:hAnsi="Amiri" w:eastAsia="Amiri" w:cs="Amiri"/>
          <w:color w:val="111111"/>
          <w:sz w:val="28"/>
          <w:sz w:val="28"/>
          <w:szCs w:val="28"/>
          <w:rtl w:val="true"/>
          <w:lang w:bidi="ar-SA"/>
        </w:rPr>
        <w:t>هناك كثير من الآيات المباركة التي تحدّثت عن شتّى أنواع النّعم الجسمانية والمادّية التي سينالها سكنة جنّة الخلد، فقد ذكرت أشياء رائعة يتمنّاها كلّ إنسان من قبيل الحدائق الغنّاء والظلال الوارفة والقصور العظيمة والأرائك المريحة ومختلف أنواع الأطعمة والأشربة اللذيذة والثياب الناعمة والخدم والحور العين والأزواج المطهرة، و ما سوى ذلك من فضائل جمّة ونعم ممّا لا عينٌ رأت ولا أُذن سمعت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الآيات التي أشارت إلى اللذّة المعنوية في جنّة الخلد فقد أكّدت على أنّ المؤمنين سينالون غاية المحبّة والاحترام ويعيشون بوئامٍ وسلامٍ آمنين من كلّ شرٍّ ومكروهٍ، </w:t>
      </w:r>
    </w:p>
    <w:p>
      <w:pPr>
        <w:pStyle w:val="BookText"/>
        <w:rPr/>
      </w:pPr>
      <w:r>
        <w:rPr>
          <w:rFonts w:ascii="Amiri" w:hAnsi="Amiri" w:eastAsia="Amiri" w:cs="Amiri"/>
          <w:color w:val="111111"/>
          <w:sz w:val="28"/>
          <w:sz w:val="28"/>
          <w:szCs w:val="28"/>
          <w:rtl w:val="true"/>
          <w:lang w:bidi="ar-SA"/>
        </w:rPr>
        <w:t>ويجالسون أمثالهم من الصلحاء الأوفياء من دون أن ينتابهم أيّ هاجس يؤرّق أذهانهم، وسيحظون بمقام القرب الإلهيّ الذي وعدوا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يأتي نذكر بعض الآيات التي تمحورت حول ما 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النعيم واللذة المادّية والجسمانية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وَمَنْ يُطِعِ اللَّهَ وَرَسُولَهُ يُدْخِلْهُ جَنَّاتٍ تَجْرِي مِنْ تَحْتِهَا الْأَنْهَارُ خَالِدِينَ فِيهَا وَذَلِكَ الْفَوْزُ الْعَظِيمُ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فَجَعَلْنَاهُنَّ أَبْكَارًا عُرُبًا أَتْرَابًا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فُرُشٍ بَطَائِنُهَا مِنْ إِسْتَبْرَقٍ وَجَنَى الْجَنَّتَيْنِ دَانٍ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وَيَطُوفُ عَلَيْهِمْ غِلْمَانٌ لَهُمْ كَأَنَّهُمْ لُؤْلُؤٌ مَكْنُونٌ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جَنَّاتُ عَدْنٍ تَجْرِي مِنْ تَحْتِهِمُ الْأَنْهَارُ يُحَلَّوْنَ فِيهَا مِنْ أَسَاوِرَ مِنْ ذَهَبٍ وَيَلْبَسُونَ ثِيَابًا خُضْرًا مِنْ سُنْدُسٍ وَإِسْتَبْرَقٍ مُتَّكِئِينَ فِيهَا عَلَى الْأَرَائِكِ نِعْمَ الثَّوَابُ وَحَسُنَتْ مُرْتَفَقًا</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النعيم واللذّة 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يَدْعُو إِلَى دَارِ السَّلَامِ وَيَهْدِي مَنْ يَشَاءُ إِلَى صِرَاطٍ مُسْتَقِيمٍ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621" w:name="pg16299_219668"/>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قِيلًا سَلَامًا سَلَامًا</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2" w:name="__RefHeading___Toc5370039_1280447820"/>
      <w:bookmarkStart w:id="623" w:name="_Toc238"/>
      <w:bookmarkEnd w:id="622"/>
      <w:r>
        <w:rPr/>
        <w:t>3</w:t>
      </w:r>
      <w:r>
        <w:rPr>
          <w:rtl w:val="true"/>
        </w:rPr>
        <w:t>)</w:t>
      </w:r>
      <w:r>
        <w:rPr>
          <w:rtl w:val="true"/>
        </w:rPr>
        <w:t xml:space="preserve">الشروط اللازم توفّرها لدخول جنّة الخلد </w:t>
      </w:r>
      <w:r>
        <w:rPr>
          <w:rtl w:val="true"/>
        </w:rPr>
        <w:t>:</w:t>
      </w:r>
      <w:bookmarkEnd w:id="6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والعمل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اتّباع أهواء النفس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التأنّي في المبادرة إلى الخير والطاعة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بالله والاستقامة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حُدُودُ اللَّهِ وَمَنْ يُطِعِ اللَّهَ وَرَسُولَهُ يُدْخِلْهُ جَنَّاتٍ تَجْرِي مِنْ تَحْتِهَا الْأَنْهَارُ خَالِدِينَ فِيهَا وَذَلِكَ الْفَوْزُ الْعَظِيمُ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لَهُمْ رِزْقٌ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فَوَاكِهُ وَهُمْ مُكْرَمُونَ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624" w:name="pg16299_219670"/>
    </w:p>
    <w:p>
      <w:pPr>
        <w:pStyle w:val="BookText"/>
        <w:rPr/>
      </w:pPr>
      <w:bookmarkEnd w:id="624"/>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موالاة أولياء الله ومعاداة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5370041_1280447820"/>
      <w:bookmarkStart w:id="626" w:name="_Toc239"/>
      <w:bookmarkEnd w:id="625"/>
      <w:r>
        <w:rPr>
          <w:rtl w:val="true"/>
        </w:rPr>
        <w:t>ثالثاً</w:t>
      </w:r>
      <w:r>
        <w:rPr>
          <w:rtl w:val="true"/>
        </w:rPr>
        <w:t xml:space="preserve">: </w:t>
      </w:r>
      <w:r>
        <w:rPr>
          <w:rtl w:val="true"/>
        </w:rPr>
        <w:t>الأعراف</w:t>
      </w:r>
      <w:r>
        <w:rPr>
          <w:rtl w:val="true"/>
        </w:rPr>
        <w:t>:</w:t>
      </w:r>
      <w:bookmarkEnd w:id="626"/>
    </w:p>
    <w:p>
      <w:pPr>
        <w:pStyle w:val="BookText"/>
        <w:rPr/>
      </w:pPr>
      <w:r>
        <w:rPr>
          <w:rFonts w:ascii="Amiri" w:hAnsi="Amiri" w:eastAsia="Amiri" w:cs="Amiri"/>
          <w:color w:val="111111"/>
          <w:sz w:val="28"/>
          <w:sz w:val="28"/>
          <w:szCs w:val="28"/>
          <w:rtl w:val="true"/>
          <w:lang w:bidi="ar-SA"/>
        </w:rPr>
        <w:t>فضلاً عن الجنّة وجهنّم ،أشار الكتاب الحكيم إلى الأعراف في الآيات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الْأَعْرَافِ رِجَالًا يَعْرِفُونَهُمْ بِسِيمَاهُمْ قَالُوا مَا أَغْنَى عَنْكُمْ جَمْعُكُمْ وَمَا كُنْتُمْ تَسْتَكْبِرُونَ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من هذه الآيات أنّ الأعراف مقامٌ مرتفعٌ واقعٌ بين الجنّة وجهنّم، ويقف فوقه أشخاصٌ يشرفون على أصحاب النعيم والجحيم، لذا يمكن وصف هذا المكان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مستقلٌّ عن الجنّة وجهنّم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الأعراف يعرفون أهل الجنّة والنار، ولهم علم بمصير كلّ إنسان نظراً للكمال المعنوي والدرجات العليا التي بلغوها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والأولياء والصلحاء في كلّ أمةٍ هم من أهل الأعراف</w:t>
      </w:r>
      <w:r>
        <w:rPr>
          <w:rFonts w:eastAsia="Amiri" w:cs="Amiri" w:ascii="Amiri" w:hAnsi="Amiri"/>
          <w:color w:val="111111"/>
          <w:sz w:val="28"/>
          <w:szCs w:val="28"/>
          <w:rtl w:val="true"/>
          <w:lang w:bidi="ar-SA"/>
        </w:rPr>
        <w:t>.</w:t>
      </w:r>
      <w:bookmarkStart w:id="627" w:name="pg16299_219671"/>
    </w:p>
    <w:p>
      <w:pPr>
        <w:pStyle w:val="Heading3"/>
        <w:numPr>
          <w:ilvl w:val="2"/>
          <w:numId w:val="1"/>
        </w:numPr>
        <w:rPr/>
      </w:pPr>
      <w:bookmarkStart w:id="628" w:name="__RefHeading___Toc5370043_1280447820"/>
      <w:bookmarkStart w:id="629" w:name="_Toc240"/>
      <w:bookmarkEnd w:id="627"/>
      <w:bookmarkEnd w:id="628"/>
      <w:r>
        <w:rPr/>
        <w:t>40</w:t>
      </w:r>
      <w:r>
        <w:rPr>
          <w:rtl w:val="true"/>
        </w:rPr>
        <w:t>.</w:t>
      </w:r>
      <w:r>
        <w:rPr>
          <w:rtl w:val="true"/>
        </w:rPr>
        <w:t xml:space="preserve">الرجعة </w:t>
      </w:r>
      <w:r>
        <w:rPr>
          <w:rtl w:val="true"/>
        </w:rPr>
        <w:t>:</w:t>
      </w:r>
      <w:bookmarkEnd w:id="629"/>
    </w:p>
    <w:p>
      <w:pPr>
        <w:pStyle w:val="Heading4"/>
        <w:numPr>
          <w:ilvl w:val="3"/>
          <w:numId w:val="1"/>
        </w:numPr>
        <w:rPr/>
      </w:pPr>
      <w:bookmarkStart w:id="630" w:name="__RefHeading___Toc5370045_1280447820"/>
      <w:bookmarkStart w:id="631" w:name="_Toc241"/>
      <w:bookmarkEnd w:id="630"/>
      <w:r>
        <w:rPr>
          <w:rtl w:val="true"/>
        </w:rPr>
        <w:t>إشارة</w:t>
      </w:r>
      <w:bookmarkEnd w:id="631"/>
    </w:p>
    <w:p>
      <w:pPr>
        <w:pStyle w:val="BookText"/>
        <w:rPr/>
      </w:pPr>
      <w:r>
        <w:rPr>
          <w:rFonts w:ascii="IRNazanin" w:hAnsi="IRNazanin" w:eastAsia="IRNazanin"/>
          <w:color w:val="111111"/>
          <w:sz w:val="28"/>
          <w:sz w:val="28"/>
          <w:szCs w:val="28"/>
          <w:rtl w:val="true"/>
          <w:lang w:bidi="fa-IR"/>
        </w:rPr>
        <w:t xml:space="preserve">عقيدة الرجعة هي إحدى المعتقدات الهامّة بين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وقد أشير إليها في القرآن الكريم والروايات بهذا اللفظ وبألفاظ أخرى من قبيل الإياب والحشر</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5370047_1280447820"/>
      <w:bookmarkStart w:id="633" w:name="_Toc242"/>
      <w:bookmarkEnd w:id="632"/>
      <w:r>
        <w:rPr>
          <w:rtl w:val="true"/>
        </w:rPr>
        <w:t xml:space="preserve">- </w:t>
      </w:r>
      <w:r>
        <w:rPr>
          <w:rtl w:val="true"/>
        </w:rPr>
        <w:t xml:space="preserve">معنى الرجعة </w:t>
      </w:r>
      <w:r>
        <w:rPr>
          <w:rtl w:val="true"/>
        </w:rPr>
        <w:t>:</w:t>
      </w:r>
      <w:bookmarkEnd w:id="633"/>
    </w:p>
    <w:p>
      <w:pPr>
        <w:pStyle w:val="Heading5"/>
        <w:numPr>
          <w:ilvl w:val="4"/>
          <w:numId w:val="1"/>
        </w:numPr>
        <w:rPr/>
      </w:pPr>
      <w:bookmarkStart w:id="634" w:name="__RefHeading___Toc5370049_1280447820"/>
      <w:bookmarkStart w:id="635" w:name="_Toc243"/>
      <w:bookmarkEnd w:id="634"/>
      <w:r>
        <w:rPr>
          <w:rtl w:val="true"/>
        </w:rPr>
        <w:t>أوّلاً</w:t>
      </w:r>
      <w:r>
        <w:rPr>
          <w:rtl w:val="true"/>
        </w:rPr>
        <w:t xml:space="preserve">: </w:t>
      </w:r>
      <w:r>
        <w:rPr>
          <w:rtl w:val="true"/>
        </w:rPr>
        <w:t xml:space="preserve">المعنى اللغوي </w:t>
      </w:r>
      <w:r>
        <w:rPr>
          <w:rtl w:val="true"/>
        </w:rPr>
        <w:t>:</w:t>
      </w:r>
      <w:bookmarkEnd w:id="635"/>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وعرّفها علماء اللغة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رُجوعاً، ورجعته يستوي فيه اللازم والمجاوز، والرَّجْعَةُ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الواحدة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مكرم بن منظور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من الرجوع</w:t>
      </w:r>
      <w:r>
        <w:rPr>
          <w:rFonts w:eastAsia="Amiri" w:cs="Amiri" w:ascii="Amiri" w:hAnsi="Amiri"/>
          <w:color w:val="111111"/>
          <w:sz w:val="28"/>
          <w:szCs w:val="28"/>
          <w:rtl w:val="true"/>
          <w:lang w:bidi="ar-SA"/>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يُؤْمِنُ بالرَّجْعَةِ،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بالرجوع إلى الدُّنيا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امْرَأَتِه رِجْعَةٌ ورَجْعَةٌ ، بالكسْرِ وَالْفَتْح، وَهُوَ عَوْدُ المطلّق إِلَى مُطَلَّقَتِه، وَيُقَال أَيضاً طَلَّقَ فُلانٌ فلانةَ طَلاقاً يَمْلِكُ فِيهِ الرَّجْعَةَ والرَّجْعَةَ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فلان برِجْعَةٍ حَسَنَةٍ، أَي بشيءٍ صالحٍ اشتراه مكانَ شيءٍ طالح، أَو مَكَان شيءٍ قد كانَ دُونَه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العود إلى ما كان منه البدء، أو تقدير البدء مكاناً </w:t>
      </w:r>
      <w:bookmarkStart w:id="636" w:name="pg16299_219672"/>
    </w:p>
    <w:p>
      <w:pPr>
        <w:pStyle w:val="BookText"/>
        <w:rPr/>
      </w:pPr>
      <w:bookmarkEnd w:id="636"/>
      <w:r>
        <w:rPr>
          <w:rFonts w:ascii="Amiri" w:hAnsi="Amiri" w:eastAsia="Amiri" w:cs="Amiri"/>
          <w:color w:val="111111"/>
          <w:sz w:val="28"/>
          <w:sz w:val="28"/>
          <w:szCs w:val="28"/>
          <w:rtl w:val="true"/>
          <w:lang w:bidi="ar-SA"/>
        </w:rPr>
        <w:t xml:space="preserve">كان أو فعلاً أو قولاً، وبذاته كان رجوعه، أو بجزء من أجزائه أو بفعلٍ من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الطلاق وفي العود إلى الدنيا بعد الممات،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يؤمن بالرَّجْعَةِ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يؤمن بالرَجْعَةِ، أي بالرجوع إلى الدنيا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جاء رَجْعَةُ كتابك، أي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على امرأته رَجْعَةٌ ورِجْعَةٌ أيضاً، والفتح 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مَرْجُوعِ فلانٍ عليك أي من مردودٍه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تباع ويُشْتَرَى بثمنها مثلها، فالثانية راجعَةٌ ورجيعة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ارْتَجَعْتُها، وتَرَجَّعتُها، ورَجَّعْتُها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إبله فارْتَجَعَ منها رِجْعَةً صالحةً بالكسر ، إذا صرف أثمانها فيما يعود عليه بالعائدة والصالحة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5370051_1280447820"/>
      <w:bookmarkStart w:id="638" w:name="_Toc244"/>
      <w:bookmarkEnd w:id="637"/>
      <w:r>
        <w:rPr>
          <w:rtl w:val="true"/>
        </w:rPr>
        <w:t>ثانياً</w:t>
      </w:r>
      <w:r>
        <w:rPr>
          <w:rtl w:val="true"/>
        </w:rPr>
        <w:t xml:space="preserve">: </w:t>
      </w:r>
      <w:r>
        <w:rPr>
          <w:rtl w:val="true"/>
        </w:rPr>
        <w:t xml:space="preserve">المعنى الاصطلاحي </w:t>
      </w:r>
      <w:r>
        <w:rPr>
          <w:rtl w:val="true"/>
        </w:rPr>
        <w:t>:</w:t>
      </w:r>
      <w:bookmarkEnd w:id="638"/>
    </w:p>
    <w:p>
      <w:pPr>
        <w:pStyle w:val="BookText"/>
        <w:rPr/>
      </w:pPr>
      <w:r>
        <w:rPr>
          <w:rFonts w:ascii="Amiri" w:hAnsi="Amiri" w:eastAsia="Amiri" w:cs="Amiri"/>
          <w:color w:val="111111"/>
          <w:sz w:val="28"/>
          <w:sz w:val="28"/>
          <w:szCs w:val="28"/>
          <w:rtl w:val="true"/>
          <w:lang w:bidi="ar-SA"/>
        </w:rPr>
        <w:t>الرجعة بصفتها عقيدةً من معتقدات الشيعة الإماميّة لها معنى اصطلاحي، لكنّ بعض علماء الكلام تطرّقوا إلى إثبات إمكانية تحقّقها من دون أن يذكروا معناها الاصطلاحي كالفضل بن شاذان والشيخ الصدوق؛ في حين أنّ بعض الأعلام ذكروا لها تعريفاً حينما تناولوها بالشرح والتحليل كالشيخ المفيد والسيّد المرتضى وأبي الصلاح الحلبي والشيخ الطوسيّ والشيخ الطبرسي وعبد الجليل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الجدير بالذكر هنا أنّ جميع علماء الكلام من الإماميّة يعتقدون بإحياء بعض الموتى قبل حلول القيامة وفي عصر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39" w:name="__RefHeading___Toc5370053_1280447820"/>
      <w:bookmarkStart w:id="640" w:name="_Toc245"/>
      <w:bookmarkEnd w:id="639"/>
      <w:r>
        <w:rPr>
          <w:rtl w:val="true"/>
        </w:rPr>
        <w:t xml:space="preserve">- </w:t>
      </w:r>
      <w:r>
        <w:rPr>
          <w:rtl w:val="true"/>
        </w:rPr>
        <w:t xml:space="preserve">معارضو الرجعة </w:t>
      </w:r>
      <w:r>
        <w:rPr>
          <w:rtl w:val="true"/>
        </w:rPr>
        <w:t>:</w:t>
      </w:r>
      <w:bookmarkEnd w:id="64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احتدمت النقاشات بين علماء الإماميّة وبين منكري عقيدة الرجعة، لذلك تصدّوا إلى بيان طبيعتها وأثبتوا ضرورة تحقّقها، ومن جملتهم الفضل بن شاذان الذي ردّ على منتقديها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الجزرى في 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وقت ذكر </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ورأيناكم عبتم عليهم شيئاً تروونه من وجوه كثيرةٍ عن علمائكم وتؤمنون به وتصدّقونه، ونحن مفسّرون ذلك لكم من أحاديثكم بما لا يمكنكم دفعه و لاجحوده فلا تستقيم إلّا بتكلّفٍ وتجشّمٍ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نقل روايةً عن أهل السنّة حول الموضوع،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ورويتم عن يزيد بن الحبّاب عن يحيى بن سعيد الأنصاري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زيد بن خارجة، نافست الأنصار في غسله حتى كان بينهم منازعةٌ، ثمّ استقام رأيهم على أن يغسّله الغسلتين الأولتين الذين كانوا يلون غسله، ثمّ يدخل عليه من كلّ فخذٍ سيّدها فيصبّون عليه الماء صبّةً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الغسلة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فيمن دخل، فلمّا ذهبنا لنصبّ عليه الماء، تكلّم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اثنتان وبقيت أربع، يأكل غنيّهم فقيرهم فارضوا لرضاهم لكم ، أبو بكر الصدّيق ليّنٌ رحيمٌ بالمؤمنين، عمر شديدٌ على الكفّار لا يأخذه في الله لومة لائم، عثمان ليّن رحيمٌ فاسمعوا له وأطيعوا فإنّكم على منهاج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خمد صوته فإذا اللسان يتحرّك والجسد ميّتٌ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عن محمد بن عبيد الطنافسي عن إسماعيل بن أبي خالد عن عامر الشعبي ما 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أقبلوا من الدفينة</w:t>
      </w:r>
      <w:r>
        <w:rPr>
          <w:rStyle w:val="FootnoteAnchor"/>
          <w:rtl w:val="true"/>
        </w:rPr>
        <w:footnoteReference w:id="734"/>
      </w:r>
      <w:r>
        <w:rPr>
          <w:rFonts w:ascii="Amiri" w:hAnsi="Amiri" w:eastAsia="Amiri" w:cs="Amiri"/>
          <w:color w:val="111111"/>
          <w:sz w:val="28"/>
          <w:sz w:val="28"/>
          <w:szCs w:val="28"/>
          <w:rtl w:val="true"/>
          <w:lang w:bidi="ar-SA"/>
        </w:rPr>
        <w:t>متطوّعين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مجاهدين، فنفق حمار رجلٍ منهم فسألوه أن ينطلق معهم ولا يتخلّف، فأبى فقام فتوضّأ ثمّ صلّى،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قد أقبلت من الدفينة مجاهداً في سبيلك ابتغاء مرضاتك، وإنّي أسألك أن لا تجعل لأحدٍ عليَّ منةً وأن تبعث لي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فضربه برجله، فقام الحمار ينفض أُذنيه، فأسرجه وألجمه، ثمّ ركب حتى لحق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شأني أنّ الله بعث لي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 حماره بيع بالكناسة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bookmarkStart w:id="641" w:name="pg16299_219674"/>
    </w:p>
    <w:p>
      <w:pPr>
        <w:pStyle w:val="BookText"/>
        <w:rPr/>
      </w:pPr>
      <w:bookmarkEnd w:id="641"/>
      <w:r>
        <w:rPr>
          <w:rFonts w:ascii="Amiri" w:hAnsi="Amiri" w:eastAsia="Amiri" w:cs="Amiri"/>
          <w:color w:val="111111"/>
          <w:sz w:val="28"/>
          <w:sz w:val="28"/>
          <w:szCs w:val="28"/>
          <w:rtl w:val="true"/>
          <w:lang w:bidi="ar-SA"/>
        </w:rPr>
        <w:t>وبعد أن نقل نقل عدداً من الروايات على هذا الصعيد ذكر مؤاخذةً على منكري الرجعة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ولسنا ننكر لله قدرة أن يحيي الموتى، ولكنّا نعجب أنّكم إذا بلغكم عن الشيعة قول عضّتموه وشنّعتموه وأنتم تقولون بأكثر منه، والشيعة لا تروي حديثاً واحداً عن آل محمّد أنّ ميّتاً رجع إلى الدنيا كما تروون أنتم عن علمائكم، إنّما يروون عن آل محمّد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أشبه شيءٍ ببني إسرائيل، والله ليكوننّ فيكم ما كان فيهم حذو النعل بالنعل والقذّة بالقذّة حتى لو دخلوا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أنتم تروونها أيضاً وقد علمتم أنّ بني إسرائيل قد كان فيهم من عاش بعد الموت ورجعوا إلى الدنيا فأكلوا وشربوا ونكحوا النساء وولد لهم الأولاد، ولا ننكر لله قدرة أن يحيي الموتى، فإن شاء أن يردّ من مات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إن شاء لم يفعل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5370055_1280447820"/>
      <w:bookmarkStart w:id="643" w:name="_Toc246"/>
      <w:bookmarkEnd w:id="642"/>
      <w:r>
        <w:rPr>
          <w:rtl w:val="true"/>
        </w:rPr>
        <w:t xml:space="preserve">- </w:t>
      </w:r>
      <w:r>
        <w:rPr>
          <w:rtl w:val="true"/>
        </w:rPr>
        <w:t xml:space="preserve">إمكانية تحقّق الرجعة </w:t>
      </w:r>
      <w:r>
        <w:rPr>
          <w:rtl w:val="true"/>
        </w:rPr>
        <w:t>:</w:t>
      </w:r>
      <w:bookmarkEnd w:id="643"/>
    </w:p>
    <w:p>
      <w:pPr>
        <w:pStyle w:val="BookText"/>
        <w:rPr/>
      </w:pPr>
      <w:r>
        <w:rPr>
          <w:rFonts w:ascii="Amiri" w:hAnsi="Amiri" w:eastAsia="Amiri" w:cs="Amiri"/>
          <w:color w:val="111111"/>
          <w:sz w:val="28"/>
          <w:sz w:val="28"/>
          <w:szCs w:val="28"/>
          <w:rtl w:val="true"/>
          <w:lang w:bidi="ar-SA"/>
        </w:rPr>
        <w:t>استدلّ الفضل بن شاذان وسائر علماء الكلام الإماميّة بقدرة الله المطلقة لإثبات إمكانية تحقّق الرجعة فهو تبارك شأنه ذو قدرةٍ غير متناهيةٍ ومن الهين عليه إحياء الموتى في الحياة الدنيا،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ننكر لله قدرة أن يحيي الموتى، فإن شاء أن يردّ من مات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ردّ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وإن شاء لم يفعل</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ننكر لله قدرة أن يحيي الموتى، ولكنّا نعجب أنّكم إذا بلغكم عن الشيعة قولٌ عضّتموه وشنّعتموه وأنتم تقولون بأكثر منه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المرتضى فقد ساق البحث في إطار موضوعي الجواهر والأعراض، وتطرّق إلى بيان تفاصيله بطريقةٍ فلسفيّةٍ لإثبات قدرة البارئ جلّ وعلا في إحياء الموتى، فهو يعتقد بأنّه تعالى قادرٌ على إيجاد الجواهر بعد الموت في أيّ زمن شاء، كما </w:t>
      </w:r>
      <w:bookmarkStart w:id="644" w:name="pg16299_219675"/>
    </w:p>
    <w:p>
      <w:pPr>
        <w:pStyle w:val="BookText"/>
        <w:rPr/>
      </w:pPr>
      <w:bookmarkEnd w:id="644"/>
      <w:r>
        <w:rPr>
          <w:rFonts w:ascii="Amiri" w:hAnsi="Amiri" w:eastAsia="Amiri" w:cs="Amiri"/>
          <w:color w:val="111111"/>
          <w:sz w:val="28"/>
          <w:sz w:val="28"/>
          <w:szCs w:val="28"/>
          <w:rtl w:val="true"/>
          <w:lang w:bidi="ar-SA"/>
        </w:rPr>
        <w:t>قسم الأعراض إلى قسمين؛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الذي يقول الإماميّة في الرجعة لا خلاف بين المسلمين، بل بين الموحّدين في جوازه؛ وأنّه مقدور لله تعالى، وإنما الخلاف بينهم في أنّه يوجد لا محالة،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يخالف في صحّة رجعة الأموات إلّا ملحدٌ وخارج عن أقوال أهل التوحيد لأنّ الله تعالى قادر على إيجاد الجواهر بعد إعدامها، وإذا كان عليها قادراً، جاز أن يوجدها متى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والأعراض التي بها يكون أحدنا حيّاً مخصوصاً، على ضربين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الإعادة بعينه غير واجبةٍ، كالكون والاعتماد وما يجري مجرى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وجوب إعادته بعينه، وهو الحياة والتأليف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في كتاب الذخيرة أنّ الإعادة بعينها غير واجبة إن ثبت أنّ الحياة والتأليف من الأجناس الباقية، ففي ذلك شكّ، فالإعادة جائزة صحيحةٌ على كلّ حالٍ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5370057_1280447820"/>
      <w:bookmarkStart w:id="646" w:name="_Toc247"/>
      <w:bookmarkEnd w:id="645"/>
      <w:r>
        <w:rPr>
          <w:rtl w:val="true"/>
        </w:rPr>
        <w:t xml:space="preserve">- </w:t>
      </w:r>
      <w:r>
        <w:rPr>
          <w:rtl w:val="true"/>
        </w:rPr>
        <w:t xml:space="preserve">إثبات تحقّق الرجعة </w:t>
      </w:r>
      <w:r>
        <w:rPr>
          <w:rtl w:val="true"/>
        </w:rPr>
        <w:t>:</w:t>
      </w:r>
      <w:bookmarkEnd w:id="64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الكلام الإمامية، بمن فيهم الفضل بن شاذان والشيخ الصدوق والشيخ الطبرسي وأبو الفتوح الرازيّ وقطب الدين الراوندي والسيّد ابن طاووس، استندوا إلى حديثٍ 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إثبات أنّ الرجعة أمر ضروريٌّ سيتحقّق في الحياة الدنيا، فقد شبّه صلوات الله عليه أمته بالأمم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تمسّكوا ببعض الآيات القرآنية التي تضمنت هذا الموضوع من قبيل الآيات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النمل 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غافر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النحل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القصص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استدلّوا عليها بالأخبار التي تنصّ على عودة النبيّ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 المرتضى بدوره لجأ إلى إجماع العلماء لأنّه لا يعتقد بصحّة خبر الواحد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ذكرنا في المبحث السابق أنّ الفضل بن شاذان أكّد على تحقّق الرجعة واعترض على أهل السنّة الذين أنكروها بحديث نقلوه في أهمّ مصادرهم الحديثية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ونبّههم على أنّهم أولى بهذه العقيدة من الشيعة لأنّهم نقلوا أحاديث عدة حول إحياء الموتى في الدنيا في حين أنّ الشيعة لم ينقلوا في مصادرهم حديثاً واحداً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أحاديث أهل السنة التي نقلها والتي أشرنا إليها في المبحث السابق هو الحديث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أشبه شيء ببني إسرائيل، والله ليكوننّ فيكم ما كان فيهم حذو النعل بالنعل والقذّة بالقذّة حتى لو دخلوا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وقد 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 أنّ بني إسرائيل قد كان فيهم من عاش بعد الموت ورجعوا إلى الدنيا فأكلوا وشربوا ونكحوا النساء وولد لهم الأولاد</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إثبات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الفضل بن شاذان عشرين روايةً لإثبات تحقّق الرجعة، بما فيها الرواية الآتية المروية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 بليلةٍ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بنیَّ إنك ستساق إلى العراق تنزل في أرض يقال لها عمورا وكربلاء، وإنك تستشهد بها وتستشهد معك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فابشروا بالجنّة، فو الله إنّما نمكث ما شاء الله تعالى بعد ما يجري علينا، ثمّ يخرجنا الله وإياكم حين يظهر قائمنا فينتقم من الظالمين، وأنا وأنتم نشاهدهم وعليهم السلاسل والأغلال وأنواع العذاب والنكال </w:t>
      </w:r>
      <w:r>
        <w:rPr>
          <w:rFonts w:eastAsia="IRNazanin" w:cs="IRNazanin"/>
          <w:color w:val="111111"/>
          <w:sz w:val="28"/>
          <w:szCs w:val="28"/>
          <w:rtl w:val="true"/>
          <w:lang w:bidi="fa-IR"/>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نقل العلّامة المجلسيّ الرواية الآتية 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الفضل بن شاذان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 القائم ودخل الكوفة، بعث الله تعالى من ظهر الكوفة سبعين ألف صديق، فيكونون في أصحابه وأنصاره</w:t>
      </w:r>
      <w:r>
        <w:rPr>
          <w:rFonts w:eastAsia="IRNazanin" w:cs="IRNazanin"/>
          <w:color w:val="111111"/>
          <w:sz w:val="28"/>
          <w:szCs w:val="28"/>
          <w:rtl w:val="true"/>
          <w:lang w:bidi="fa-IR"/>
        </w:rPr>
        <w:t xml:space="preserve">»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نقل </w:t>
      </w:r>
    </w:p>
    <w:p>
      <w:pPr>
        <w:pStyle w:val="BookText"/>
        <w:rPr/>
      </w:pPr>
      <w:r>
        <w:rPr>
          <w:rFonts w:ascii="IRNazanin" w:hAnsi="IRNazanin" w:eastAsia="IRNazanin"/>
          <w:color w:val="111111"/>
          <w:sz w:val="28"/>
          <w:sz w:val="28"/>
          <w:szCs w:val="28"/>
          <w:rtl w:val="true"/>
          <w:lang w:bidi="fa-IR"/>
        </w:rPr>
        <w:t xml:space="preserve">الرواية الآتية عن الفضل بن شاذان أيضاً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بتوحيد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الكلام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وأقرّ بالرجعة والمتعتين، وآمن بالمعراج والمسألة في القبر والحوض والشفاعة وخلق الجنة والنار والصراط والميزان والبعث والنشور والجزاء والحساب، فهو مؤمن حقاً وهو من شيعتنا أهل البيت</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الأدلّة التي تمسّك بها الشيخ الصدوق لإثبات الرجعة، الروايتان الآتيتان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أحمد بن محمّد بن يحيى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يزيد عن محمّد بن الحسن الميثمي عن مثنى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أيام الله عزّ وجلّ ثلاثة، يوم يقوم القائم، ويوم الكرّة، ويوم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أحمد بن عبد الله، عن أبيه عن جده عن أبي عبد الله البرقي عن أبيه عن عمرو بن شمر عن عبدالله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أقرّ بستة أشياء فهو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الطواغيت والإقرار بالولاية والإيمان بالرجعة والاستحلال للمتعة وتحريم الجرّي و ترك المسح على الخفّين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الشيخ المفيد فقد اعتمد على الآيتين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الكهف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لإثبات وجود حشرين، أحدهما عام ويجمع الله تعالى فيه جميع الناس من دون استثناء وموعده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الله فيه بعض الناس وموعده في الحياة الدنيا قبل قيام الساعة، والثاني هو المراد في عقيدة الرجعة التي يؤمن بها الشيعة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والآيتان 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تشير إلى الحشر الأکبر في یوک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تشير إلى الحشر الخاص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نستشفّ من هاتين الآيتين أنّ الحشر على نوعين، عامٌّ و خاصٌّ ؛ وبما أنّ الحشر العامّ الذي يحدث في يوم القيامة لا يتخلّف عنه أحدٌ من الناس ويتمّ فيه الحساب النهائي للأعمال، فذلك يعني أنّ حشر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يجمع الله فيه فوجاً من كلّ أمةٍ لا يحدث في 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فهو من الأحداث التي تقع في الحياة الدنيا، ومن هذا المنطلق لا يمكن تفسيره إلّا بالرجعة التي يعتقد بها أتباع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استدلّ هذا العالم الفذّ بالآية الحادية عشرة من سورة غافر لإثبات تحقّق الرجعة،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إذ فسرّ الإماتة والإحياء مرّتين بالإحياء بعد الموتة الأولى في الحياة الدنيا والإحياء في الحياة الآخرة عند قيام الساعة، والأوّل هو الرجعة بعينها، و فنّد رأي من ذهب إلى غير هذا التفسير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وللعامّة في هذه الآية تأويل مردود، وهو أنّ المعنى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خلقهم أمواتاً ثمّ أماتهم بعد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 لا يجري على لسان العرب، لأنّ الفعل لا يدخل إلّا على ما كان بغير الصفة التي انطوى اللفظ على معناها ومن خلقه الله مواتاً لا يقال إنّه أماته، وإنّما يقال ذلك فيمن طرأ عليه الموت بعد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يقال أحيا الله ميّتاً إلّا أن يكون قد كان قبل إحيائه ميّتاً، وهذا بيّن لمن تأمّله </w:t>
      </w:r>
      <w:r>
        <w:rPr>
          <w:rFonts w:eastAsia="Amiri" w:cs="Amiri" w:ascii="Amiri" w:hAnsi="Amiri"/>
          <w:color w:val="111111"/>
          <w:sz w:val="28"/>
          <w:szCs w:val="28"/>
          <w:rtl w:val="true"/>
          <w:lang w:bidi="ar-SA"/>
        </w:rPr>
        <w:t xml:space="preserve">. </w:t>
      </w:r>
      <w:bookmarkStart w:id="647" w:name="pg16299_219679"/>
    </w:p>
    <w:p>
      <w:pPr>
        <w:pStyle w:val="BookText"/>
        <w:rPr/>
      </w:pPr>
      <w:bookmarkEnd w:id="647"/>
      <w:r>
        <w:rPr>
          <w:rFonts w:ascii="Amiri" w:hAnsi="Amiri" w:eastAsia="Amiri" w:cs="Amiri"/>
          <w:color w:val="111111"/>
          <w:sz w:val="28"/>
          <w:sz w:val="28"/>
          <w:szCs w:val="28"/>
          <w:rtl w:val="true"/>
          <w:lang w:bidi="ar-SA"/>
        </w:rPr>
        <w:t xml:space="preserve">وقد زعم بعضهم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أَمَتَّنَا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الموتة التي تكون بعد حياتهم في القبور للمساءلة، فتكون الأولى قبل الإقبار والثانية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باطلٌ من وجه آخر، وهو أنّ الحياة للمساءلة ليست للتكليف فيندم الإنسان على ما فاته في حاله وندم القوم على ما فاتهم في حياتهم المرّتين يدلّ على أنّه لم يُرد حياة المساءلة، لكنّه أراد حياة الرجعة التي تكون لتكليفهم والندم على تفريطهم، فلا يفعلون ذلك فيندمون يوم العرض على ما فاتهم من ذلك</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المرتضى بدوره استدلّ بإجماع الإماميّة لإثبات تحقّق الرجعة، إذ أجمعوا على هذه العقيدة اعتماداً على كلام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إنّ هذا الإجماع يكتسب حجّيته من حجّية كلامهم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والدلالة على صحّة هذا المذهب أنّ الذي ذهبوا إليه ممّا لا شبهة على عاقل في أنّه مقدورُ لله تعالى غير مستحيل في نفسه، فإنّا نرى كثيراً من مخالفينا ينكرون الرجعة إنكار من يراها مستحيلةً غير مقدورةٍ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أثبت جواز الرجعة ودخولها تحت المقدور، فالطريق إلى إثباتها إجماع الإماميّة على وقوعها، فإنّهم لا يختلفون في ذلك، وإجماعهم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بّينا في مواضع من كتبنا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حجّةٌ لدخول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وما يشتمل على قول المعصوم من الأقوال، لا بدّ فيه من كونه صواباً </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5370059_1280447820"/>
      <w:bookmarkStart w:id="649" w:name="_Toc248"/>
      <w:bookmarkEnd w:id="648"/>
      <w:r>
        <w:rPr>
          <w:rtl w:val="true"/>
        </w:rPr>
        <w:t>-</w:t>
      </w:r>
      <w:r>
        <w:rPr>
          <w:rtl w:val="true"/>
        </w:rPr>
        <w:t xml:space="preserve">أهل الرجعة </w:t>
      </w:r>
      <w:r>
        <w:rPr>
          <w:rtl w:val="true"/>
        </w:rPr>
        <w:t>:</w:t>
      </w:r>
      <w:bookmarkEnd w:id="6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باعتقاد علماء الكلام الإماميّة فإنّ الرجعة في الحياة الدنيا بعد الموت لا تشمل الناس قاطبةً، وإنّما ترجع فئتان منهم فقط، الأولى تشمل ذوي أعلى مراتب الإيمان كالأنبياء والأولياء الصالحين، والثانية تشمل ذوي اعلا درجات الكفر والنفاق؛ وقد أشارت الروايات إلى أسماء بعض الأشخاص الذين سيرجعون، ومنهم النبيّ عيسى بن مريم والإمام عليّ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مرتكبو جريمة كربلاء الأليمة </w:t>
      </w:r>
    </w:p>
    <w:p>
      <w:pPr>
        <w:pStyle w:val="BookText"/>
        <w:rPr/>
      </w:pPr>
      <w:r>
        <w:rPr>
          <w:rFonts w:ascii="IRNazanin" w:hAnsi="IRNazanin" w:eastAsia="IRNazanin"/>
          <w:color w:val="111111"/>
          <w:sz w:val="28"/>
          <w:sz w:val="28"/>
          <w:szCs w:val="28"/>
          <w:rtl w:val="true"/>
          <w:lang w:bidi="fa-IR"/>
        </w:rPr>
        <w:t xml:space="preserve">وعائشة وخمسة عشر شخصاً من قوم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الكهف ويوشع بن نون وسلمان الفارسي وأبو دجانة الأنصاري والمقداد ومالك الأشتر وأصحاب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وأعداؤه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رأى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المحقّق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الرجعة تشمل الأمم السالفة فقط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الشيخ المفيد أهل الرجعة في فئتين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الراجعين إلى الدنيا فريقان، أحدهما من علت درجته في الإيمان وكثرت أعماله الصالحات وخرج من الدنيا على اجتناب الكبائر الموبقات، فيريه الله عزّ وجلّ دولة الحق ويعزّه بها ويعطيه من الدنيا ما كان يتمناه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بلغ الغاية في الفساد وانتهى في خلاف المحقّين إلى أقصى الغايات وكثر ظلمه لأولياء الله واقترافه السيئات </w:t>
      </w:r>
      <w:r>
        <w:rPr>
          <w:rFonts w:eastAsia="Amiri" w:cs="Amiri" w:ascii="Amiri" w:hAnsi="Amiri"/>
          <w:color w:val="111111"/>
          <w:sz w:val="28"/>
          <w:szCs w:val="28"/>
          <w:rtl w:val="true"/>
          <w:lang w:bidi="ar-SA"/>
        </w:rPr>
        <w:t>... »</w:t>
      </w:r>
      <w:r>
        <w:rPr>
          <w:rStyle w:val="FootnoteAnchor"/>
          <w:rtl w:val="true"/>
        </w:rPr>
        <w:footnoteReference w:id="7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وأكّد على هذا التصنيف بتخصيصٍ أدقّ في كتابٍ آخر بعد أن ذكر روايةً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يرجع إلى الدنيا عند قيام القائم من مُحضّ الإيمان محضاً أو مُحضّ الكفر محضاً، فأمّا ما سوى هذين فلا رجوع لهم إلى يوم المآب</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على أنّ الرجعة تشمل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نالوا أعلى مراتب الإيمان ومن الذين اتّصفوا بالكفر والنفاق، ولا تعمّ أبناء سائر الأمم السالفة،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والرجعة إنّما هي الممحّضي الإيمان من أهل الملة وممحضي النفاق منهم دون من سلف من الأمم الخالية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bookmarkStart w:id="650" w:name="pg16299_219681"/>
    </w:p>
    <w:p>
      <w:pPr>
        <w:pStyle w:val="Heading4"/>
        <w:numPr>
          <w:ilvl w:val="3"/>
          <w:numId w:val="1"/>
        </w:numPr>
        <w:rPr/>
      </w:pPr>
      <w:bookmarkStart w:id="651" w:name="__RefHeading___Toc5370061_1280447820"/>
      <w:bookmarkStart w:id="652" w:name="_Toc249"/>
      <w:bookmarkEnd w:id="650"/>
      <w:bookmarkEnd w:id="651"/>
      <w:r>
        <w:rPr>
          <w:rtl w:val="true"/>
        </w:rPr>
        <w:t xml:space="preserve">- </w:t>
      </w:r>
      <w:r>
        <w:rPr>
          <w:rtl w:val="true"/>
        </w:rPr>
        <w:t xml:space="preserve">الهدف من الرجعة </w:t>
      </w:r>
      <w:r>
        <w:rPr>
          <w:rtl w:val="true"/>
        </w:rPr>
        <w:t>:</w:t>
      </w:r>
      <w:bookmarkEnd w:id="652"/>
    </w:p>
    <w:p>
      <w:pPr>
        <w:pStyle w:val="BookText"/>
        <w:rPr/>
      </w:pPr>
      <w:r>
        <w:rPr>
          <w:rFonts w:ascii="IRNazanin" w:hAnsi="IRNazanin" w:eastAsia="IRNazanin"/>
          <w:color w:val="111111"/>
          <w:sz w:val="28"/>
          <w:sz w:val="28"/>
          <w:szCs w:val="28"/>
          <w:rtl w:val="true"/>
          <w:lang w:bidi="fa-IR"/>
        </w:rPr>
        <w:t xml:space="preserve">المعتقدون بالرجعة أكّدوا على أنّ الغاية منها إقامة العدل في الدنيا والانتقام من أعداء الله تعالى وإحياء دين الحق وتأسيس حكومة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خلفاء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ليراها أعداؤهم بأمّ أعينهم وينعم فيها المؤمنون فيعيشون تحت ظلّها بعزّة وكرامة، أي إنّ الله تبارك وتعالى سيريهم حقيقة حكومة الحقّ التي وعدهم بها وسيثبت لهم قدرته المعصوم على إقامة حكومة عدلٍ وصلاحٍ لا يعاني في كنفها أيّ إنسانٍ من ظلمٍ ولا حيفٍ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المفيد واصفاً الرجعة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فينتصر الله تعالى لمن تعدّى عليه قبل الممات ويشفي غيظهم منه بما يحلّه من النقمات؛ ثمّ يصير الفريقان من بعد ذلك إلى الموت ومن بعده إلى النشور وما يستحقّونه من دوام الثواب والعقاب، وقد جاء القرآن بصحّة ذلك وتظاهرت به الأخبار والإماميّة بأجمعها عليه إلّا شذاذاً منهم تأوّلوا ما ورد فيه مما ذكرناه على وجهٍ يخالف ما وصفناه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أكّد على أنّ أحد أهدافها هو تمكين المؤمنين للثأر من أعدائهم الذين ظلموهم وسلبوا حقوقهم جوراً وعدواناً،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والرجعة عندنا تختصّ بمن مُحضّ الإيمان ومُحضّ الكفر دون ما سوى هذين الفريقين، فإذا أراد الله تعالى على ما ذكرناه أوهم الشيطان أعداء الله عزّ وجلّ إنّما ردّوا إلى الدنيا لطغيانهم على الله فيزدادوا عتوّاً، فينتقم الله تعالى منهم بأوليائه المؤمنين ويجعل لهم الكرّة عليهم فلا يبقى منهم أحدٌ إلّا وهو مغموم بالعذاب والنقمة والعقاب، وتصفو الأرض من الطغاة ويكون الدين لله تعالى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653" w:name="pg16299_219682"/>
    </w:p>
    <w:p>
      <w:pPr>
        <w:pStyle w:val="Heading4"/>
        <w:numPr>
          <w:ilvl w:val="3"/>
          <w:numId w:val="1"/>
        </w:numPr>
        <w:rPr/>
      </w:pPr>
      <w:bookmarkStart w:id="654" w:name="__RefHeading___Toc5370063_1280447820"/>
      <w:bookmarkStart w:id="655" w:name="_Toc250"/>
      <w:bookmarkEnd w:id="653"/>
      <w:bookmarkEnd w:id="654"/>
      <w:r>
        <w:rPr>
          <w:rtl w:val="true"/>
        </w:rPr>
        <w:t xml:space="preserve">- </w:t>
      </w:r>
      <w:r>
        <w:rPr>
          <w:rtl w:val="true"/>
        </w:rPr>
        <w:t xml:space="preserve">الشبهات التي أثيرت حول الرجعة </w:t>
      </w:r>
      <w:r>
        <w:rPr>
          <w:rtl w:val="true"/>
        </w:rPr>
        <w:t>:</w:t>
      </w:r>
      <w:bookmarkEnd w:id="655"/>
    </w:p>
    <w:p>
      <w:pPr>
        <w:pStyle w:val="Heading5"/>
        <w:numPr>
          <w:ilvl w:val="4"/>
          <w:numId w:val="1"/>
        </w:numPr>
        <w:rPr/>
      </w:pPr>
      <w:bookmarkStart w:id="656" w:name="__RefHeading___Toc5370065_1280447820"/>
      <w:bookmarkStart w:id="657" w:name="_Toc251"/>
      <w:bookmarkEnd w:id="656"/>
      <w:r>
        <w:rPr>
          <w:rtl w:val="true"/>
        </w:rPr>
        <w:t>إشارة</w:t>
      </w:r>
      <w:bookmarkEnd w:id="657"/>
    </w:p>
    <w:p>
      <w:pPr>
        <w:pStyle w:val="BookText"/>
        <w:rPr/>
      </w:pPr>
      <w:r>
        <w:rPr>
          <w:rFonts w:ascii="Amiri" w:hAnsi="Amiri" w:eastAsia="Amiri" w:cs="Amiri"/>
          <w:color w:val="111111"/>
          <w:sz w:val="28"/>
          <w:sz w:val="28"/>
          <w:szCs w:val="28"/>
          <w:rtl w:val="true"/>
          <w:lang w:bidi="ar-SA"/>
        </w:rPr>
        <w:t xml:space="preserve">كما هو متعارف، فقد بادر منكرو الرجعة إلى طرح شبهات حولها كما هو الحال بالنسبة إلى سائر معتقدات الإماميّة الحقّة، لكنّ علماءنا تصدّوا لها بالنقد والتفنيد، وعلى رأسهم السيّد المرتضى والشيخ الطوسيّ وفيما يأتي نتطرّق إلى ذكر فحوى هذه الشبهات ونقضها </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5370067_1280447820"/>
      <w:bookmarkStart w:id="659" w:name="_Toc252"/>
      <w:bookmarkEnd w:id="658"/>
      <w:r>
        <w:rPr>
          <w:rtl w:val="true"/>
        </w:rPr>
        <w:t xml:space="preserve">* </w:t>
      </w:r>
      <w:r>
        <w:rPr>
          <w:rtl w:val="true"/>
        </w:rPr>
        <w:t xml:space="preserve">الشبهة الأولى </w:t>
      </w:r>
      <w:r>
        <w:rPr>
          <w:rtl w:val="true"/>
        </w:rPr>
        <w:t xml:space="preserve">: </w:t>
      </w:r>
      <w:r>
        <w:rPr>
          <w:rtl w:val="true"/>
        </w:rPr>
        <w:t xml:space="preserve">الرجعة ضربٌ من الإعجاز والإعجاز من مختصّات الأنبياء </w:t>
      </w:r>
      <w:r>
        <w:rPr>
          <w:rtl w:val="true"/>
        </w:rPr>
        <w:t>(</w:t>
      </w:r>
      <w:r>
        <w:rPr>
          <w:rtl w:val="true"/>
        </w:rPr>
        <w:t>علیهم السلام</w:t>
      </w:r>
      <w:r>
        <w:rPr>
          <w:rtl w:val="true"/>
        </w:rPr>
        <w:t>):</w:t>
      </w:r>
      <w:bookmarkEnd w:id="659"/>
    </w:p>
    <w:p>
      <w:pPr>
        <w:pStyle w:val="Heading6"/>
        <w:numPr>
          <w:ilvl w:val="5"/>
          <w:numId w:val="1"/>
        </w:numPr>
        <w:rPr/>
      </w:pPr>
      <w:bookmarkStart w:id="660" w:name="__RefHeading___Toc5370069_1280447820"/>
      <w:bookmarkStart w:id="661" w:name="_Toc253"/>
      <w:bookmarkEnd w:id="660"/>
      <w:r>
        <w:rPr>
          <w:rtl w:val="true"/>
        </w:rPr>
        <w:t>إشارة</w:t>
      </w:r>
      <w:bookmarkEnd w:id="661"/>
    </w:p>
    <w:p>
      <w:pPr>
        <w:pStyle w:val="BookText"/>
        <w:rPr/>
      </w:pPr>
      <w:r>
        <w:rPr>
          <w:rFonts w:ascii="Amiri" w:hAnsi="Amiri" w:eastAsia="Amiri" w:cs="Amiri"/>
          <w:color w:val="111111"/>
          <w:sz w:val="28"/>
          <w:sz w:val="28"/>
          <w:szCs w:val="28"/>
          <w:rtl w:val="true"/>
          <w:lang w:bidi="ar-SA"/>
        </w:rPr>
        <w:t xml:space="preserve">ذهب بعض علماء المعتزلة إلى استحالة تحقّق الرجعة في الحياة الدنيا لكونها ضرباً من الإعجاز، وقد مكّن الله تعالى الأنبياء فقط على الإتيان بالمعجزات بغية إقناع الناس بصحّة رسالتهم وحقانية نبوّتهم؛ وبما أنّ النبوّة ختمت بعد سيّدنا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الممكن تحقّق الرجعة حينئذٍ</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5370071_1280447820"/>
      <w:bookmarkStart w:id="663" w:name="_Toc254"/>
      <w:bookmarkEnd w:id="662"/>
      <w:r>
        <w:rPr>
          <w:rtl w:val="true"/>
        </w:rPr>
        <w:t>-</w:t>
      </w:r>
      <w:r>
        <w:rPr>
          <w:rtl w:val="true"/>
        </w:rPr>
        <w:t xml:space="preserve">تحليل الشبهة ونقضها </w:t>
      </w:r>
      <w:r>
        <w:rPr>
          <w:rtl w:val="true"/>
        </w:rPr>
        <w:t>:</w:t>
      </w:r>
      <w:bookmarkEnd w:id="663"/>
    </w:p>
    <w:p>
      <w:pPr>
        <w:pStyle w:val="BookText"/>
        <w:rPr/>
      </w:pPr>
      <w:r>
        <w:rPr>
          <w:rFonts w:ascii="Amiri" w:hAnsi="Amiri" w:eastAsia="Amiri" w:cs="Amiri"/>
          <w:color w:val="111111"/>
          <w:sz w:val="28"/>
          <w:sz w:val="28"/>
          <w:szCs w:val="28"/>
          <w:rtl w:val="true"/>
          <w:lang w:bidi="ar-SA"/>
        </w:rPr>
        <w:t>ردّ الشيخ الطوسيّ على هذه الشبهة بإلغاء تخصيص الإعجاز بالأنبياء،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يكون ذلك إلّا في زمان نبيٍّ، لأنّ المعجزة لا يجوز ظهورها إلّا للدلالة على صدق نبيٍّ، تكون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فساد ذلك في غير موضع، وأنّه تجوز المعجزات على دينٍ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الأئمة والأولياء وإن لم يكونوا أنبياء</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5370073_1280447820"/>
      <w:bookmarkStart w:id="665" w:name="_Toc255"/>
      <w:bookmarkEnd w:id="664"/>
      <w:r>
        <w:rPr>
          <w:rtl w:val="true"/>
        </w:rPr>
        <w:t>*</w:t>
      </w:r>
      <w:r>
        <w:rPr>
          <w:rtl w:val="true"/>
        </w:rPr>
        <w:t>الشبهة الثانية</w:t>
      </w:r>
      <w:r>
        <w:rPr>
          <w:rtl w:val="true"/>
        </w:rPr>
        <w:t xml:space="preserve">: </w:t>
      </w:r>
      <w:r>
        <w:rPr>
          <w:rtl w:val="true"/>
        </w:rPr>
        <w:t xml:space="preserve">الرجعة وازعٌ لارتكاب المعاصي </w:t>
      </w:r>
      <w:r>
        <w:rPr>
          <w:rtl w:val="true"/>
        </w:rPr>
        <w:t>:</w:t>
      </w:r>
      <w:bookmarkEnd w:id="665"/>
    </w:p>
    <w:p>
      <w:pPr>
        <w:pStyle w:val="Heading6"/>
        <w:numPr>
          <w:ilvl w:val="5"/>
          <w:numId w:val="1"/>
        </w:numPr>
        <w:rPr/>
      </w:pPr>
      <w:bookmarkStart w:id="666" w:name="__RefHeading___Toc5370075_1280447820"/>
      <w:bookmarkStart w:id="667" w:name="_Toc256"/>
      <w:bookmarkEnd w:id="666"/>
      <w:r>
        <w:rPr>
          <w:rtl w:val="true"/>
        </w:rPr>
        <w:t>إشارة</w:t>
      </w:r>
      <w:bookmarkEnd w:id="66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الكلام المعتزلي أبو القاسم البلخي ذكر مؤاخذةً على الرجعة معتبراً إياها واحدةً من المغريات التي تحفّز الإنسان على ارتكاب المعاصي، حيث قال إنّ العاصي </w:t>
      </w:r>
      <w:bookmarkStart w:id="668" w:name="pg16299_219683"/>
    </w:p>
    <w:p>
      <w:pPr>
        <w:pStyle w:val="BookText"/>
        <w:rPr/>
      </w:pPr>
      <w:bookmarkEnd w:id="668"/>
      <w:r>
        <w:rPr>
          <w:rFonts w:ascii="Amiri" w:hAnsi="Amiri" w:eastAsia="Amiri" w:cs="Amiri"/>
          <w:color w:val="111111"/>
          <w:sz w:val="28"/>
          <w:sz w:val="28"/>
          <w:szCs w:val="28"/>
          <w:rtl w:val="true"/>
          <w:lang w:bidi="ar-SA"/>
        </w:rPr>
        <w:t>يفعل ما يشاء لأنّه يعلم برجوعه في الحياة الدنيا مرّةً أخرى فيؤمل على التوبة حينها، و الله تعالى يقبل توبة عباده في الحياة الدنيا وهذا يعني أنّ الاعتقاد بالرجعة يستلزم القول بكون الله عزّ وجلّ رغّب العباد على ارتكاب الذنوب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الرجعة مع الإعلام بها، لأنّ فيها إغراء بالمعاصي من جهة الاتّكال على التوبة في الكرّة الثانية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9" w:name="__RefHeading___Toc5370077_1280447820"/>
      <w:bookmarkStart w:id="670" w:name="_Toc257"/>
      <w:bookmarkEnd w:id="669"/>
      <w:r>
        <w:rPr>
          <w:rtl w:val="true"/>
        </w:rPr>
        <w:t>-</w:t>
      </w:r>
      <w:r>
        <w:rPr>
          <w:rtl w:val="true"/>
        </w:rPr>
        <w:t xml:space="preserve">تحليل الشبهة ونقضها </w:t>
      </w:r>
      <w:r>
        <w:rPr>
          <w:rtl w:val="true"/>
        </w:rPr>
        <w:t>:</w:t>
      </w:r>
      <w:bookmarkEnd w:id="670"/>
    </w:p>
    <w:p>
      <w:pPr>
        <w:pStyle w:val="BookText"/>
        <w:rPr/>
      </w:pPr>
      <w:r>
        <w:rPr>
          <w:rFonts w:ascii="Amiri" w:hAnsi="Amiri" w:eastAsia="Amiri" w:cs="Amiri"/>
          <w:color w:val="111111"/>
          <w:sz w:val="28"/>
          <w:sz w:val="28"/>
          <w:szCs w:val="28"/>
          <w:rtl w:val="true"/>
          <w:lang w:bidi="ar-SA"/>
        </w:rPr>
        <w:t xml:space="preserve">الشيخ الطوسيّ فنّد هذه الشبهة بالاعتماد على كلامٍ لأحد علماء المعتزلة البارزين، وهو عليّ بن عيسى الرماني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ليس بصحيح من قِبَل أنّه لو كان فيها إغراء بالمعصية، لكان في إعلام التبقية إلى مدةٍ إغراءٌ بالمعصية؛ وقد أعلم الله تعالى نبيّه وغيره إبليس أنّه يبقيه إلى يوم يبعثون، ولم يكن في ذلك إغراء بالمعصية وعندي أنّ الذي قاله البلخي ليس بصحيح، لأنّ من يقول بالرجعة لا يقطع على أنّ الناس كلّهم يرجعون، فيكون في ذلك اتّكال على التوبة في الرجعة، فيصير إغراءً، فلا أحد من المكلّفين إلّا ويجوز أن لا يرجع، وإن قطع على الرجعة في الجملة، ويجوز أن لا يرجع ؛ فكفى في باب الزجر </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الشيخ الطوسيّ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قول الرماني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أعلم أقواماً مدّة مقامهم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لا يجوز إلّا فيمن هو معصوم يؤمن من جهة الخطأ، كالانبياء ومن يجري مجراهم في كونهم معصومين؛ فأما من ليس بمعصوم فلا يجوز ذلك، لأنّه يصير مُغرى بالقبح، وأمّا تبقية إبليس مع إعلامه أن يستبقيه إلى يوم القيامة، ففيه جوابان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وعده قطعاً بالتبقية بشرط ألّا يفعل القبيح، ومن فعل القبيح حقّ اخترته عقبه، ولا يكون مُغرى</w:t>
      </w:r>
      <w:r>
        <w:rPr>
          <w:rFonts w:eastAsia="Amiri" w:cs="Amiri" w:ascii="Amiri" w:hAnsi="Amiri"/>
          <w:color w:val="111111"/>
          <w:sz w:val="28"/>
          <w:szCs w:val="28"/>
          <w:rtl w:val="true"/>
          <w:lang w:bidi="ar-SA"/>
        </w:rPr>
        <w:t xml:space="preserve">. </w:t>
      </w:r>
      <w:bookmarkStart w:id="671" w:name="pg16299_219684"/>
    </w:p>
    <w:p>
      <w:pPr>
        <w:pStyle w:val="BookText"/>
        <w:rPr/>
      </w:pPr>
      <w:bookmarkEnd w:id="671"/>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أنّه لا يريد بهذا الإعلام فعلاً قبيحاً، و إلّا لما كان يفعله، وفي ذلك إخراجه من باب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قد زال عنه التكليف، وإنّما أمكنه الله من وسوسة الخلق تغليظاً للتكليف وزيادةً في مشاقّهم ، ويجري ذلك مجرى زيادة الشهوات أنّه يحسن فعلها إذا كان في خلقها تعريضُ للثواب الكثير الزائد</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5370079_1280447820"/>
      <w:bookmarkStart w:id="673" w:name="_Toc258"/>
      <w:bookmarkEnd w:id="672"/>
      <w:r>
        <w:rPr>
          <w:rtl w:val="true"/>
        </w:rPr>
        <w:t xml:space="preserve">* </w:t>
      </w:r>
      <w:r>
        <w:rPr>
          <w:rtl w:val="true"/>
        </w:rPr>
        <w:t>الشبهة الثالثة</w:t>
      </w:r>
      <w:r>
        <w:rPr>
          <w:rtl w:val="true"/>
        </w:rPr>
        <w:t xml:space="preserve">: </w:t>
      </w:r>
      <w:r>
        <w:rPr>
          <w:rtl w:val="true"/>
        </w:rPr>
        <w:t xml:space="preserve">الرجعة والتكليف </w:t>
      </w:r>
      <w:r>
        <w:rPr>
          <w:rtl w:val="true"/>
        </w:rPr>
        <w:t>:</w:t>
      </w:r>
      <w:bookmarkEnd w:id="673"/>
    </w:p>
    <w:p>
      <w:pPr>
        <w:pStyle w:val="Heading6"/>
        <w:numPr>
          <w:ilvl w:val="5"/>
          <w:numId w:val="1"/>
        </w:numPr>
        <w:rPr/>
      </w:pPr>
      <w:bookmarkStart w:id="674" w:name="__RefHeading___Toc5370081_1280447820"/>
      <w:bookmarkStart w:id="675" w:name="_Toc259"/>
      <w:bookmarkEnd w:id="674"/>
      <w:r>
        <w:rPr>
          <w:rtl w:val="true"/>
        </w:rPr>
        <w:t>إشارة</w:t>
      </w:r>
      <w:bookmarkEnd w:id="675"/>
    </w:p>
    <w:p>
      <w:pPr>
        <w:pStyle w:val="BookText"/>
        <w:rPr/>
      </w:pPr>
      <w:r>
        <w:rPr>
          <w:rFonts w:ascii="Amiri" w:hAnsi="Amiri" w:eastAsia="Amiri" w:cs="Amiri"/>
          <w:color w:val="111111"/>
          <w:sz w:val="28"/>
          <w:sz w:val="28"/>
          <w:szCs w:val="28"/>
          <w:rtl w:val="true"/>
          <w:lang w:bidi="ar-SA"/>
        </w:rPr>
        <w:t>عندما يرجع الله تعالى من كُتبت عليه الرجعة في آخر الزمان، فهو آنذاك يكون قد مرّ بمرحلةٍ في قبره أزيحت فيها الحجُب المادّية التي تغشى أبصار الناس في الحياة الدنيا بحيث شاهد الثواب والعقاب الحقيقيين اللذين يترتّبان على الأعمال الحسنة والسيئة، لذلك لا يبقى له وازع كي يرتكب المعاصي مرّةً أخرى خشيةً من العذاب الأليم الذي لمسه بالعيان، أي إنّه يضطرّ إلى عدم فعل أيّ ذنبٍ ويبادر إلى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إنّ هذا الأمر جبرٌ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 بالمعنى الفلسفي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في الحقيقة ليس كذلك لكونه جبراً نفسياً ناشئاً من دوافع الإنسان، أي إن الدوافع النفسية تصبح بشكل بحيث لا ترغب الإنسان بفعل المنكر ومن ثَمَّ فهو يبادر إلى فعل الخير وترك الذنوب من منطلق الخشية من العذاب الأليم الذي شاهده في حياته البرزخية؛ وهذا الأمر لا بدّ من أن يستوجب رفع التكليف عمّن تشمله الرجعة لكونه لا يمتلك الدافع لارتكاب المعاصي</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5370083_1280447820"/>
      <w:bookmarkStart w:id="677" w:name="_Toc260"/>
      <w:bookmarkEnd w:id="676"/>
      <w:r>
        <w:rPr>
          <w:rtl w:val="true"/>
        </w:rPr>
        <w:t xml:space="preserve">- </w:t>
      </w:r>
      <w:r>
        <w:rPr>
          <w:rtl w:val="true"/>
        </w:rPr>
        <w:t xml:space="preserve">تحليل الشبهة ونقضها </w:t>
      </w:r>
      <w:r>
        <w:rPr>
          <w:rtl w:val="true"/>
        </w:rPr>
        <w:t>:</w:t>
      </w:r>
      <w:bookmarkEnd w:id="6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المرتضى ناقش هذه الشبهة وردّ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بيّنا أنّ الرجعة لا تنافي التكليف، وأنّ الدواعي متردّدة معها حين لا يظنّ ظانٌّ أنّ تكليف من يُعاد باطلٌ، </w:t>
      </w:r>
      <w:bookmarkStart w:id="678" w:name="pg16299_219685"/>
    </w:p>
    <w:p>
      <w:pPr>
        <w:pStyle w:val="BookText"/>
        <w:rPr/>
      </w:pPr>
      <w:bookmarkEnd w:id="678"/>
      <w:r>
        <w:rPr>
          <w:rFonts w:ascii="Amiri" w:hAnsi="Amiri" w:eastAsia="Amiri" w:cs="Amiri"/>
          <w:color w:val="111111"/>
          <w:sz w:val="28"/>
          <w:sz w:val="28"/>
          <w:szCs w:val="28"/>
          <w:rtl w:val="true"/>
          <w:lang w:bidi="ar-SA"/>
        </w:rPr>
        <w:t>وذكرنا أنّ التكليف كما يصحّ مع ظهور المعجزات الباهرة والآيات القاهرة، فكذلك مع الرجعة، لأنّه ليس في جميع ذلك مُلجئٌ إلى فعل الواجب والامتناع من فعل القبيح</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لما كان أهل الرجعة مخيّرين في أفعالهم، فلا مانع من كونهم مكلّفين</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5370085_1280447820"/>
      <w:bookmarkStart w:id="680" w:name="_Toc261"/>
      <w:bookmarkEnd w:id="679"/>
      <w:r>
        <w:rPr>
          <w:rtl w:val="true"/>
        </w:rPr>
        <w:t>*</w:t>
      </w:r>
      <w:r>
        <w:rPr>
          <w:rtl w:val="true"/>
        </w:rPr>
        <w:t>الشبهة الرابعة</w:t>
      </w:r>
      <w:r>
        <w:rPr>
          <w:rtl w:val="true"/>
        </w:rPr>
        <w:t xml:space="preserve">: </w:t>
      </w:r>
      <w:r>
        <w:rPr>
          <w:rtl w:val="true"/>
        </w:rPr>
        <w:t xml:space="preserve">الرجعة والتوبة </w:t>
      </w:r>
      <w:r>
        <w:rPr>
          <w:rtl w:val="true"/>
        </w:rPr>
        <w:t>:</w:t>
      </w:r>
      <w:bookmarkEnd w:id="680"/>
    </w:p>
    <w:p>
      <w:pPr>
        <w:pStyle w:val="Heading6"/>
        <w:numPr>
          <w:ilvl w:val="5"/>
          <w:numId w:val="1"/>
        </w:numPr>
        <w:rPr/>
      </w:pPr>
      <w:bookmarkStart w:id="681" w:name="__RefHeading___Toc5370087_1280447820"/>
      <w:bookmarkStart w:id="682" w:name="_Toc262"/>
      <w:bookmarkEnd w:id="681"/>
      <w:r>
        <w:rPr>
          <w:rtl w:val="true"/>
        </w:rPr>
        <w:t>إشارة</w:t>
      </w:r>
      <w:bookmarkEnd w:id="682"/>
    </w:p>
    <w:p>
      <w:pPr>
        <w:pStyle w:val="BookText"/>
        <w:rPr/>
      </w:pPr>
      <w:r>
        <w:rPr>
          <w:rFonts w:ascii="Amiri" w:hAnsi="Amiri" w:eastAsia="Amiri" w:cs="Amiri"/>
          <w:color w:val="111111"/>
          <w:sz w:val="28"/>
          <w:sz w:val="28"/>
          <w:szCs w:val="28"/>
          <w:rtl w:val="true"/>
          <w:lang w:bidi="ar-SA"/>
        </w:rPr>
        <w:t>هذه الشبهة متفرّعةٌ على القول بتكليف جميع أهل الرجعة، إذ لو كانوا مكلّفين فذلك يستدعي قدرة العصاة والمتجبّرين على الرجوع إلى صوابهم والتوبة إلى الله تعالى معلنين ندمهم على ما اقترفوه من آثام وجرائم ، لذا قد تشملهم رحمته الواسعة لأنّه يقبل التوبة من عباده؛ في حين أنّ الإماميّة لا يقولون بتوبتهم رغم اعتقادهم بتكليفهم آنذاك</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5370089_1280447820"/>
      <w:bookmarkStart w:id="684" w:name="_Toc263"/>
      <w:bookmarkEnd w:id="683"/>
      <w:r>
        <w:rPr>
          <w:rtl w:val="true"/>
        </w:rPr>
        <w:t xml:space="preserve">- </w:t>
      </w:r>
      <w:r>
        <w:rPr>
          <w:rtl w:val="true"/>
        </w:rPr>
        <w:t xml:space="preserve">تحليل الشبهة ونقضها </w:t>
      </w:r>
      <w:r>
        <w:rPr>
          <w:rtl w:val="true"/>
        </w:rPr>
        <w:t>:</w:t>
      </w:r>
      <w:bookmarkEnd w:id="684"/>
    </w:p>
    <w:p>
      <w:pPr>
        <w:pStyle w:val="BookText"/>
        <w:rPr/>
      </w:pPr>
      <w:r>
        <w:rPr>
          <w:rFonts w:ascii="Amiri" w:hAnsi="Amiri" w:eastAsia="Amiri" w:cs="Amiri"/>
          <w:color w:val="111111"/>
          <w:sz w:val="28"/>
          <w:sz w:val="28"/>
          <w:szCs w:val="28"/>
          <w:rtl w:val="true"/>
          <w:lang w:bidi="ar-SA"/>
        </w:rPr>
        <w:t>تطرّق السيّد المرتضى إلى الردّ على هذه الشبهة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التكليف ثابتاً على أهل الرجعة، فتجوّزوا ثبوت تكليف الكفّار الذين اعتقدوا النزول استحقاق العقاب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جوابان، أحدهما أنّ من أُعيد من الأعداء للنكال والعقاب لا تكليف عليه، وإنّما قلنا إنّ التكليف باقٍ على الأولياء لأجل النصرة والدفاع والمعونة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الآخر أنّ التكليف وإن كان ثابتاً عليهم، فتجوّزون بعلم الله تعالى أنّهم لا يختارون التوبة، لأنّا قد بيّنا أنّ الرجعة غير ملجئة إلى قول القبيح وفعل الواجب، وأنّ الدواعي متردّدة، ويكون وجه القطع على أنّهم لا يختارون ذلك ممّا علمنا وقطعنا عليه من أنّهم مخلّدون لا محالة في النار</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685" w:name="pg16299_219686"/>
    </w:p>
    <w:p>
      <w:pPr>
        <w:pStyle w:val="BookText"/>
        <w:rPr/>
      </w:pPr>
      <w:bookmarkEnd w:id="685"/>
      <w:r>
        <w:rPr>
          <w:rFonts w:ascii="IRNazanin" w:hAnsi="IRNazanin" w:eastAsia="IRNazanin"/>
          <w:color w:val="111111"/>
          <w:sz w:val="28"/>
          <w:sz w:val="28"/>
          <w:szCs w:val="28"/>
          <w:rtl w:val="true"/>
          <w:lang w:bidi="fa-IR"/>
        </w:rPr>
        <w:t>وقال العلّامة محمّد باقر المجلسيّ على هذا الصعيد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زمان الرجعة ليس زمان تکلیفٍ فقط، بل هو واسطة بين الدنيا والآخرة، بالنسبة إلى جماعةٍ دار تكليفٍ وبالنسبة إلى جماعةٍ دار جزاءٍ ؛ فكما يجوز اجتماعهم في القيامة، لا يبعد اجتماعهم في ذلك الزمان</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5370091_1280447820"/>
      <w:bookmarkStart w:id="687" w:name="_Toc264"/>
      <w:bookmarkEnd w:id="686"/>
      <w:r>
        <w:rPr>
          <w:rtl w:val="true"/>
        </w:rPr>
        <w:t xml:space="preserve">* </w:t>
      </w:r>
      <w:r>
        <w:rPr>
          <w:rtl w:val="true"/>
        </w:rPr>
        <w:t>الشبهة الخامسة</w:t>
      </w:r>
      <w:r>
        <w:rPr>
          <w:rtl w:val="true"/>
        </w:rPr>
        <w:t xml:space="preserve">: </w:t>
      </w:r>
      <w:r>
        <w:rPr>
          <w:rtl w:val="true"/>
        </w:rPr>
        <w:t xml:space="preserve">الرجعة والتناسخ </w:t>
      </w:r>
      <w:r>
        <w:rPr>
          <w:rtl w:val="true"/>
        </w:rPr>
        <w:t>:</w:t>
      </w:r>
      <w:bookmarkEnd w:id="687"/>
    </w:p>
    <w:p>
      <w:pPr>
        <w:pStyle w:val="Heading6"/>
        <w:numPr>
          <w:ilvl w:val="5"/>
          <w:numId w:val="1"/>
        </w:numPr>
        <w:rPr/>
      </w:pPr>
      <w:bookmarkStart w:id="688" w:name="__RefHeading___Toc5370093_1280447820"/>
      <w:bookmarkStart w:id="689" w:name="_Toc265"/>
      <w:bookmarkEnd w:id="688"/>
      <w:r>
        <w:rPr>
          <w:rtl w:val="true"/>
        </w:rPr>
        <w:t>إشارة</w:t>
      </w:r>
      <w:bookmarkEnd w:id="689"/>
    </w:p>
    <w:p>
      <w:pPr>
        <w:pStyle w:val="BookText"/>
        <w:rPr/>
      </w:pPr>
      <w:r>
        <w:rPr>
          <w:rFonts w:ascii="Amiri" w:hAnsi="Amiri" w:eastAsia="Amiri" w:cs="Amiri"/>
          <w:color w:val="111111"/>
          <w:sz w:val="28"/>
          <w:sz w:val="28"/>
          <w:szCs w:val="28"/>
          <w:rtl w:val="true"/>
          <w:lang w:bidi="ar-SA"/>
        </w:rPr>
        <w:t>أهمّ شبهةٍ طُرحت حول عقيدة الرجعة ،هي تشبيهها بفكرة التناسخ، إذ عُدّت نمطاً من أنماط التناسخ الذي هو باطل باعتقاد الشيعة الإمامية؛ ومن ثمّ يترتّب على القول بها حدوث تناقضٍ عقائديٍّ صريحٍ</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5370095_1280447820"/>
      <w:bookmarkStart w:id="691" w:name="_Toc266"/>
      <w:bookmarkEnd w:id="690"/>
      <w:r>
        <w:rPr>
          <w:rtl w:val="true"/>
        </w:rPr>
        <w:t xml:space="preserve">- </w:t>
      </w:r>
      <w:r>
        <w:rPr>
          <w:rtl w:val="true"/>
        </w:rPr>
        <w:t xml:space="preserve">تحليل الشبهة ونقضها </w:t>
      </w:r>
      <w:r>
        <w:rPr>
          <w:rtl w:val="true"/>
        </w:rPr>
        <w:t>:</w:t>
      </w:r>
      <w:bookmarkEnd w:id="6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تصدّى علماء الكلام الإماميّة لهذه الشبهة بغية إثبات أنّ الرجعة ليست ضرباً من التناسخ، فقد أكّد السيّد المرتضى على أنّ الإماميّة يعدّون التناسخ باطلاً جملةً وتفصيلاً بحيث عدّ القائلین به كافرين بالتعاليم الإسلامية الحقة،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اعتبار بقول طائفةٍ من أهل التناسخ بخلاف ذلك، لأنّ أصحاب التناسخ لا يُعدّون من المسلمين ولا ممّن يدخل قوله في جملة الإجماع، لكفرهم وضلالهم وشذوذهم من البين</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bookmarkStart w:id="692" w:name="pg16299_219687"/>
    </w:p>
    <w:p>
      <w:pPr>
        <w:pStyle w:val="Heading5"/>
        <w:numPr>
          <w:ilvl w:val="4"/>
          <w:numId w:val="1"/>
        </w:numPr>
        <w:rPr/>
      </w:pPr>
      <w:bookmarkStart w:id="693" w:name="__RefHeading___Toc5370097_1280447820"/>
      <w:bookmarkStart w:id="694" w:name="_Toc267"/>
      <w:bookmarkEnd w:id="692"/>
      <w:bookmarkEnd w:id="693"/>
      <w:r>
        <w:rPr>
          <w:rtl w:val="true"/>
        </w:rPr>
        <w:t>نتیجة البحث</w:t>
      </w:r>
      <w:r>
        <w:rPr>
          <w:rtl w:val="true"/>
        </w:rPr>
        <w:t>:</w:t>
      </w:r>
      <w:bookmarkEnd w:id="694"/>
    </w:p>
    <w:p>
      <w:pPr>
        <w:pStyle w:val="BookText"/>
        <w:rPr/>
      </w:pPr>
      <w:r>
        <w:rPr>
          <w:rFonts w:ascii="Amiri" w:hAnsi="Amiri" w:eastAsia="Amiri" w:cs="Amiri"/>
          <w:color w:val="111111"/>
          <w:sz w:val="28"/>
          <w:sz w:val="28"/>
          <w:szCs w:val="28"/>
          <w:rtl w:val="true"/>
          <w:lang w:bidi="ar-SA"/>
        </w:rPr>
        <w:t>نستنتج ممّا ذكر حول عقيدة الرجعة بأنّها من المسائل العقائدية التي يمكن إثباتها بالدليل في مختلف الشرائع، ناهيك عن أنّها لاتتعارض مع أيٍّ من المعتقدات الدينيّة، وأمّا الشبهات التي أُثيرت حولها فهي عقيمةٌ وليس من شأنها تفنيدها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تتبّعنا تأريخ علم الكلام وأمعنّا النظر في البحوث التي طرحت للنقاش فيه حول هذه العقيدة، لوجدنا أنّ بعضهم صوّر الرجعة بنحو يختلف عن دلالتها الحقيقية على وفق آراء الشيعة الإماميّة وهو أمرٌ تسبّب في فسح المجال لبعض المعارضين في إثارة شبهاتٍ حولها</w:t>
      </w:r>
      <w:r>
        <w:rPr>
          <w:rFonts w:eastAsia="Amiri" w:cs="Amiri" w:ascii="Amiri" w:hAnsi="Amiri"/>
          <w:color w:val="111111"/>
          <w:sz w:val="28"/>
          <w:szCs w:val="28"/>
          <w:rtl w:val="true"/>
          <w:lang w:bidi="ar-SA"/>
        </w:rPr>
        <w:t xml:space="preserve">. </w:t>
      </w:r>
      <w:bookmarkStart w:id="695" w:name="pg16299_219688"/>
    </w:p>
    <w:p>
      <w:pPr>
        <w:pStyle w:val="Heading2"/>
        <w:numPr>
          <w:ilvl w:val="1"/>
          <w:numId w:val="1"/>
        </w:numPr>
        <w:rPr/>
      </w:pPr>
      <w:bookmarkStart w:id="696" w:name="__RefHeading___Toc5370099_1280447820"/>
      <w:bookmarkStart w:id="697" w:name="_Toc268"/>
      <w:bookmarkEnd w:id="695"/>
      <w:bookmarkEnd w:id="696"/>
      <w:r>
        <w:rPr>
          <w:rtl w:val="true"/>
        </w:rPr>
        <w:t>المصادر والمراجع</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 ،عبدالرحمن ،مقدّمة ابن خلدون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پروین گنابادي ،منشورات علمي و فرهنگي،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،الإشارات والتنبيهات ،منشورات الكتاب،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،التعليقات ،قم، منشورات بوستان کتاب،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سينا، ،الشفاء، الإلهيّات، منشورات مكتبة المرعشي النجفي،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،رسالة منطق، دانشنامه علائي، منشورات جامعة بوعلي سينا، همدان،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سينا، والطوسيّ، نصير الدين ،شرح الإشارات والتنبيهات ،منشورات البلاغة،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فارس ،معجم مقاييس اللغة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منشورات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زهرة، تاريخ المذاهب الإسلاميّة، القاهرة،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أحمدي، أحمد، نظرية بداهة مبدأ الهوهويّة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بداهت اصل هوهویت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إدواردز ،بول، براهين إثبات وجود الله في الفلسفة الغربيّة،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رضا جمالي نسب، ومحمد محمد رضائي ، منشورات مكتب التبليغ الإسلامي،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أرسطو منطق أرسطو،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القاهرة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آرون ريمون المراحل الرئيسية للفكر في علم الاجتماع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برهام، منشورات انقلاب إسلامي،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 المسيحية؛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 أبو الحسن ،الإبانة عن أصول الديانة،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صباغ، دار الأنصار، مصر،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الأشعري، أبو الحسين اللمع،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محمود وطه عبد الباقي مسرور ، دار الكتب الحديثة ،القاهرة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،أحمد، ضحى الإسلام، مكتبة النهضة المصرية، القاهرة،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الإيجيّ، عضد الدين ،شرح المواقف، منشورات الشريف الرضي ، قم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باربور، إيان ،العلم والدين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خرمشاهي، منشورات دانشکاهي، طهران،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البحراني، السيّد هاشم ،البرهان في تفسير القرآن، منشورات مؤسسة إسماعيليان، قم،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محمد بن إسماعيل، صحيح البخاري، المكتبة العصرية،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 عبد الرحمن ،موسوعة الفلسفة ،منشورات المؤسسة العربية للدراسات والنشر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بشيري، أبو القاسم،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از خود بيگانگي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معرفت، العدد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بطرسون ،مايكل، العقل والإيمان الدينيّ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نراقي وإبراهيم سلطانين، منشورات طرح نو ، طهران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البغدادي، عبد القاهر ،أصول الدين ،دار الكتب، بيروت،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البغدادي ،عبد القاهر ،الفرق بين الفرق ،نقله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؛منشورات إشراقي،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البغدادي، عبد القاهر ،مقالات الإسلاميين، منشورات دار الفكر، بيروت، 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بلانتينغا ،ألفن ،فلسفة الدين، الله والاختيار والشرّ،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سعيدي مهر ،منشورات مؤسسة طه الثقافية،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بوبر، كارل ،الحدس والإبطال ،منشورات شرکت سهامی انتشار،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بوبر، كارل، منطق الكشف العلمي،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آرام، منشورات سروش، طهرا،</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إدغار ،فكر ،فرويد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علي توسّلي ،منشورات كتابفروشي سينا،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التفتازاني ،سعد الدين ،شرح المقاصد، دار الكتب العلمية، بيروت، بدون تاريخ</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التفتازاني ؛سعد الدين ،مختصر المعاني ،منشورات مكتبة إسلامي،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تنهائي، حسين، مدخل إلى المدارس والنظريات في علم الاجتماع ، منشورات مرندیز، گناباد،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توسّلي ،غلام حسين ،نظريات علم الاجتماع ،منشورات سمت ،طهران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تیلیخ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بول ،حيويّة الإيمان،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نوروزي، منشورات حکمت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جعفري، محمد تقي ،ترجمة نهج البلاغة وتفسيره ،منشورات دفتر نشر فرهنك إسلامي، طهرا،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جهانگيري ،محسن ،ترجمة فرانسيس بيكون ومؤلّفاته ،منشورات شركة انتشارات علمي و فرهنگي طهران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الجوادي الآملي، عبد الله، ،أضواء على براهين إثبات الله ،منشورات إسراء، 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الجوادي الآملي ،عبدالله الشريعة في مرآة المعرفة، منشورات مرکز فرهنگي رجا،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الجوادي الآملي، عبدالله ،الهداية والضلال في القرآن الكريم ،منشورات إسراء، قم،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الجوادي الآملي، عبد الله ، تحرير تمهيد القواعد، منشورات الزهراء، طهران،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جوادي، محسن، مدخل إلى الإلهيّات الفلسفيّة، منشورات معاونية أمور الأساتذة والدروس للمعارف الإسلامية،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شارل و جيست ،شارل تاریخ المذاهب الاقتصادية،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سنجابي، جامعة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جيلسون ،إتيان ،العقل والوحي في القرون الوسطى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پازوكي ،پژوهشگاه علوم انساني و مطالعات فرهنگي،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جيمس، وليام، البراغماتية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پراگماتیسم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عبدالكريم رشيديان، منشورات آموزش انقلاب اسلامي، 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زاده، محمد، أسس المعرفة الدينيّة، منشورات مؤسسة الإمام الخميني،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زاده ،محمّد ،فلسفة الدين ،منشورات مكتب التبليغ الإسلامي،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زاده ،محمد ،نظرية المعرفة، منشورات مؤسسة الإمام الخميني،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 ،الحسن بن يوسف ،كشف المراد في شرح تجريد الاعتقاد ،منشورات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 ،الحسن بن يوسف ،مجموعة رسائل كشف الفوائد في شرح القواعد، منشورات مكتبة المرعشيّ النجفيّ،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 جمال الدين، أنوار الملكوت في شرح الياقوت،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زنجاني، منشورات الرضي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خرمشاهي ،بهاء الدين ،الله في الفلسفة ،منشورات پژوهشگاه علوم انساني و مطالعات فرهنگي،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ومهدي عبداللهي، ماهية الكلام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چيستي كلام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نوين ديني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 الحسين، الكلام الجديد، مرکز مطالعات و پژوهشهای فرهنگی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،عبد الحسين ،المسائل الكلاميّة الجديدة وفلسفة الدين ،منشورات جامعة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عبدالحسين، توقعات الإنسان من الدین، پژوهشگاه فرهنگ و اندیشه اسلامي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،عبدالحسين ،دراسة في التيّارات المضادّة للثقافة ،منشورات التعليم والتربية الإسلامية ،قم،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،مبادئ علم الكلام ومصادره،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 الحسين ،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قابلية الدين للقراءات، دراسة في الُبنى التحتيّة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قبسات ،العدد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الخميني، السيّد روح الله ، آداب الصلاة، مؤسسة تنظيم و نشر آثار الإمام الخميني،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الخميني ،السيّد روح الله، حديث جنود العقل والجهل ،مؤسسة تنظيم ونشر آثار الإمام الخميني،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الخميني، السيّد روح الله ، شرح الأربعين حديثاً، مؤسسة تنظيم ونشر آثار الإمام الخميني، 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الخميني، السيّد روح الله ، صحيفة الإمام ، مؤسسة تنظيم و نشر آثار الإمام الخميني، 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الخوارزمي، تاج الدين، شرح فصوص الحكم، منشورات مولی،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داوري اردكاني ،رضا ،المطهّريّ وعلم الكلام الجديد ،في ذكرى العلّامة الشهيد المطهريّ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يادنامه استاد شهید مرتضی مطهري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سازمان انتشارات و آموزش انقلاب إسلامي،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معارف التشيع،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دريابندري ،نجف ،آلام اللاانتمائية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بي خويشتني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پرواز،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ديفيس ،ستيفين، مقالة عكس تيّار الإيمان اللاواقعيّ النسخة المترجمة للفارسيّة، مجلّة كيان ،العدد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ديلمي، أحمد، دليل النظام ؛ دراسات في الطبيعة والحكمة ،منشورات معاونية أمور الأساتذة والدروس للمعارف الإسلامية،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دیورانت ،ویل ،مباهج الفلسفة ،نقله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زرياب، سازمان انتشارات و آموزش انقلاب 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،فخر الدين ،التفسير الكبير،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،الدين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المترجمة للفارسية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كتابفروشی دهخدا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رجبي، محمود، معرفة الإنسان، منشورات مؤسسة الإمام الخميني،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 بور، فرامرز ،تشريح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العنوان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آناتومي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شركة سهامي انتشار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ریشنباخ ،هانس ،ظهور الفلسفة العلمية،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أكرمي، منشورات شركة انتشارات علمي و فرهنگي،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زيتلن، إيرفينغ، مستقبل مؤسّسي علم الاجتماع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عباس توسلي ،منشورات قومس ،طهران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سالاي ،فیلسیان ،فرويد والفرويديّة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المترجمة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وكيلي ،طهران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السبحانيّ، جعفر، الإلهيّات على هدى الكتاب والسنّة والعقل ،منشورات المركز العالمي للدراسات الإسلامية،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السبحانيّ، جعفر، كليات في علم الرجال،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للتعليم والبحوث،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جعفر، مدخل إلى المسائل الجديدة في علم الكلام،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السبحانيّ، جعفر، مفاهيم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السبزواري، هادي بن محمّد، أسرار الحكم، مطبوعات ديني،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السبزواري، هادي بن محمّد ، شرح المنظومة، منشورات ناب، طهران،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ستور، أنطوني ،فرويد،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مرندي ،منشورات طرح نو، 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سروش، عبد الكريم ، مقالة الصراطات المستقيمة بالفارسية، مجلّة كيان، العدد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،عبدالکريم، الصراطات المستقيمة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الفارسية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هاي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الصراط الثقافية طهران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عبدالكريم، القبض والبسط في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الفارسية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وبسط تئوريك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الصراط الثقافية ،طهران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،عبدالکریم ،بسط التجربة النبوية ،منشورات مؤسسة الصراط الثقافية،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،عبدالكريم ،معرفة العلم الفلسفيّة، منشورات مؤسسة الصراط الثقافية، طهران،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سليماني، عسكري، نقد على عدم قابلية البرهنة على وجود الله ،منشورات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السهروردي ،يحيى بن حبش ، حكمة الإشراق، منشورات پژوهشگاه علوم انساني و مطالعات فرهنگي،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السيوريّ، المقداد، إرشاد الطالبين إل نهج المسترشدين ،مكتبة المرعشي النجفي،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شاكرين ،حميد رضا ،براهين إثبات وجود الله في نقد لشبهات جون ها سبرز ،منشورات مؤسسه فرهنگي دانش و اندیشه معاصر،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شبّر ،السيّد عبدالله ،حقّ اليقين ،منشورات علمي طهران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میان محمد، تاريخ الفلسفة في الإسلام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الله جوادي، إسماعيل سعادت، منشورات مرکز نشر دانشگاهي،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الشهرستاني ،عبد الكريم ،الملل والنحل ،منشورات الرضي، قم،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،صدر الدين ،الحكمة المتعالية في الأسفار العقليّة الأربعة، دار إحياء التراث العربي،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الشيرازي ،صدر الدين ،الشواهد الربوبيّة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الآشتياني، منشورات جامعة مشهد،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الشيرازيّ، صدر الدين ،تفسير القرآن الكريم، منشورات مولی، طهران،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الشيرازيّ ،صدر الدين ،مجموعة الرسائل الفلسفيّة ،تحقيق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ناجي اصفهاني ،منشورات حکمت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الشيروانيّ، عليّ ، دراسات الفطرة الإنسانية في الإلهيّات الفطرية، منشورات معاونية أمور الأساتذة والدروس للمعارف الإسلامية،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 ،هادي ،مقالة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مع ماكي في مقالته الشرّ والقدرة المطلقة ،مجلة كيان ،السنة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صبوري ،منو تشهر ، مبادئ علم الاجتماع، منشورات ني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الصدر، السيّد محمّد باقر ،اقتصادنا ،دار التعارف للمطبوعات،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الأمالي، منشورات أرمغان طوبى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،التوحيد منشورات جامعة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عليّ ،علل الشرائع ،منشورات مؤمنين، قم،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محمّد حسين ،الشيعة في الإسلام ،منشورات مكتب التبليغ الإسلامي،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محمّد حسين ،الميزان في تفسير القرآن ،منشورات مؤسسة إسماعيليان،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الطباطبائي، محمّد حسين، نهاية الحكمة، مؤسسة النشر الإسلامي،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طهماسبي ،عليّ ،الهاجس الأخير، منشورات یادآوران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محمّد بن الحسن، الاقتصاد فيما يتعلق بالاعتقاد، منشورات دار الأضواء،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الطوسيّ، محمّد بن الحسن ،الرسائل العشر، منشورات مؤسسة النشر الإسلامي،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العاملي، الحرّ، وسائل الشيعة، المكتبة الإسلاميّة،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 زين الدين ،حقائق الإيمان،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مكتبة المرعشي النجفي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عبودیت، عبدالرسول ،النظام الفلسفيّ لمدرسة الحكمة المتعالية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درآمدي به نظام حکمت متعالیه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سمت ومؤسسة الإمام الخمينيّ،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العروسيّ الحويزيّ، عبد علي بن جمعة، تفسير نور الثقلين، مطبعة العلمية، منشورات نور الثقلين، قم، بدون تاريخ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العشّاقي الإصفهانيّ، حسين، براهين الصديقين،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الهدى، السيّد المرتضى ،الذخيرة في علم الكلام ،مؤسسة النشر الإسلامي،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غاردييه، لوي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في الموروث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ترجمه إلى الفارسية كامران فاني ،مجلة كيان العدد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الغزالي، أبو حامد، إحياء علوم الدين، دار إحياء التراث العربي، بيروت،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الغزالي، أبو حامد، جواهر القرآن، منشورات المركز العربي للكتاب، دمشق،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غيدنز، أنطوني، دوركايم نقله إلى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اباذري، انتشارات خوارزمي ،طهران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الفارابي، محمّد بن محمّد، إحصاء العلوم، انتشارات علمي و فرهنكي،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الفارابي، محمّد بن محمّد، المنطقيات ،مكتبة المرعشي النجفي،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فرامرز قراملكي، أحد ، موقف العلم والدين في خلق الإنسان، منشورات مؤسسة آراية الثقافية،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فروغي، محمّد علي، مسيرة الحكمة في أوروبا، انتشارات زوار ،طهران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 إريك، الدين والتحليل النفسيّ،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آرسن نظريان، منشورات پویش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فروید، سيغموند ،التحليل النفسي للجميع، نقله إلى الفارسية هاشم رجبي، منشورات کاوه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فروید، سيغموند ،الطوطم والمحرّم، نقله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پورباقر، منشورات آسیا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 سيغموند ،مستقبل وهم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رضي، منشورات كاوه،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الكاشاني، محسن ،المحجة البيضاء ،انتشارات اسلامي،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الفيض الكاشاني، محسن، تفسير الصافي، مؤسسة الأعلمي للمطبوعات،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قرائتي، محسن، تفسير النور، مرکز فرهنکي درسهايي از قرآن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القوشجي، علي بن محمّد، شرح تجريد الاعتقاد،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القونويّ، صدر الدين، إعجاز البيان في تأويل القرآن، منشورات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القيصريّ الروميّ، داوود، شرح فصوص الحكم باهتمام سید جلال الدين الآشتياني ،انتشارات علمي فرهنكي،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کابلستون، فردريك، تاريخ الفلسفة، انتشارات علمي فرهنكي،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کارناب ،رودلف، مدخل إلى فلسفة العلوم، نقله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عفيفي، مركز نشر دانشگاهي 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الكلينيّ، محمّد بن يعقوب، الكافي، انتشارات علمیه اسلامیه، بدون تاریخ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کمپاني ،فضل الله ،ماهيّة الدين ومنشأه ،منشورات فراهاني ،بدون تاريخ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 توماس، بنية الثورات العلميّة، نقله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زیباکلام منشورات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لازي، جون ،مدخل تاريخيّ إلى فلسفة العلم، نقله إلى 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،پایا ،منشورات سمت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اللاهيجيّ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عبدالرزاق، شوارق الإلهام، مكتبة الفارابي، طهران،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ماكي، مقالة الشرّ والقدرة المطلقة، الترجمة الفارسية المنشورة في مجلة كيان، السنة الأولى ، العدد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مجتهد شبستري ،محمّد ،هرمنيوطيقا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هرمنوتيك كتاب وسنّت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طرح نو، طهران،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محمد باقر، بحار الأنوار، انتشارات الوفاء، بيروت،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مزلو، إبراهام، الدوافع والشخصيّة،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رضواني، منشورات آستان قدس رضوي مشهد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اليزدي ،محمّد تقي ،المنهج الجديد في تعليم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سازمان تبليغات إسلامي، طهران،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اليزدي، محمد تقي ،دروس في العقيدة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سازمان تبليغات إسلامي، طهران،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مصلح ،علي أصغر، تاريخ الهيومانيزمية ورؤية هايدغر بشأنها، مجلة نامه فرهنك، السنة الرابعة، العدد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مرتضى، الأعمال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طهران،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،مرتضى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طهران،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مرتضى ،الدوافع نحو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مرتضى ،العدل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المطهّريّ، مرتضى ،العدل الإلهيّ ، مرتضى المطبوع ضمن الأعمال الكاملة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المطهّريّ ،مرتضى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النسخة 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صدرا، طهران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المطهّريّ، مرتضى، حول الجمهورية الإسلامية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جمهوري 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صدرا، طهران،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المظفّر ، محمد رضا ،المنطق، تعليقات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رضا الفياضي ،مؤسسة النشر الإسلامي،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المعتزلي، القاضي عبد الجبار، المغني في أبواب التوحيد والعدل، الدار المصرية ،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المعتزلي، عبد الجبار، شرح الأصول الخمسة ،تحقيق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عثمان، انتشارات وهبة،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معين، محمّد، فرهنگ فارسي، مؤسسة انتشارات امير كبير،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محمّد بن محمّد ،النكت الاعتقاديّة،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الشيرازي، ناصر، تفسير الأمثل، منشورات مدرسة أمير المؤمنين، مطبوعات هدف،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الشيرازيّ، ناصر، نفحات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الفارسيّة 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مدرسة أمير المؤمنين، مطبوعات هدف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النراقيّ، محمد مهدي، أنيس الموحّدين،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الطباطبائي، منشورات الزهراء،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نصري، عبد الله ،أسس معرفة الإنسان في القرآن الكريم، منشورات مؤسسه فرهنگي دانش و اندیشه معاصر،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النوري، ميرزا حسن، مستدرك الوسائل، مؤسسة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نوس، جون بي، أديان الإنسان،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حكمت، منشورات آموزش انقلاب إسلاميّ، طهران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هاميلتون، مالكولم، علم الاجتماع الدينيّ،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ثلاثي، مؤسسة تبيان للثقافة النشر،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هيك، جون، فلسفة الدين ،نقله إلى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بهرام راد ،انتشارات الهدى ،طهران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هيك، جون ،مباحث التعددية الدينيّة ،نقله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كواهي ،مؤسسة تبيان للثقافة النشر، طهران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وینرایت ،ویلیام، 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الشرّ ، الترجمة الفارسية المنشورة في مجلة كيان، السنة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يثربي، يحيى ،العرفان النظريّ، منشورات مكتب التبليغ الإسلامي،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الحسين ،رسائل العدل والتوحيد، دار الهلال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E.Robertson. The Sociological Interpretation of Religion Oxford: Black well,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F.Copleston, A History of philosophy. V</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 Patrovic, "Alienation", The Encyclopaedia of Philosophy, Paul</w:t>
      </w:r>
    </w:p>
    <w:p>
      <w:pPr>
        <w:pStyle w:val="BookText"/>
        <w:rPr/>
      </w:pPr>
      <w:r>
        <w:rPr>
          <w:rFonts w:eastAsia="Times New Roman" w:cs="Times New Roman" w:ascii="Times New Roman" w:hAnsi="Times New Roman"/>
          <w:color w:val="111111"/>
          <w:sz w:val="28"/>
          <w:szCs w:val="28"/>
          <w:lang w:val="en-US" w:bidi="en-US"/>
        </w:rPr>
        <w:t>Edwards (ed), New York, Macmillan Publishing, 1972, Vol.1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Herbert, Nick, Quantum Reality: Beyond the new Physics (New</w:t>
      </w:r>
    </w:p>
    <w:p>
      <w:pPr>
        <w:pStyle w:val="BookText"/>
        <w:rPr/>
      </w:pPr>
      <w:r>
        <w:rPr>
          <w:rFonts w:eastAsia="Times New Roman" w:cs="Times New Roman" w:ascii="Times New Roman" w:hAnsi="Times New Roman"/>
          <w:color w:val="111111"/>
          <w:sz w:val="28"/>
          <w:szCs w:val="28"/>
          <w:lang w:val="en-US" w:bidi="en-US"/>
        </w:rPr>
        <w:t>York: Doubleday,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M.Weber. The sociology of Religion London: Methuen.1965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Routledge, Encyclopaedia of Philosophy, Religious Pluralism, Gen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eral Editor: Edward Cralg, London and New York, 1998, Vol. 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James, The varieties of Religious Experience. New York: Col</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lier Macmillan 1961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مطروحة على بساط</w:t>
      </w:r>
    </w:p>
    <w:p>
      <w:pPr>
        <w:pStyle w:val="BookText"/>
        <w:rPr/>
      </w:pPr>
      <w:r>
        <w:rPr>
          <w:rFonts w:ascii="Amiri" w:hAnsi="Amiri" w:eastAsia="Amiri" w:cs="Amiri"/>
          <w:color w:val="111111"/>
          <w:sz w:val="28"/>
          <w:sz w:val="28"/>
          <w:szCs w:val="28"/>
          <w:rtl w:val="true"/>
          <w:lang w:bidi="ar-SA"/>
        </w:rPr>
        <w:t>البحث منذ القرون الإسلامية الأولى، وهي</w:t>
      </w:r>
    </w:p>
    <w:p>
      <w:pPr>
        <w:pStyle w:val="BookText"/>
        <w:rPr/>
      </w:pPr>
      <w:r>
        <w:rPr>
          <w:rFonts w:ascii="Amiri" w:hAnsi="Amiri" w:eastAsia="Amiri" w:cs="Amiri"/>
          <w:color w:val="111111"/>
          <w:sz w:val="28"/>
          <w:sz w:val="28"/>
          <w:szCs w:val="28"/>
          <w:rtl w:val="true"/>
          <w:lang w:bidi="ar-SA"/>
        </w:rPr>
        <w:t>نقطة الخلاف المركزية بين الفريقين، من</w:t>
      </w:r>
    </w:p>
    <w:p>
      <w:pPr>
        <w:pStyle w:val="BookText"/>
        <w:rPr/>
      </w:pPr>
      <w:r>
        <w:rPr>
          <w:rFonts w:ascii="Amiri" w:hAnsi="Amiri" w:eastAsia="Amiri" w:cs="Amiri"/>
          <w:color w:val="111111"/>
          <w:sz w:val="28"/>
          <w:sz w:val="28"/>
          <w:szCs w:val="28"/>
          <w:rtl w:val="true"/>
          <w:lang w:bidi="ar-SA"/>
        </w:rPr>
        <w:t>الشيعة وأهل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 في القرون الأولى المخالفون لنظرية</w:t>
      </w:r>
    </w:p>
    <w:p>
      <w:pPr>
        <w:pStyle w:val="BookText"/>
        <w:rPr/>
      </w:pPr>
      <w:r>
        <w:rPr>
          <w:rFonts w:ascii="Amiri" w:hAnsi="Amiri" w:eastAsia="Amiri" w:cs="Amiri"/>
          <w:color w:val="111111"/>
          <w:sz w:val="28"/>
          <w:sz w:val="28"/>
          <w:szCs w:val="28"/>
          <w:rtl w:val="true"/>
          <w:lang w:bidi="ar-SA"/>
        </w:rPr>
        <w:t>الإمامة عند الشيعة الإثني عشرية كتباً في</w:t>
      </w:r>
    </w:p>
    <w:p>
      <w:pPr>
        <w:pStyle w:val="BookText"/>
        <w:rPr/>
      </w:pPr>
      <w:r>
        <w:rPr>
          <w:rFonts w:ascii="Amiri" w:hAnsi="Amiri" w:eastAsia="Amiri" w:cs="Amiri"/>
          <w:color w:val="111111"/>
          <w:sz w:val="28"/>
          <w:sz w:val="28"/>
          <w:szCs w:val="28"/>
          <w:rtl w:val="true"/>
          <w:lang w:bidi="ar-SA"/>
        </w:rPr>
        <w:t>الردّ على الإمامة، وكتب علماء الإماميّة</w:t>
      </w:r>
    </w:p>
    <w:p>
      <w:pPr>
        <w:pStyle w:val="BookText"/>
        <w:rPr/>
      </w:pPr>
      <w:r>
        <w:rPr>
          <w:rFonts w:ascii="Amiri" w:hAnsi="Amiri" w:eastAsia="Amiri" w:cs="Amiri"/>
          <w:color w:val="111111"/>
          <w:sz w:val="28"/>
          <w:sz w:val="28"/>
          <w:szCs w:val="28"/>
          <w:rtl w:val="true"/>
          <w:lang w:bidi="ar-SA"/>
        </w:rPr>
        <w:t>أيضاً مصنّفات تدافع عن هذه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الإسلام للدراساتت الاشتر التحية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النديم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إسماعيل بن ميثم التمار أوّل من تكلّم في مذهب الإماميّة عليّ بن إسماعيل بن ميثم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ولعليّ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 وهو أبو محمد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متكلمي الشيعة ممّن فتق الكلام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اختلف الناس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النعمان الأحول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تلقّبه العامّة بشيطان الطاق والخاصة تعرفه بمؤمن الطاق وهو من أصحاب أبي عبدالله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الكتاب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المعتزلة في إمامة المفضول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قبة وهو أبو جعفر بن محمد بن قبة من متكلّمي الشيعة وحذاقهم وله من الكتب كتاب الإنصاف في الإمامة،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إسماعيل بن عليّ بن نوبخت من كبار الشيعة وله من الكتب كتاب الاستيفاء في الإمامة كتاب التنبيه في الإمامة، كتاب الردّ على الغلاة، كتاب الردّ على الطاطري في الإمامة الحسن بن موسى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محمد الحسن بن موسى بن أخت أبي سهل بن نوبخت متكلّم فيلسوف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من الكتب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النديم،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النديم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اليمان بن 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جلة الخوارج ورؤساءهم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نظاراً متكلّما مصنفاً للكتب وله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إثبات إمامة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والردّ على الغلاة وطوائف الشيعة عبدالله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الرافضة إبراهيم بن اسحاق الأباضيّ وله من الكتب كتاب الإمامة ،الهيثم بن الهيثم وله من الكتب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تيّار فكري يُعرف بالفارسيّة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كسروي گرائي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أحمد كسروي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باحث ومؤرّخ مناصر للإصلاحات الاجتماعية والدينيّة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تمركز نشاطه في الأعوام بين 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نجد ذلك في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هاجم الإسلام بحجة الدفاع عن القومية والأمة الفارسية هجمة 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وأعرب عن أفكاره الانتقادية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الإصلاحيّة والمذهبيّة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الاجتماعية الحادّة بلغة أشدّ حدّة وعنفاً ولذلك واجه ردّة فعل حادة من قبل المخالفين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ومؤلّفات كسروي وعقائده وأعماله كانت جميعها في مسار نوايا رضاشاه تماماً، وحسب رأي بعضهم فإنّه استطاع في هذه الفترة بالذات أن ينشر آثاره برعاية الدولة مباشرة ممّا اكتسب جمهوراً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يعتقد كسروي بأنّ السلسلة البهلوية هي استمرار وإحياء لمجد الملوك الأخمينيّين والساسانيين وعظمتهم ورضا شاه هو الذي سيستعيد جميع فتوحات تلك المرحلة من أيدي الغاصبين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عدّل في نظرته بعد أغسطس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م واعتبر بأنّ نتيجة القوّة الظاهرية لحكومة رضا شاه هي عبرة هزيمة أغسطس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م ولذلك لام رضاشاه بعد انهيار حكومته المستبدة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القاضي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بنقد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الطوسيّ،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الجويني،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الغزالي،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الإقدام في علم الكلام الشهرستانيّ،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التفتازانيّ،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،ابن خلدون،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الأسروشنيّ الحنفيّ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والقاضي البيضاوي الأشعري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صرّح القاضي البيضاويّ في مبحث الأخبار من كتاب المنهاج ، وجمع من شارحي كلامه بأنّ مسألة الإمامة من أعظم مسائل اصول الدين الذي مخالفته توجب الكفر والبدعة، وقال الأسروشنيّ من الحنفيّة في كتابه المشهور بينهم بالفصول الأسروشنيّ بتكفير من لا يقول بإمامة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،القاضي نور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والفرع الصدوق،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المفيد،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المفيد،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المفيد،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،القاضي عبد الجبار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لأحكام السلطانية، الماورديّ،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واعد المرام ابن ميثم البحراني،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المفيد،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ابن خلدون،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الطوسيّ،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مصادرنا أنّ طالوت لما حضرته المنيّة أوحى الله سبحانه وتعالى إليه أن يسلّم ما في يده من المواريث والعلوم إلى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جُمعت في النبوة والإمامة، فسلّم طالوت نور الله وحكمته وجميع ما في يديه إليه كما أمره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واجتمعت بنو اسرائيل على داوود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وأعطي النور والحكمة والتوراة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،المسعوديّ،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المطهريّ،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الصدوق،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المطهري،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يَعْرِفُ الْقُرْآنَ مَنْ خُوطِبَ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 عن محمّد بن عيسى، عن يونس، عن حماد،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مع مثيلاتها مذكورة في باب عقده الكلينيّ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 ، القاضي عبدالجبار،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أبواب التوحيد والعدل ،القاضي عبد الجبار،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أفكار المحصّلين، الرازيّ،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كتاب الأربعين،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البراهين في علم الكلام،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إبكار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كشف الفوائد،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العصمة إنّما تعرف بإخبار الله جلّ وعلا الذي يعلم السّرّ وأخفى، ويعلم حقائق الناس، ولا سبيل إلى ذلك من دون وجود نصّ إلهيّ قرآني أو بيانيّ يحدّثنا به الرسول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بنقد المحصّل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المحقّق الطوسيّ،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في خاتمة تلخيص المحصّل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أبو يعلى الفرّاء،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،الفخر الرازيّ،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الفخر الرازيّ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القوشجيّ،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غاية المرام في علم الكلام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الصواعق المحرقة في الردّ على أهل البدع والزندقة، الهيثميّ،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پژوهي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محصّل الأفكار ،الفخر الرازيّ،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تلخيص المحصّل،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المسائل في أصول الدين ،الفخر الرازيّ،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البراهين ،الفخر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التجريد ،القوشجيّ،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 ،المحقّق الطوسيّ،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أبي داوود،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كنز العمال ، المتقي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درر الأحاديث النبويّة بالأسانيد اليحيويّة، يحيى بن الحسين بن القاسم،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مجمع الزوائد ومنبع الفوائد، الهيثميّ،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الخمسون، الفخر الرازيّ،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تلخيص المحصّل، المحقّق الطوسيّ،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،التفتازانيّ،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تلخيص المحصّل، المحقّق الطوسيّ،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صدر الدين الشيرازيّ،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الأعثم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في كتاب الفتن باب ما جاء في لزوم الجماعة،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أصول الديانة ،الأشعري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،ابن خلدون،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نهاية الإقدام في علم الكلام ،الشهرستاني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،القاضي عبد الجبّار،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،القاضي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غاية المرام في علم كلام ،الآمدي،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إبكار الأفكار، الآمدي،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،القوشجيّ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الاقتصاد في الاعتقاد، الغزاليّ،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دراسات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پژوهي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پژوهي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،الفخر الرازيّ،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على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الحسينيّ الطهرانيّ،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رأسمال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اللاهيجيّ،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أنيس الموحدين، النراقي،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،السيّد المرتضى،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تلخيص المحصّل،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منهاج اليقين،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قواعد المرام ،البحراني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الياقوت في علم الكلام ،نوبخت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اللوامع الإلهيّة،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المفيد،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 ،عبد الجبّار المعتزليّ،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تبيّن في مباحث معرفة الله الاختلاف بين تعريف الصفات الفعليّة الإلهيّة والصفات الذاتيّة الإلهيّة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،العلّامة الحلّي،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المحقّق الطوسيّ،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الطوسيّ،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الطوسيّ،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الطوسيّ،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كشف المراد، الحلي،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 ،العلّامة الحلّي،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الفوائد ،العلّامة الحلّي،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الاقتصاد الهادي إلى طريق الرشاد، الشيخ الطوسيّ،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إرشاد الطالبين، الفاضل المقداد،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كفاية الموحدين،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المظفر،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قواعد المرام،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العقائد ،الشيخ الطوسيّ،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تمهيد الأصول،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پژوهي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عبد الجبار المعتزليّ،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الشافي في الإمامة ،السيّد المرتضى؛ الإمامة في الرؤية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امامت در بینش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الربانيّ الگلپايگانيّ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الشافي في الإمامة؛ كشف المراد، العلّامة الحلّي،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الألفين، العلّامة الحلّي،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المنقذ من التقليد ،الحمصيّ،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إرشاد الطالبين ،الفاضل المقداد،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،الفخر الرازيّ،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شرح التجريد ،القوشجيّ،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الجليّة في شرح الفصول النصيريّة،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الأمالي، الطوسيّ،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عوالي اللآلي،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،ابن ميثم البحراني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إرشاد الطالبين، الفاضل المقداد،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اليقين، العلّامة المجلسيّ،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علم اليقين ،الفيض الكاشاني،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وَإِنَّهُ لَكِتَابٌ 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نَحْنُ نَزَّلْنَا الذِّكْرَ وَإِنَّا لَهُ لَحَافِظُونَ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أتقدّم بالشكر الجزيل لجهود سماحة الشيخ الفاضل حجّة الإسلام والمسلمين الدكتور محمد رضا بهدار لما قام به من جمع مستندات صفات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الفراهيدي،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،ابن فارس،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العصمة في أصل اللغة هي ما اعتصم به الإنسان من الشيء كأنّه امتنع به عن الوقوع فيما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اعتصم فلان بالجبل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امتنع به ومنه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وُعُول الجبال ؛ لامتناعها بها، والعصمة من الله تعالى هي التوفيق الذي يسلم به الإنسان ممّا يكره إذا أتى بالطاعة، وذلك مثل إعطائنا رجلاً غريقاً حبلاً ليتشبّث به فيسلم، فهو إذا أمسكه واعتصم به سُمّي ذلك الشيء عصمة له لمّا تشبّث وسلم به من الغرق ولو لم يعتصم به لم يُسمّ عصمة، وكذلك سبيل اللطف إنّ الإنسان إذا أطاع سُمّي توفيقاً وعصمة، وإن لم يطع لم يُسمّ توفيقاً ولا عصمة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،الشيخ المفيد،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العصمة في موضوع اللغة المنع؛ يُقال عصمتُ فلاناً من السوء إذا منعت من حلوله به ،غير أنّ المتكلّمين أجروا هذه اللفظة على من امتنع باختياره عند اللطف الذي يفعله الله تعالى به عنده من فعل القبيح، فقد منعه من القبيح، فأجروا عليه لفظة المانع قهراً وقسراً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المنع من الافة والمعصوم في الدين الممنوع باللطف من فعل القبيح، لا على وجه الحيلولة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الطوسيّ،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الكلام الفلسفي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فلسفي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قدردان قراملكي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مسائل المرتضى،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كتب الشيخ المفيد في هذا الخصوص 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لطف يفعله الله بالمكلّف؛ بحيث يمنع من وقوع المعصية وترك الطاعة مع قدرته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أمّا السيّد المرتضى فقد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العصمة هي لطف الله الذي يفعله تعالى فيختار العبد عنده الامتناع عن فعل القبيح،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معصوم لأنّهُ اختار عند هذا الداعي الذي فعل له الامتناع من القبيح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ابن سينا ،النمط العاشر،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ملكة لا يصدر عن صاحبها معها المعاصي وهذا على رأي الحكماء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ميثم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ملكة نفسانيّة يمتنع معها المكلّف من فعل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في القيامة ابن ميثم البحراني،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عبّر المحقّق الطوسيّ عن العصمة بنوع من الحيثيّة؛ 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 هي كون المكلّف بحيث لا يمكن أن يصدر عنه المعاصي من غير إجبار له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،السبحاني،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المراد في شرح كشف المراد ،الربّاني الگلپايگاني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السيّد المرتضى،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أوائل المقالات،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المرتضى،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ابن نوبخت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،الطبرسي،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الرسالة السعدية، العلّامة الحلّي،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في شرح الياقوت،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في أصول الدين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في المباحث الكلاميّة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السيّد المرتضى في تقرير هذا الدليل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في الإمام عصمته، لأنّه لو لم يكن كذلك لكانت علّة الحاجة إليه فيه أيضاً، وهذا يؤدّي إلى وجوب ما لا يتناهى من الرؤساء أو الانتهاء إلى رئيس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الطوسيّ في لزوم ثبوت العصمة بأقصر 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وامتناع التسلسل يُوجب عصمته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شرح العلّامة الحليّ ذلك بأنّ الإمام لو لم يكن معصوماً لزم التسلسل، ومن ثَمَّ باطل فالمقدّم مثله، بيان الشرطية أنّ المقتضي لوجوب نصب الإمام هو تجويز الخطأ على الرعيّة، فلو كان هذا المقتضي ثابتاً في حقّ الإمام وجب أن يكون له إمام آخر ويتسلسل أو ينتهي إلى إمام لا يجوز عليه الخطأ فيكون هو الإمام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في شرح تجريد الاعتقاد،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أصول الدين،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 الاعتقادية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التجرید در شرح تجرید الاعتقاد،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الشافي في 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البراهين في علم كلام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الفيض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إلهيّات شرح التجريد،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والقيادة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ورهبرى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المطهّريّ،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القلوب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إلهيّات شرح التجريد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الطالبين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وتلخيص الدلائل،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المعلومات في هذا المجال؛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،العلّامة الحليّ،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إلى طريق الرشاد ،الشيخ الطوسيّ،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الجلاليّة في شرح الفصول النصيريّة ،الفاضل المقداد،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في تلخيص المحصّل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الجلاليّة في شرح الفصول النصيريّة ،الفاضل المقداد،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إلى طريق الرشاد،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كلام،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قبيل المثال نورد قول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استعمل عاملاً من المسلمين وهو يعلم أنّ فيهم أولى بذلك منه وأعلم بكتاب الله وسنّة نبيّه؛ فقد خان الله ورسوله وجميع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كتاب آداب القاضي باب لا يولي الوالي امرأة ولا فاسقاً ولا جاهلاً أمر القضاء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تلخيص الشافي،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والإمامة،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وتفسير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تقي الجعفري،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الثالث أو علم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آگاهي سوم يا علم 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السبحانيّ،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الديلمي،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تجريد الاعتقاد،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الخطب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الراونديّ،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،الحرّ العاملي،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الأربلي،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،المجلسيّ،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الانبياء،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حضرة العلّامة الطباطائي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 در محضر علامه طباطبايي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الطبرسيّ،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العكبرية، 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تحقّقناه أنّ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بما انتهت حاله إليه وكان تكليفه ما اعتمد عليه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عبد الرزاق المقرم،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الحسينية،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الله الكمباني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مقتضب عن علم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بالفارسية بحثي كوتاه درباره علم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،الفخر الرازيّ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كنز العمال، المتّقي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 إليّ أخي، فدعي له عثمان، فأعرض عنه،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إليّ أخي، فدعي له عليّ بن أبي طالب فستره بثوب، وأنكبّ عليه، فلمّا خرج من عنده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ألف باب يفتح كلّ باب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الرازيّ،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المناقب، الخوارزمي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أذعن الفخر الرازيّ في كتابه هذا بأعلميّة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فثبت بما ذكرنا أنّه رضوان الله عليه كان أستاذ العالمين بعد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الخصال المرضيّة والمقامات الحميدة الشريفة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،الحويزيّ،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والأحاديث،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الاحتفاظ بشيء معين في القلب، ومن هنا قيل للإناء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لأنّه يحفظ الشيء الذي يوضع فيه، وقد ذكرت هذه الصفة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للآذان في الآيات مورد البحث ،وذلك بلحاظ أنّها تسمع الحقائق وتحتفظ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شرف الدين الحسيني،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،عبد الرحمن جلال الدين السيوطي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،عليّ بن يونس،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،علي النمازيّ،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،العسكريّ،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،الجرجاني،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الطهراني،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الأمين،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الأربلّي،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أبواب الثلاثين،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وردت في كتاب بحار الأنوار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الأصغر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الأربلي،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،العسكريّ،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السياسية الإلهيّة الإمام الخميني،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،الطبريّ،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السيّدة الزهراء ،العطارديّ،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،الصدوق ،أبواب الثلاثين،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لذريعة ،الطهرانيّ،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الأمينيّ،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محمّد بن جرير بن رستم الطبريّ،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بشرح صحيح البخاري ،ابن حجر العسقلانيّ ، كتاب فضائل الصحابة ،باب مناقب عمر،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،عبدالله بن مسلم بن قتيبة الدينوريّ،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تمهيد الأصول،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،السيّد المرتضى،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گوهر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اللاهيجيّ،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في علم الكلام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 في الإمام أنّه أفضل بالعلم والشجاعة والزهد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كونه أفضل الرعية فيدخل تحته معنيان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كونه أفضلهم بمعنى كونه أكثرهم ثواباً عند الله ، وثانيهما كونه أفضل منهم في الظاهر وفيما هو متقدّم عليهم فيه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قواعد المرام،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اليقين،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والإمامة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الأميني،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،المرتضى،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،المحقّق الحلي،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،ابن ميثم البحرانيۀ،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تمهيد الأصول، 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في علم الكلام ،المرتضى،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في أصول الدين،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،ابن جبر،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،المرتضى،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الملكوت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،المرتضى،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مسائل ،المرتضى،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فقالت الإماميّة الاثنا عشريّة والكيسانيّة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إنّما يحصل بالنصّ الجليّ لا غير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أبكار الأفكار ،التفتازانيّ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البراهين في علم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الفخر الرازيّ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الدليل دلّ على إمامة أبي بكر رضي الله عنه وما كان لتلك الإمامة سبب إلّا البيعة إذ لو كان منصوصاً عليه لكان توقيفه الأمر على البيعة خطأ عظيماً يقدح في إمامته وذلك باطل، فوجب كون البيعة طريقاً صحيحاً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جمع الأوّل والثاني في طريق واحد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المصادرة على المطلوب يعني أن يُجعل المدّعى عين الدليل أو جزئه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المسلك في أصول الدين،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جمل العلم والعمل،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الاقتصاد الهادي إلى طريق الرشاد،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المصابيح في إثبات الامامة،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اليقين،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 موضّحاً هذا 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أشفق على الناس من الوالد على ولده؛ حتى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أرشدهم إلى أشياء لا نسبة لها إلى الخليفة بعده ،كما أرشدهم في قضاء الحاجة إلى أمور كثيرة مندوبة وغيرها من الوقائع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سافر عن المدينة يوماً أو يومين استخلف فيها من يقوم بأمر المسلمين، ومن هذه حاله كيف يُنسَب إليه إهمال أمّته وعدم إرشادهم في أجلّ الأشياء وأسناها وأعظمها قدراً وأكثرها فائدة وأشدّهم حاجة إليها، وهو المتولي لأمورهم بعده فوجب من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إمام بعده والنصّ عليه وتعريفهم إياه، وهذا برهان لمّي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 گوهر 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الفيّاض اللاهيجيّ،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الموحّدين،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العلّامة الحليّ،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شرح كشف المراد ،عليّ محمديّ،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للإمام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الحسن المسعودي،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تجدر الإشارة إلى أنّ جميع القضايا المذكورة هنا في خصوص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وأفضليّته وردت في تعليقات العلّامة السبحانيّ على كشف المراد مسندةً لمصادر أهل السنّة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أصول الدين ،الفخر الرازيّ،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كنز العمال، المتّقيّ الهنديّ،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وَفَاكِهَةً وَأَبًّا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العلّامة الحلي،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شرح كشف المراد ،علي محمديّ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المتعلّقة بنفي فضيلة أبي بكر وتفنيد القول بالإجماع عليه مقتبسة 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ما استدل به لإمامة أبي بكر ، لآية الله السيّد علي الميلانيّ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في الملل والنحل،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الأهواء والملل والنحل،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في الأحاديث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الشريعة المرفوعة عن الأحاديث الشنيعة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استعنتُ في جمع المباحث التفسيرية لآية التطهير وتنظيمها بجهود الأخ الباحث السيّد عادل هاشمي فخر؛ مماً استدعى التنويه بذلك، فالشكر موصول له، وأسأل الله أن يجزيه عنّي خيراً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مجمع مجمع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تفسير المراغي،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السمرقندي،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الأمثل،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كنز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نور الثقلين،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تفسير الصافي،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،الزمخشريّ،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الولاية، السيّد عليّ الميلانيّ،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أحمد بن حنبل الشيباني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الرحمن أحمد بن شعيب النسائي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شأن نزول الآيات المباركات هو أنّه لما شاع ما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غدير خم في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وطار في البلاد وبلغ الحارث بن النعمان الفهري أتى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ناقة له فنزل بالأبطح عن ناقته، وأناخها،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محمّد أمرتنا عن الله أن نشهد أن لا إله إلّا الله وأنّك رسول الله، فقبلناه منك، وأمرتنا أن نصلّي خمس فقبلنا منك، وأمرتنا بالزكاة، فقبلنا منك وأمرتنا أن نصوم شهر فقبلنا منك وأمرتنا بالحجّ، فقبلنا منك، ثمّ لم ترضَ بهذا حتى رفعت بضبعي ابن عمّك تفضله علينا وقلت من كنت مولاه فعليّ مولاه فهذا منك أم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والذي لا إله إلّا هو إن هذا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فولّى الحارث بن النعمان وهو يريد راحلته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ائتنا بعذاب أليم فما وصل إلى راحلته حتى رماه الله تعالى بحجر، فسقط على هامته، وخرج من دبره، وأنزل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 سَائِلٌ بِعَذَابٍ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لِلْكَافِرِينَ لَيْسَ لَهُ دَافِعٌ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،السيّد عليّ الميلانيّ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،السيّد علي الميلانيّ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داوود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داوود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الاحتجاج على أهل اللجاج،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الطبرسيّ،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،الصدوق، ج اول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الشيخ المفيد،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الطوسیّ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على أهل اللجاج، الطبرسي، 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تاج الدين الشعيري،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،الشعيريّ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 ،المجلسيّ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الغيبة، الطوسيّ،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أتقدّم بالشكر الجزيل إلى الأخ الباحث السيّد صادق الموسويّ الجزائريّ لما قدّمه لي من معونة في جمع بعض المعلومات المرتبطة بهذا الحديث الشريف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أشكر الأخ الباحث سعيد لفته پور لما قام به من جمع لأحاديث وأخبار الأئمّة الاثني عشر فجزاه الله خيراً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الأحكام، باب الاستخلاف، حدیث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الإمارة،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،كتاب الإمارة،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،كتاب المهدي، ج، حديث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جابر بن سمرة في الحديث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 الدين السيوطي،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،الخطيب البغداديّ،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ابن حجر العسقلاني،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 ابن حجر العسقلاني،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،العسقلاني،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صحيح مسلم، النووي،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تيمية،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التاج الجامع للأصول في أحاديث الرسول، منصور علي ناصف،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كتاب الإمارة والقضاء؛ سنن الترمذيّ، باب ماجاء في الخلافة، حديث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عن سعيد بن جمهان،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سفينة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الخلافة في أمتي ثلاثون سنة، ثمّ ملك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لي 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خلافة أبي بكر، وخلافة عمر ، وخلافة عثمان،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 خلافة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فوجدناها ثلاثين سنة، قال سعيد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بني أميّة يزعمون أنّ الخلافة فيهم؟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كذبوا بنو الزرقاء بل هم ملوك من شرّ الملوك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جلال الدين السيوطيّ،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الجويني،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ذات السند لكنّه ورد بهذه الصيغة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سيّد المرسلين وعليّ ابن أبي طالب سيّد الوصيّين، وإنّ أوصيائي بعدي اثنا عشر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ابي طالب وآخرهم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وراجع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عساكر،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،القمّي الرازيّ،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القمّي الرازيّ،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الاثني عشريّة، شاه عبد العزيز غلام حكيم الدهلويّ؛ منقول عن مسائل خلافيّة حار فيها أهل السنّة، الشيخ علي آل محسن،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استفدتُ في تبيين الأبحاث المرتبطة بالمهدويّة وفقاً لعقيدة أهل السنّة، وكذا في استعراض سمات أصحاب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وأحداث الظهور من أطروحة جامعية أشرفتُ عليها، وعنوانها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رؤية المفسّرين من أهل السنّة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مفسران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تأليف مصطفى ورمبزيار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في نصرة الإسلام ،محمّد صادق فخر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سوشيانت أو موعود آخر الزمان، علي أصغر مصطفوي،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توراة النبيّ أشعياء، الإصحاح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أسئلة وردود حول الإمام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 پیرامون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عليرضا رجالي،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أسئلة وردود حول الإمام المهديّ، عليرضا رجالي،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دروس من مدرسة الإسلام الشهرية ،الصافي الگلپايگاني، العدد الثالث</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منصور علي 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صحیح ابن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أخبار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،الكنجي الشافعي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الأثر الصافي الگلپايگاني، ص </w:t>
      </w:r>
      <w:r>
        <w:rPr>
          <w:rFonts w:eastAsia="IRNazanin" w:cs="IRNazanin"/>
          <w:b w:val="false"/>
          <w:bCs w:val="false"/>
          <w:i w:val="false"/>
          <w:iCs w:val="false"/>
          <w:color w:val="333333"/>
          <w:sz w:val="20"/>
          <w:szCs w:val="20"/>
        </w:rPr>
        <w:t>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صحيح البخاري ،ابن حجر العسقلاني، ج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مؤمن الشبلنجي،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الراغبين ،الشيخ محمد الصبّان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هامش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الشيخ منصور علي 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المأمول في شرح التاج الجامع للأصول، محمد البطاشي،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الصحاح قد تواترت على أنّ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تفسير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الإشاعة للسيّد محمد البرزنجي المدني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وغاية ما ثبت بالأخبار الصحيحة الشهيرة التي بلغت التواتر المعنوي وجود الآيات العظام التي أوّلها خروج المهدي وأنّه يأتي في آخر الزمان من ولد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القرطبيّ،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والأحاديث التي قبله في التنصيص على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وفيها بيان كون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عترة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إسناداً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الآلوسي،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الفخر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وإعرابه وبيانه ،محمد علي طه الدرة ،الحمصيّ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ينظر المسلمون المهديّ وعيسى على نبينا وعليه ألف صلاة وألف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محمد رشيد رضا،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فالمسلمون المنتظرون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يعلمون أنّ لها أشراطاً تقع بالتدريج فهم آمنون من مجيئها بغتة في كل زمان وإنّما ينتظرون قبلها ظهور الدجّال والمهديّ والمسيح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بيان المعاني ،ملا حويش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الآيات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في تفسير القرآن الكريم، الطنطاوي،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،محمد رشید 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الملاحظ أنّ الروايات قد جاءت مختلفة في ما يتعلّق باسم السيّدة أمّ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جاء اسمها في بعض الروايات،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نرجس وفي رواية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صقيل وفي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وفي رواية 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سوسن وفي رواية خامسة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حكيمة، وفي رواية 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خمط وفي رواية 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مليكة، وفي رواية ثامنة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 بنت زيد علويّة؛ وذلك لأنّ تلك السيّدة جليلة القدر كان لها في كلّ يوم اسم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جامع الروايات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الصدوق،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،،الصدوق،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،آبادي،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إسماعيل حقّي البروسوي،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مهديّ إلّا بعيسى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ومعناه لا يكون أحد صاحب المهديّ إلّا عيسى بن مريم؛ فإنّه ينزل لنصرته وصحبته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يجتمع عيسى والمهديّ فيقوم عيسى بالشريعة والإمامة والمهدي بالسيف والخلافة؛ فعيسى خاتم الولاية المطلقة كما أنّ المهدي خاتم الخلافة المطلقة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المأوي إلى الكهف عند مفارقتهم سر آخر يُفهم من دخول المهديّ في الغار اذا خرج ونزل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جلال الدين السيوطي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أصحاب الكهف أعوان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وورد أنّ أصحاب الكهف يُبعثون في آخر الزمان ويحجّون ويكونون من هذه الأمة تشريفاً لهم بذلك وورود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الكهف أعوان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ويجدّد الله تعالی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النبوّة على الملة ويخدمه المهديّ وأصحاب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إلياس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مع أصحاب الكهف في آخر الزمان عند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ويستشهد ويكون من أفضل شهداء عساكر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وهذه الوزارة ممتدّة إلى زمن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والوزراء السبعة هم أصحاب الكهف؛ يحييهم الله في آخر الزمان يختم بهم رتبة الوزارة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إذا خرج يستصحب أصحاب الكهف وروحانية شخصين من كمّل هذه الأمة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الآلوسي،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قد يجتمع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بمن لم يولد بعد كالمهديّ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إسماعيل حقّي البروسوي،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الشيخ الأكبر في بعض كتبه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مع أصحاب الكهف في آخر الزمان عند ظهور المهديّ ويستشهد ويكون من أفضل شهداء عساكر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ظاهرين علي الحقّ لا يضرّهم من خذلهم ولا من خالفهم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حتّى يأتي أمر الله وهم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يقاتلوا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ينزل عيسى بن مريم وهم 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 آبادي،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 بيرون آيد جمعي از مسلمانان یار وي گردند با دجال حرب کنند؛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سيظهر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وسينصره جمع من المسلمين وسيحاربون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تفسير في ظلال القرآن ،سیّد قطب،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يقاتلون على الحقّ ظاهرين إلى يوم القيامة؛ فينزل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فيقول أميرهم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 صلّ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الله تعالى لهذه الأمة وهو غيب من الغيب الذي حدثنا عنه الصادق الأمين وأشار إليه القرآن الكريم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في تفسير القرآن العظيم، الآلوسي،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قد يجتمع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بمن لم يولد بعد كالمهديّ تفسير روح البيان إسماعيل حقّي البروسوي،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إذا خرج يستصحب أصحاب الكهف وروحانية شخصين من كمّل هذه الأمة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،إسماعيل حقّي البروسوي،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أهل الصدق من مقدمات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ظاهرين علي الحقّ لا يضرّهم من خذلهم ولا من خالفهم 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حتّى يأتي أمر الله وهم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يقاتلوا الدجال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ينزل عيسى بن مريم وهم ظاهرون تفسير سور آبادي،ج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مهدي بيرون آيد جمعي از مسلمانان یار وي گردند با دجال حرب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سيظهر المهديّ وسينصره جمع من المسلمين وسيحاربون الدجّال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في تفسير في ظلال القرآن، سيّد قطب،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تزال طائفة من أمّتي يقاتلون على الحقّ ظاهرين إلى يوم القيامة؛ فينزل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أميرهم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صلّ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 بعضكم على بعض أمراء تكرمة الله تعالى لهذه الأمة وهو غيب من الغيب الذي حدثنا عنه الصادق الأمين وأشار إليه القرآن الكريم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الحديث، محمد عزة دروزة،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الطبرسيّ روايتاً عن عليّ بن إبراهيم بن هاشم أنّ الآية الأولى فسوف يأتي الله بقوم يحبّهم ويحبّونه نزلت في مهديّ الأمة وأصحابه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والآخرون هم الذين طال عليهم الأمد فقست قلوبهم في آخر دور الدعوة وقرب زمان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الذين هم في زمانه فإنّ السابقين في زمانه أكثر لكونهم أصحاب القيامة الكبرى وأهل الكشف والظهور</w:t>
      </w:r>
      <w:r>
        <w:rPr>
          <w:rFonts w:eastAsia="IRNazanin" w:cs="IRNazanin"/>
          <w:b w:val="false"/>
          <w:bCs w:val="false"/>
          <w:i w:val="false"/>
          <w:iCs w:val="false"/>
          <w:color w:val="333333"/>
          <w:sz w:val="20"/>
          <w:szCs w:val="20"/>
          <w:rtl w:val="true"/>
        </w:rPr>
        <w:t>»&gt;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الثعلبي،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معالم التزيل في تفسير القرآن ،البغوي،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مراح لبيد لكشف معنى القرآن المجيد،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وإعرابه وبيانه، محمد عليّ طه الدرة الحمصيّ،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جميع حلي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فيها الآن حتّى يأخذه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فيردّه إلى 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يجمع الله الأوّلين والآخرين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تفسير القرآن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وإعرابه وبيانه ،محمد عليّ طه الدرة الحمصيّ،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حلي جميع بيت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احتمله علي سبعين ألفاً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عجلة حيث أودعه في كنيسة الذهب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عليهم فيحييهم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،الثعلبيّ،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عليهم فيحييهم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التراجم في تفسير القرآن للأعاجم ،الإسفرايينيّ،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تفسير روح البيان،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السيوطي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الكهف أعوان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وورد أنّ أصحاب الكهف يبعثون في آخر الزمان ويحجون ويكونون من هذه الأمّة تشريفاً لهم بذلك، وورد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الكهف أعوان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ويجدّد الله تعالى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النبوّة على الملة ويخدمه المهدي وأصحاب الكهف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مع أصحاب الكهف في آخر الزمان عند ظهور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ويستشهد ويكون من أفضل شهداء عساكر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الوزارة ممتدّة إلى زمن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ووزراؤه سبعة هم أصحاب الكهف يحييهم الله في آخر الزمان يختم بهم رتبة الوزارة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يستصحب أصحاب الكهف وروحانية شخصين من كمّل هذه الأمة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عليهم فيحييهم الله ثمّ يرجعون إلى رقدتهم فلا يقومون حتى تقوم الساعة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،الثعلبيّ،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يسلّم عليهم، فيحييهم الله عزّوجلّ، ثمّ يرجعون إلى رقدتهم ولا يقومون إلى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تاج التراجم في تفسير القرآن للأعاجم الإسفرايينيّ،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تفسير روح البيان، إسماعيل حقّي البروسويّ،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الل،باب ،ابن عادل،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 لهم في الدنيا قيام المهديّ وفتح عَمورِيّة ورُومِيَّة وقسطنيطينيّة، وغير ذلك من مدنهم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في تفسير المأثور، السيوطيّ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،الثعلبيّ،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،القرطبي،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،الثعلبيّ،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وأيضاً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البحر المحيط، أبو حيان الأندلسيّ،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مفاتيح الغيب، الفخر الرازيّ،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سور آبادي،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ورغائب الفرقان،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السراج المنير، الخطيب الشربينيّ،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جامع لطائف التفسير،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اللّباب ،ابن عادل،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في تفسير المأثور، السيوطي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الكشف والبيان عن تفسير القرآن، الثعلبي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،الشوكانيّ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البيان ،القنوجيّ،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أبو حيان الأندلسيّ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اللّباب، ابن عادل،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رشيد الدين الميبدي،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أبو حيان الأندلسيّ،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جعفر بن محمّد أنّه خروج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عز بن عبد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يَوْمَ تَقُومُ السَّاعةُ بمحشر الأجساد أو ظهور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وقهر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إيّاهم وتعذيبه لهم لكفرهم به وبعدهم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،الطوسيّ،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كمال الدين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النعمانيّ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إثباة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غيبة ،النعماني،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تأويل الآيات،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غيبة الطوسيّ،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رضا أكبري ،جاودانگي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لوك ،رساله در باب فاهمه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مهدي بازركان ،راه طي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الماعون،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transformation</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وجدي ،دائرة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Disem boclieds soul</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فايدون ،مجموعة آثار أفلاطون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،الشفاء، كتاب النفس، المقالة الأولى، الفصل الأوّل،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،الإلهيّات ،الفصل السابع،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دیکارت ،تأملات در فلسفة أوّلي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التأمّل السادس</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القدّيس بولس إلى أهل فيلبي ،الإصحاح الثالث، الفقرتان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،كتاب دانیال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البراهين التي استشهد بها العلماء لتفنيد مسألة إعادة المعدوم 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جاز للمعدوم في زمان أن يعاد بعينه في زمان آخر، لزم من ذلك تخلّل العدم بين الشيء ونفسه؛ وهو محالٌ لأنّه حينئذٍ يكون موجوداً بعينه في زمانين تخلّل بينهما عدم، أي إنّه في الحقيقة تقدّم زمانياً على وجوده، وحسب القاعدة فإنّ تقدّم الشيء على نفسه محالٌ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Replica</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Hick</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أكبري ،جاودانگی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الدين الشيرازي، الحكمة المتعالية في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الله الموسوي الخميني، 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الدين آشتياني مقالة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در معاد جسماني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مشهد العدد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Parapsychology</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Mediumistic</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غفّاري ،روح ودانش 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telepathy</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أكبري، جاودانگی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near - death experience</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هيك، فلسفه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 of body experience</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أفلوطين، دوره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الرسالة الثامنة،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شهاب الدين السهروردي ،حكمة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خسروبناه ،قلمرو 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آموزش فلسفة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،الإشارات والتنبيهات ،النمط الثالث؛ محمّد تقي مصباح اليزدي، آموزش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اليزدي، 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ستيفان كورنر، فلسفه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إلى الفارسية عزت الله فولادوند،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اكبري، جاودانگي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جوادي الآملي، تفسير موضوعي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،خرّازي ،بداية المعارف الإلهيّة في شرح عقائد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خرّازي، بداية المعارف الإلهيّة في شرح عقائد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قديمة حيث ذكرها أفلاطون وغيره من الفلاسفة المتقدّمين والمتأخرين من المسلمين وغيرهم بتعابير وتقريرات مختلفة،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أنّ إنساناً تغذّى على إنسان آخر وأكل جميع أعضائه، فالمحشور لا يكون إلّا أحدهما لأنّه لا تبقى للآخر أجزاء تخلق منها أعضاؤه، وعليه يطرح سؤال فحواه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البدن المحشور بأيّ الروحين سوف يتعلّق ؟ فلو تعلّق بروح الآكل وكان كافراً، والمأكول مؤمناً؛ للزم عقاب المؤمن، ولو عكس الأمر للزم ثواب الكافر؛ وهو ممتنع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،الأسفار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الرازيّ المباحث المشرقية،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نصّ الكتاب والمقصود أنّ فعلية هذه القوّة تتحقّق عبر تلبّسها بالحركة الجوهرية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في معرفة حجج الله على العباد،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الآيتان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،الآيات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أكثر على علائم القيامة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آموزش عقاید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استناداً إلى سورة الزلزلة 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الحاقّة،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الكهف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سورة المزمل،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المعارج،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سورة طه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القيامة،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سورة الانفطار، الآية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سورة الطور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الرحمن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الأنبياء،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الفرقان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الزمر،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الأنعام، الآيات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النمل ،الآيات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إبراهيم، 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ق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القارعة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يس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الروم،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هود، الآية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سورة عبس ،الآيتان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البقرة، الآية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التكوير،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،الآيتان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أشير إلى يوم الحساب في الآيتين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نفس هذه السورة، والآية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إبراهيم، والآية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غافر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،الآيتان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الآيتان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محمدي الريشهري، ميزان الحكمة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كنز العمّال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،الآيتان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الآيتان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المجأدلة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أكثر ،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أوائل المقالات في المذاهب والمختارات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ذهب إليه المرجئة يتعارض بشكل صريح مع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يَوْمَئِذٍ يَصْدُرُ النَّاسُ أَشْتَاتًا لِيُرَوْا أَعْمَالَهُمْ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يَعْمَلْ مِثْقَالَ ذَرَّةٍ خَيْرًا 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يَعْمَلْ مِثْقَالَ ذَرَّةٍ شَرًّا 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الزلزلة ،الآيات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الآيتان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الآيتان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،الآيتان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الآيتان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،الآيات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الآيتان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الآيتان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الآيتان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الآيتان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الآيتان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نتقدّم بالشكر والامتنان للسيد رودبندي زاده الذي قدّم لنا يد العون في مجال استقراء آراء العلماء المسلمين حول عقيدة الرجعة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مکرم 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المفردات في غريب القرآن،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حماد الجوهري ،الصحاح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الإيضاح،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عساكر تأريخ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تقع بين مكّة والبصرة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تقي الدين أحمد بن علي المقريزي ،امتناع الأسماع،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الإيضاح،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الحديث في مختلف مصادر أهل السنّة، وبما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الترمذي،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المتّقي الهندي ،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الإيضاح،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مجلة تراثنا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،صفات الشيعة،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القزويني، كتاب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أوائل المقالات في المذاهب والمختارات،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تصحيح اعتقادات الإمامية،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أوائل المقالات في المذاهب والمختارات،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،المسائل السروية،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التبيان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التبيان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المرتضى، رسائل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315</Pages>
  <Words>45211</Words>
  <Characters>202733</Characters>
  <CharactersWithSpaces>246431</CharactersWithSpaces>
  <Paragraphs>1713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2026-08-25T11:43:40Z</dcterms:created>
  <dc:creator>ghaemiyeh.com</dc:creator>
  <dc:description/>
  <dc:language>en-US</dc:language>
  <cp:lastModifiedBy/>
  <dcterms:modified xsi:type="dcterms:W3CDTF">2026-08-25T15:13:51Z</dcterms:modified>
  <cp:revision>1</cp:revision>
  <dc:subject/>
  <dc:title>الکلام الإسلامی المعاصر جلد 3</dc:title>
</cp:coreProperties>
</file>

<file path=docProps/custom.xml><?xml version="1.0" encoding="utf-8"?>
<Properties xmlns="http://schemas.openxmlformats.org/officeDocument/2006/custom-properties" xmlns:vt="http://schemas.openxmlformats.org/officeDocument/2006/docPropsVTypes"/>
</file>